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Requirements Specification</w:t>
      </w:r>
    </w:p>
    <w:p>
      <w:pPr>
        <w:jc w:val="center"/>
      </w:pPr>
      <w:r>
        <w:rPr>
          <w:sz w:val="28"/>
        </w:rPr>
        <w:t>Project: demo-446cd4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8 retrieved chunks):</w:t>
        <w:br/>
        <w:t>- This SysRS defines the system-level requirements for the telemetry acquisition subsystem.  [source: SysRS_v3.1.docx / 1. Scope]</w:t>
        <w:br/>
        <w:t>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REQ-0005 | functional | The system shall expose ac  [source: SysRS_v3.1.docx / 2. Requirements / 2.2 Non-Functional Requirements]</w:t>
        <w:br/>
        <w:t>- with a minimum depth of 6 months of mission operations. ID | Type | Requirement REQ-0002 | non_functional | The system shall have a mean time between failures (MTBF) of not less than 2000 hours. REQ-0007 | non_functional | The system shall sustain a sample ingestion rate of at least 100 Hz per channel. REQ-0008 | non_functional | The system shall restrict access to acquisition controls to authenticated operators only. REQ-0009 | non_functional | The system shall complete a software restart in le  [source: SysRS_v3.1.docx / 2. Requirements / 2.2 Non-Functional Requirements]</w:t>
        <w:br/>
        <w:t>- t | The system shall operate within a 28 V DC power envelope not exceeding 45 W.  [source: SysRS_v3.1.docx / 2. Requirements / 2.2 Non-Functional Requirements]</w:t>
        <w:br/>
        <w:t>- | The system shall operate within a 28 V DC power envelope not exceeding 45 W.  [source: SysRS_v3.1.docx / 2. Requirements / 2.2 Non-Functional Requirements]</w:t>
      </w:r>
    </w:p>
    <w:p>
      <w:pPr>
        <w:pStyle w:val="Heading2"/>
      </w:pPr>
      <w:r>
        <w:t>Scope</w:t>
      </w:r>
    </w:p>
    <w:p>
      <w:r>
        <w:t>DRAFT (mock, grounded on 8 retrieved chunks):</w:t>
        <w:br/>
        <w:t>- This SysRS defines the system-level requirements for the telemetry acquisition subsystem.  [source: SysRS_v3.1.docx / 1. Scope]</w:t>
        <w:br/>
        <w:t>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REQ-0005 | functional | The system shall expose ac  [source: SysRS_v3.1.docx / 2. Requirements / 2.2 Non-Functional Requirements]</w:t>
        <w:br/>
        <w:t>- with a minimum depth of 6 months of mission operations. ID | Type | Requirement REQ-0002 | non_functional | The system shall have a mean time between failures (MTBF) of not less than 2000 hours. REQ-0007 | non_functional | The system shall sustain a sample ingestion rate of at least 100 Hz per channel. REQ-0008 | non_functional | The system shall restrict access to acquisition controls to authenticated operators only. REQ-0009 | non_functional | The system shall complete a software restart in le  [source: SysRS_v3.1.docx / 2. Requirements / 2.2 Non-Functional Requirements]</w:t>
        <w:br/>
        <w:t>- t | The system shall operate within a 28 V DC power envelope not exceeding 45 W.  [source: SysRS_v3.1.docx / 2. Requirements / 2.2 Non-Functional Requirements]</w:t>
        <w:br/>
        <w:t>- | The system shall operate within a 28 V DC power envelope not exceeding 45 W.  [source: SysRS_v3.1.docx / 2. Requirements / 2.2 Non-Functional Requirements]</w:t>
      </w:r>
    </w:p>
    <w:p>
      <w:pPr>
        <w:pStyle w:val="Heading2"/>
      </w:pPr>
      <w:r>
        <w:t>Definitions, Acronyms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1. Scope</w:t>
            </w:r>
          </w:p>
        </w:tc>
        <w:tc>
          <w:tcPr>
            <w:tcW w:type="dxa" w:w="4320"/>
          </w:tcPr>
          <w:p>
            <w:r>
              <w:t>1. Scope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4320"/>
          </w:tcPr>
          <w:p>
            <w:r>
              <w:t>2. Requirements / 2.2 Non-Functional Requirements</w:t>
            </w:r>
          </w:p>
        </w:tc>
        <w:tc>
          <w:tcPr>
            <w:tcW w:type="dxa" w:w="4320"/>
          </w:tcPr>
          <w:p>
            <w:r>
              <w:t>2. Requirements / 2.2 Non-Functional Requirements</w:t>
            </w:r>
          </w:p>
        </w:tc>
      </w:tr>
    </w:tbl>
    <w:p>
      <w:pPr>
        <w:pStyle w:val="Heading2"/>
      </w:pPr>
      <w:r>
        <w:t>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 Id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Revision</w:t>
            </w:r>
          </w:p>
        </w:tc>
      </w:tr>
      <w:tr>
        <w:tc>
          <w:tcPr>
            <w:tcW w:type="dxa" w:w="2160"/>
          </w:tcPr>
          <w:p>
            <w:r>
              <w:t>1. Scope</w:t>
            </w:r>
          </w:p>
        </w:tc>
        <w:tc>
          <w:tcPr>
            <w:tcW w:type="dxa" w:w="2160"/>
          </w:tcPr>
          <w:p>
            <w:r>
              <w:t>1. Scope</w:t>
            </w:r>
          </w:p>
        </w:tc>
        <w:tc>
          <w:tcPr>
            <w:tcW w:type="dxa" w:w="2160"/>
          </w:tcPr>
          <w:p>
            <w:r>
              <w:t>1. Scope</w:t>
            </w:r>
          </w:p>
        </w:tc>
        <w:tc>
          <w:tcPr>
            <w:tcW w:type="dxa" w:w="2160"/>
          </w:tcPr>
          <w:p>
            <w:r>
              <w:t>1. Scope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  <w:tc>
          <w:tcPr>
            <w:tcW w:type="dxa" w:w="2160"/>
          </w:tcPr>
          <w:p>
            <w:r>
              <w:t>2. Requirements / 2.2 Non-Functional Requirements</w:t>
            </w:r>
          </w:p>
        </w:tc>
      </w:tr>
    </w:tbl>
    <w:p>
      <w:pPr>
        <w:pStyle w:val="Heading1"/>
      </w:pPr>
      <w:r>
        <w:t>2 System Overview</w:t>
      </w:r>
    </w:p>
    <w:p>
      <w:pPr>
        <w:pStyle w:val="Heading2"/>
      </w:pPr>
      <w:r>
        <w:t>System Context</w:t>
      </w:r>
    </w:p>
    <w:p>
      <w:r>
        <w:t>DRAFT (mock, grounded on 8 retrieved chunks):</w:t>
        <w:br/>
        <w:t>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REQ-0005 | functional | The system shall expose ac  [source: SysRS_v3.1.docx / 2. Requirements / 2.2 Non-Functional Requirements]</w:t>
        <w:br/>
        <w:t>- with a minimum depth of 6 months of mission operations. ID | Type | Requirement REQ-0002 | non_functional | The system shall have a mean time between failures (MTBF) of not less than 2000 hours. REQ-0007 | non_functional | The system shall sustain a sample ingestion rate of at least 100 Hz per channel. REQ-0008 | non_functional | The system shall restrict access to acquisition controls to authenticated operators only. REQ-0009 | non_functional | The system shall complete a software restart in le  [source: SysRS_v3.1.docx / 2. Requirements / 2.2 Non-Functional Requirements]</w:t>
        <w:br/>
        <w:t>- System Requirements Specification (SysRS) Revision 3.1 — baseline for pilot-project-alpha.  [source: SysRS_v3.1.docx / SysRS_v3.1.docx]</w:t>
        <w:br/>
        <w:t>- system shall operate within a 28 V DC power envelope not exceeding 45 W.  [source: SysRS_v3.1.docx / 2. Requirements / 2.2 Non-Functional Requirements]</w:t>
        <w:br/>
        <w:t>- e system shall operate within a 28 V DC power envelope not exceeding 45 W.  [source: SysRS_v3.1.docx / 2. Requirements / 2.2 Non-Functional Requirements]</w:t>
      </w:r>
    </w:p>
    <w:p>
      <w:pPr>
        <w:pStyle w:val="Heading2"/>
      </w:pPr>
      <w:r>
        <w:t>Architectural View</w:t>
      </w:r>
    </w:p>
    <w:p>
      <w:r>
        <w:t>DRAFT (mock, grounded on 8 retrieved chunks):</w:t>
        <w:br/>
        <w:t>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channel before flow control is applied. This refines REQ-0003 by requiring bounded buffering for time-tagged data. REQ-0005 | functional | The system shall expose ac  [source: SysRS_v3.1.docx / 2. Requirements / 2.2 Non-Functional Requirements]</w:t>
        <w:br/>
        <w:t>- with a minimum depth of 6 months of mission operations. ID | Type | Requirement REQ-0002 | non_functional | The system shall have a mean time between failures (MTBF) of not less than 2000 hours. REQ-0007 | non_functional | The system shall sustain a sample ingestion rate of at least 100 Hz per channel. REQ-0008 | non_functional | The system shall restrict access to acquisition controls to authenticated operators only. REQ-0009 | non_functional | The system shall complete a software restart in le  [source: SysRS_v3.1.docx / 2. Requirements / 2.2 Non-Functional Requirements]</w:t>
        <w:br/>
        <w:t>- System Requirements Specification (SysRS) Revision 3.1 — baseline for pilot-project-alpha.  [source: SysRS_v3.1.docx / SysRS_v3.1.docx]</w:t>
        <w:br/>
        <w:t>- system shall operate within a 28 V DC power envelope not exceeding 45 W.  [source: SysRS_v3.1.docx / 2. Requirements / 2.2 Non-Functional Requirements]</w:t>
        <w:br/>
        <w:t>- e system shall operate within a 28 V DC power envelope not exceeding 45 W.  [source: SysRS_v3.1.docx / 2. Requirements / 2.2 Non-Functional Requirements]</w:t>
      </w:r>
    </w:p>
    <w:p>
      <w:pPr>
        <w:pStyle w:val="Heading2"/>
      </w:pPr>
      <w:r>
        <w:t>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Privileges</w:t>
            </w:r>
          </w:p>
        </w:tc>
      </w:tr>
      <w:tr>
        <w:tc>
          <w:tcPr>
            <w:tcW w:type="dxa" w:w="2880"/>
          </w:tcPr>
          <w:p>
            <w:r>
              <w:t>SysRS_v3.1.docx</w:t>
            </w:r>
          </w:p>
        </w:tc>
        <w:tc>
          <w:tcPr>
            <w:tcW w:type="dxa" w:w="2880"/>
          </w:tcPr>
          <w:p>
            <w:r>
              <w:t>SysRS_v3.1.docx</w:t>
            </w:r>
          </w:p>
        </w:tc>
        <w:tc>
          <w:tcPr>
            <w:tcW w:type="dxa" w:w="2880"/>
          </w:tcPr>
          <w:p>
            <w:r>
              <w:t>SysRS_v3.1.docx</w:t>
            </w:r>
          </w:p>
        </w:tc>
      </w:tr>
      <w:tr>
        <w:tc>
          <w:tcPr>
            <w:tcW w:type="dxa" w:w="2880"/>
          </w:tcPr>
          <w:p>
            <w:r>
              <w:t>1. Scope</w:t>
            </w:r>
          </w:p>
        </w:tc>
        <w:tc>
          <w:tcPr>
            <w:tcW w:type="dxa" w:w="2880"/>
          </w:tcPr>
          <w:p>
            <w:r>
              <w:t>1. Scope</w:t>
            </w:r>
          </w:p>
        </w:tc>
        <w:tc>
          <w:tcPr>
            <w:tcW w:type="dxa" w:w="2880"/>
          </w:tcPr>
          <w:p>
            <w:r>
              <w:t>1. Scope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</w:tbl>
    <w:p>
      <w:pPr>
        <w:pStyle w:val="Heading1"/>
      </w:pPr>
      <w:r>
        <w:t>3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Verification</w:t>
            </w:r>
          </w:p>
        </w:tc>
      </w:tr>
      <w:tr>
        <w:tc>
          <w:tcPr>
            <w:tcW w:type="dxa" w:w="1728"/>
          </w:tcPr>
          <w:p>
            <w:r>
              <w:t>REQ-0001</w:t>
            </w:r>
          </w:p>
        </w:tc>
        <w:tc>
          <w:tcPr>
            <w:tcW w:type="dxa" w:w="1728"/>
          </w:tcPr>
          <w:p>
            <w:r>
              <w:t>| functional | The system shall acquire telemetry data from at least 3 sensor channels simultaneously.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REQ-0003</w:t>
            </w:r>
          </w:p>
        </w:tc>
        <w:tc>
          <w:tcPr>
            <w:tcW w:type="dxa" w:w="1728"/>
          </w:tcPr>
          <w:p>
            <w:r>
              <w:t>| functional | The system shall timestamp every acquired sample with a system time reference accurate to +/- 1 ms.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REQ-0004</w:t>
            </w:r>
          </w:p>
        </w:tc>
        <w:tc>
          <w:tcPr>
            <w:tcW w:type="dxa" w:w="1728"/>
          </w:tcPr>
          <w:p>
            <w:r>
              <w:t>| functional | The system shall buffer at least 10000 samples per channel before flow control is applied.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REQ-0006</w:t>
            </w:r>
          </w:p>
        </w:tc>
        <w:tc>
          <w:tcPr>
            <w:tcW w:type="dxa" w:w="1728"/>
          </w:tcPr>
          <w:p>
            <w:r>
              <w:t>| functional | The system shall record an engineering log with a minimum depth of 6 months of mission operations.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REQ-0007</w:t>
            </w:r>
          </w:p>
        </w:tc>
        <w:tc>
          <w:tcPr>
            <w:tcW w:type="dxa" w:w="1728"/>
          </w:tcPr>
          <w:p>
            <w:r>
              <w:t>| non_functional | The system shall sustain a sample ingestion rate of at least 100 Hz per channel.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REQ-0008</w:t>
            </w:r>
          </w:p>
        </w:tc>
        <w:tc>
          <w:tcPr>
            <w:tcW w:type="dxa" w:w="1728"/>
          </w:tcPr>
          <w:p>
            <w:r>
              <w:t>| non_functional | The system shall restrict access to acquisition controls to authenticated operators only.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REQ-0009</w:t>
            </w:r>
          </w:p>
        </w:tc>
        <w:tc>
          <w:tcPr>
            <w:tcW w:type="dxa" w:w="1728"/>
          </w:tcPr>
          <w:p>
            <w:r>
              <w:t>| non_functional | The system shall complete a software restart in less than 30 seconds after a fault.</w:t>
            </w:r>
          </w:p>
        </w:tc>
        <w:tc>
          <w:tcPr>
            <w:tcW w:type="dxa" w:w="1728"/>
          </w:tcPr>
          <w:p>
            <w:r>
              <w:t>sysrs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  <w:tr>
        <w:tc>
          <w:tcPr>
            <w:tcW w:type="dxa" w:w="1728"/>
          </w:tcPr>
          <w:p>
            <w:r>
              <w:t>REQ-0011</w:t>
            </w:r>
          </w:p>
        </w:tc>
        <w:tc>
          <w:tcPr>
            <w:tcW w:type="dxa" w:w="1728"/>
          </w:tcPr>
          <w:p>
            <w:r>
              <w:t>is added to require automatic fault recovery within 30 seconds, in addition to REQ-0009.</w:t>
            </w:r>
          </w:p>
        </w:tc>
        <w:tc>
          <w:tcPr>
            <w:tcW w:type="dxa" w:w="1728"/>
          </w:tcPr>
          <w:p>
            <w:r>
              <w:t>mom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Test / inspection</w:t>
            </w:r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REQ-0005 (sysrs) is not covered in this section.</w:t>
      </w:r>
    </w:p>
    <w:p>
      <w:pPr>
        <w:pStyle w:val="ListBullet"/>
      </w:pPr>
      <w:r>
        <w:t>REQ-0002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ListBullet"/>
      </w:pPr>
      <w:r>
        <w:t>IR-0101 (irs) is not covered in this section.</w:t>
      </w:r>
    </w:p>
    <w:p>
      <w:pPr>
        <w:pStyle w:val="ListBullet"/>
      </w:pPr>
      <w:r>
        <w:t>IR-0102 (irs) is not covered in this section.</w:t>
      </w:r>
    </w:p>
    <w:p>
      <w:pPr>
        <w:pStyle w:val="ListBullet"/>
      </w:pPr>
      <w:r>
        <w:t>IR-0103 (irs) is not covered in this section.</w:t>
      </w:r>
    </w:p>
    <w:p>
      <w:pPr>
        <w:pStyle w:val="ListBullet"/>
      </w:pPr>
      <w:r>
        <w:t>IR-0104 (irs) is not covered in this section.</w:t>
      </w:r>
    </w:p>
    <w:p>
      <w:pPr>
        <w:pStyle w:val="Heading1"/>
      </w:pPr>
      <w:r>
        <w:t>4 Interface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Interface</w:t>
            </w:r>
          </w:p>
        </w:tc>
        <w:tc>
          <w:tcPr>
            <w:tcW w:type="dxa" w:w="1728"/>
          </w:tcPr>
          <w:p>
            <w:r>
              <w:t>Direction</w:t>
            </w:r>
          </w:p>
        </w:tc>
        <w:tc>
          <w:tcPr>
            <w:tcW w:type="dxa" w:w="1728"/>
          </w:tcPr>
          <w:p>
            <w:r>
              <w:t>Protocol</w:t>
            </w:r>
          </w:p>
        </w:tc>
      </w:tr>
      <w:tr>
        <w:tc>
          <w:tcPr>
            <w:tcW w:type="dxa" w:w="1728"/>
          </w:tcPr>
          <w:p>
            <w:r>
              <w:t>IR-0101</w:t>
            </w:r>
          </w:p>
        </w:tc>
        <w:tc>
          <w:tcPr>
            <w:tcW w:type="dxa" w:w="1728"/>
          </w:tcPr>
          <w:p>
            <w:r>
              <w:t>| interface | The ground segment interface shall transmit telemetry sample envelopes as defined in api.proto (message TelemetrySample).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IR-0102</w:t>
            </w:r>
          </w:p>
        </w:tc>
        <w:tc>
          <w:tcPr>
            <w:tcW w:type="dxa" w:w="1728"/>
          </w:tcPr>
          <w:p>
            <w:r>
              <w:t>| interface | The acquisition command interface shall accept a StartCommand message to begin acquisition.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IR-0103</w:t>
            </w:r>
          </w:p>
        </w:tc>
        <w:tc>
          <w:tcPr>
            <w:tcW w:type="dxa" w:w="1728"/>
          </w:tcPr>
          <w:p>
            <w:r>
              <w:t>| interface | The health reporting interface shall expose an MTBF estimate as defined in api.proto (message HealthReport).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IR-0104</w:t>
            </w:r>
          </w:p>
        </w:tc>
        <w:tc>
          <w:tcPr>
            <w:tcW w:type="dxa" w:w="1728"/>
          </w:tcPr>
          <w:p>
            <w:r>
              <w:t>| interface | The sensor interface shall provide a raw sample stream at the configured sample rate.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REQ-0005</w:t>
            </w:r>
          </w:p>
        </w:tc>
        <w:tc>
          <w:tcPr>
            <w:tcW w:type="dxa" w:w="1728"/>
          </w:tcPr>
          <w:p>
            <w:r>
              <w:t>| functional | The system shall expose acquired samples through a REST interface to the ground segment.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REQ-0001 (sysrs) is not covered in this section.</w:t>
      </w:r>
    </w:p>
    <w:p>
      <w:pPr>
        <w:pStyle w:val="ListBullet"/>
      </w:pPr>
      <w:r>
        <w:t>REQ-0003 (sysrs) is not covered in this section.</w:t>
      </w:r>
    </w:p>
    <w:p>
      <w:pPr>
        <w:pStyle w:val="ListBullet"/>
      </w:pPr>
      <w:r>
        <w:t>REQ-0004 (sysrs) is not covered in this section.</w:t>
      </w:r>
    </w:p>
    <w:p>
      <w:pPr>
        <w:pStyle w:val="ListBullet"/>
      </w:pPr>
      <w:r>
        <w:t>REQ-0006 (sysrs) is not covered in this section.</w:t>
      </w:r>
    </w:p>
    <w:p>
      <w:pPr>
        <w:pStyle w:val="ListBullet"/>
      </w:pPr>
      <w:r>
        <w:t>REQ-0002 (sysrs) is not covered in this section.</w:t>
      </w:r>
    </w:p>
    <w:p>
      <w:pPr>
        <w:pStyle w:val="ListBullet"/>
      </w:pPr>
      <w:r>
        <w:t>REQ-0007 (sysrs) is not covered in this section.</w:t>
      </w:r>
    </w:p>
    <w:p>
      <w:pPr>
        <w:pStyle w:val="ListBullet"/>
      </w:pPr>
      <w:r>
        <w:t>REQ-0008 (sysrs) is not covered in this section.</w:t>
      </w:r>
    </w:p>
    <w:p>
      <w:pPr>
        <w:pStyle w:val="ListBullet"/>
      </w:pPr>
      <w:r>
        <w:t>REQ-0009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Heading1"/>
      </w:pPr>
      <w:r>
        <w:t>5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 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Measure</w:t>
            </w:r>
          </w:p>
        </w:tc>
        <w:tc>
          <w:tcPr>
            <w:tcW w:type="dxa" w:w="1728"/>
          </w:tcPr>
          <w:p>
            <w:r>
              <w:t>Target</w:t>
            </w:r>
          </w:p>
        </w:tc>
      </w:tr>
      <w:tr>
        <w:tc>
          <w:tcPr>
            <w:tcW w:type="dxa" w:w="1728"/>
          </w:tcPr>
          <w:p>
            <w:r>
              <w:t>REQ-0002</w:t>
            </w:r>
          </w:p>
        </w:tc>
        <w:tc>
          <w:tcPr>
            <w:tcW w:type="dxa" w:w="1728"/>
          </w:tcPr>
          <w:p>
            <w:r>
              <w:t>| non_functional | The system shall have a mean time between failures (MTBF) of not less than 2000 hours.</w:t>
            </w:r>
          </w:p>
        </w:tc>
        <w:tc>
          <w:tcPr>
            <w:tcW w:type="dxa" w:w="1728"/>
          </w:tcPr>
          <w:p>
            <w:r>
              <w:t>non_functional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REQ-0001 (sysrs) is not covered in this section.</w:t>
      </w:r>
    </w:p>
    <w:p>
      <w:pPr>
        <w:pStyle w:val="ListBullet"/>
      </w:pPr>
      <w:r>
        <w:t>REQ-0003 (sysrs) is not covered in this section.</w:t>
      </w:r>
    </w:p>
    <w:p>
      <w:pPr>
        <w:pStyle w:val="ListBullet"/>
      </w:pPr>
      <w:r>
        <w:t>REQ-0004 (sysrs) is not covered in this section.</w:t>
      </w:r>
    </w:p>
    <w:p>
      <w:pPr>
        <w:pStyle w:val="ListBullet"/>
      </w:pPr>
      <w:r>
        <w:t>REQ-0005 (sysrs) is not covered in this section.</w:t>
      </w:r>
    </w:p>
    <w:p>
      <w:pPr>
        <w:pStyle w:val="ListBullet"/>
      </w:pPr>
      <w:r>
        <w:t>REQ-0006 (sysrs) is not covered in this section.</w:t>
      </w:r>
    </w:p>
    <w:p>
      <w:pPr>
        <w:pStyle w:val="ListBullet"/>
      </w:pPr>
      <w:r>
        <w:t>REQ-0007 (sysrs) is not covered in this section.</w:t>
      </w:r>
    </w:p>
    <w:p>
      <w:pPr>
        <w:pStyle w:val="ListBullet"/>
      </w:pPr>
      <w:r>
        <w:t>REQ-0008 (sysrs) is not covered in this section.</w:t>
      </w:r>
    </w:p>
    <w:p>
      <w:pPr>
        <w:pStyle w:val="ListBullet"/>
      </w:pPr>
      <w:r>
        <w:t>REQ-0009 (sysrs) is not covered in this section.</w:t>
      </w:r>
    </w:p>
    <w:p>
      <w:pPr>
        <w:pStyle w:val="ListBullet"/>
      </w:pPr>
      <w:r>
        <w:t>REQ-0010 (sysrs) is not covered in this section.</w:t>
      </w:r>
    </w:p>
    <w:p>
      <w:pPr>
        <w:pStyle w:val="ListBullet"/>
      </w:pPr>
      <w:r>
        <w:t>IR-0101 (irs) is not covered in this section.</w:t>
      </w:r>
    </w:p>
    <w:p>
      <w:pPr>
        <w:pStyle w:val="ListBullet"/>
      </w:pPr>
      <w:r>
        <w:t>IR-0102 (irs) is not covered in this section.</w:t>
      </w:r>
    </w:p>
    <w:p>
      <w:pPr>
        <w:pStyle w:val="ListBullet"/>
      </w:pPr>
      <w:r>
        <w:t>IR-0103 (irs) is not covered in this section.</w:t>
      </w:r>
    </w:p>
    <w:p>
      <w:pPr>
        <w:pStyle w:val="ListBullet"/>
      </w:pPr>
      <w:r>
        <w:t>IR-0104 (irs) is not covered in this section.</w:t>
      </w:r>
    </w:p>
    <w:p>
      <w:pPr>
        <w:pStyle w:val="Heading1"/>
      </w:pPr>
      <w:r>
        <w:t>6 Traceability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Link Type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C-acquisition.AcquisitionEngine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C-processing.HealthMonitor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</w:tbl>
    <w:p>
      <w:pPr>
        <w:pStyle w:val="Heading2"/>
      </w:pPr>
      <w:r>
        <w:t>Uncovered Requirements</w:t>
      </w:r>
    </w:p>
    <w:p>
      <w:pPr>
        <w:pStyle w:val="ListBullet"/>
      </w:pPr>
      <w:r>
        <w:t>C-acquisition.Sample</w:t>
      </w:r>
    </w:p>
    <w:p>
      <w:pPr>
        <w:pStyle w:val="ListBullet"/>
      </w:pPr>
      <w:r>
        <w:t>C-api.HealthReport</w:t>
      </w:r>
    </w:p>
    <w:p>
      <w:pPr>
        <w:pStyle w:val="ListBullet"/>
      </w:pPr>
      <w:r>
        <w:t>C-api.StartCommand</w:t>
      </w:r>
    </w:p>
    <w:p>
      <w:pPr>
        <w:pStyle w:val="ListBullet"/>
      </w:pPr>
      <w:r>
        <w:t>C-api.TelemetrySample</w:t>
      </w:r>
    </w:p>
    <w:p>
      <w:pPr>
        <w:pStyle w:val="ListBullet"/>
      </w:pPr>
      <w:r>
        <w:t>C-server./acquire/start</w:t>
      </w:r>
    </w:p>
    <w:p>
      <w:pPr>
        <w:pStyle w:val="ListBullet"/>
      </w:pPr>
      <w:r>
        <w:t>C-server./acquire/stop</w:t>
      </w:r>
    </w:p>
    <w:p>
      <w:pPr>
        <w:pStyle w:val="ListBullet"/>
      </w:pPr>
      <w:r>
        <w:t>C-server./health</w:t>
      </w:r>
    </w:p>
    <w:p>
      <w:pPr>
        <w:pStyle w:val="ListBullet"/>
      </w:pPr>
      <w:r>
        <w:t>C-server./mtbf</w:t>
      </w:r>
    </w:p>
    <w:p>
      <w:pPr>
        <w:pStyle w:val="ListBullet"/>
      </w:pPr>
      <w:r>
        <w:t>C-server./samples</w:t>
      </w:r>
    </w:p>
    <w:p>
      <w:pPr>
        <w:pStyle w:val="ListBullet"/>
      </w:pPr>
      <w:r>
        <w:t>C-server.get_mtbf</w:t>
      </w:r>
    </w:p>
    <w:p>
      <w:pPr>
        <w:pStyle w:val="ListBullet"/>
      </w:pPr>
      <w:r>
        <w:t>C-server.get_samples</w:t>
      </w:r>
    </w:p>
    <w:p>
      <w:pPr>
        <w:pStyle w:val="ListBullet"/>
      </w:pPr>
      <w:r>
        <w:t>C-server.health</w:t>
      </w:r>
    </w:p>
    <w:p>
      <w:pPr>
        <w:pStyle w:val="ListBullet"/>
      </w:pPr>
      <w:r>
        <w:t>C-server.start_acquisition</w:t>
      </w:r>
    </w:p>
    <w:p>
      <w:pPr>
        <w:pStyle w:val="ListBullet"/>
      </w:pPr>
      <w:r>
        <w:t>C-server.stop_acquisition</w:t>
      </w:r>
    </w:p>
    <w:p>
      <w:pPr>
        <w:pStyle w:val="Heading1"/>
      </w:pPr>
      <w:r>
        <w:t>7 Compliance Statement</w:t>
      </w:r>
    </w:p>
    <w:p>
      <w:pPr>
        <w:pStyle w:val="Heading2"/>
      </w:pPr>
      <w:r>
        <w:t>Standards and Regulatory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Clause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  <w:tc>
          <w:tcPr>
            <w:tcW w:type="dxa" w:w="2880"/>
          </w:tcPr>
          <w:p>
            <w:r>
              <w:t>IRS_v2.0.docx</w:t>
            </w:r>
          </w:p>
        </w:tc>
      </w:tr>
      <w:tr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  <w:tc>
          <w:tcPr>
            <w:tcW w:type="dxa" w:w="2880"/>
          </w:tcPr>
          <w:p>
            <w:r>
              <w:t>3. Interface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  <w:tr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  <w:tc>
          <w:tcPr>
            <w:tcW w:type="dxa" w:w="2880"/>
          </w:tcPr>
          <w:p>
            <w:r>
              <w:t>2. Requirements / 2.2 Non-Functional Requirements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