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Interface Control Document</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Purpose: This Interface Requirements Specification (IRS) defines the interface requirements for the ground segment and sensor interfaces of the defense R&amp;D software project.  The IRS outlines the functionality, data formats, and communication protocols for each interface to ensure seamless integration with the ground segment and sensor systems.</w:t>
        <w:br/>
        <w:br/>
        <w:t>Note: The IRS is based on the design review minutes from Design Review 04 (MoMDesignReview04.docx) and incorporates requirements from the Interface Requirements document (IRSv2.0.docx).</w:t>
      </w:r>
    </w:p>
    <w:p>
      <w:pPr>
        <w:pStyle w:val="Heading2"/>
      </w:pPr>
      <w:r>
        <w:t>Scope</w:t>
      </w:r>
    </w:p>
    <w:p>
      <w:r>
        <w:t>Scope</w:t>
        <w:br/>
        <w:br/>
        <w:t>This Interface Requirements Specification (IRS) defines the interface requirements for the ground segment and sensor interfaces of the defense R&amp;D software project.  The IRS outlines the communication protocols, data formats, and functionality required for seamless interaction between the ground segment and sensor interfaces with the software system.</w:t>
        <w:br/>
        <w:br/>
        <w:t>Reference: REQ-0001</w:t>
        <w:br/>
        <w:br/>
        <w:t>This document is based on the design review minutes from Design Review 04 (MoM_DesignReview04.docx) which outlines the preliminary design of the telemetry acquisition subsystem, including decisions regarding sample buffer implementation and REST interface versioning.  Further details can be found in the following documents:</w:t>
        <w:br/>
        <w:br/>
        <w:t>IRS-v2.0.docx: Interface Requirements Specification Revision 2.0</w:t>
        <w:br/>
        <w:t>MoM_DesignReview04.docx: Minutes of Meeting — Design Review 04</w:t>
        <w:br/>
        <w:br/>
        <w:t>Note: This document will be updated as necessary to reflect changes in requirements and design decisions throughout the project lifecycle.</w:t>
      </w:r>
    </w:p>
    <w:p>
      <w:pPr>
        <w:pStyle w:val="Heading2"/>
      </w:pPr>
      <w:r>
        <w:t>References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t>Ref Id</w:t>
            </w:r>
          </w:p>
        </w:tc>
        <w:tc>
          <w:tcPr>
            <w:tcW w:type="dxa" w:w="2880"/>
          </w:tcPr>
          <w:p>
            <w:r>
              <w:t>Title</w:t>
            </w:r>
          </w:p>
        </w:tc>
        <w:tc>
          <w:tcPr>
            <w:tcW w:type="dxa" w:w="2880"/>
          </w:tcPr>
          <w:p>
            <w:r>
              <w:t>Source</w:t>
            </w:r>
          </w:p>
        </w:tc>
      </w:tr>
      <w:tr>
        <w:tc>
          <w:tcPr>
            <w:tcW w:type="dxa" w:w="2880"/>
          </w:tcPr>
          <w:p>
            <w:r>
              <w:t>REQ-0005</w:t>
            </w:r>
          </w:p>
        </w:tc>
        <w:tc>
          <w:tcPr>
            <w:tcW w:type="dxa" w:w="2880"/>
          </w:tcPr>
          <w:p>
            <w:r>
              <w:t>1. Decisions</w:t>
            </w:r>
          </w:p>
        </w:tc>
        <w:tc>
          <w:tcPr>
            <w:tcW w:type="dxa" w:w="2880"/>
          </w:tcPr>
          <w:p>
            <w:r>
              <w:t>1. Decisions</w:t>
            </w:r>
          </w:p>
        </w:tc>
      </w:tr>
      <w:tr>
        <w:tc>
          <w:tcPr>
            <w:tcW w:type="dxa" w:w="2880"/>
          </w:tcPr>
          <w:p>
            <w:r>
              <w:t>IR-0101</w:t>
            </w:r>
          </w:p>
        </w:tc>
        <w:tc>
          <w:tcPr>
            <w:tcW w:type="dxa" w:w="2880"/>
          </w:tcPr>
          <w:p>
            <w:r>
              <w:t>3. Interface Requirements</w:t>
            </w:r>
          </w:p>
        </w:tc>
        <w:tc>
          <w:tcPr>
            <w:tcW w:type="dxa" w:w="2880"/>
          </w:tcPr>
          <w:p>
            <w:r>
              <w:t>3. Interface Requirements</w:t>
            </w:r>
          </w:p>
        </w:tc>
      </w:tr>
      <w:tr>
        <w:tc>
          <w:tcPr>
            <w:tcW w:type="dxa" w:w="2880"/>
          </w:tcPr>
          <w:p>
            <w:r>
              <w:t>MoM_DesignReview04.docx</w:t>
            </w:r>
          </w:p>
        </w:tc>
        <w:tc>
          <w:tcPr>
            <w:tcW w:type="dxa" w:w="2880"/>
          </w:tcPr>
          <w:p>
            <w:r>
              <w:t>MoM_DesignReview04.docx</w:t>
            </w:r>
          </w:p>
        </w:tc>
        <w:tc>
          <w:tcPr>
            <w:tcW w:type="dxa" w:w="2880"/>
          </w:tcPr>
          <w:p>
            <w:r>
              <w:t>MoM_DesignReview04.docx</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REQ-0001</w:t>
            </w:r>
          </w:p>
        </w:tc>
        <w:tc>
          <w:tcPr>
            <w:tcW w:type="dxa" w:w="2880"/>
          </w:tcPr>
          <w:p>
            <w:r>
              <w:t>4. Test Outcomes</w:t>
            </w:r>
          </w:p>
        </w:tc>
        <w:tc>
          <w:tcPr>
            <w:tcW w:type="dxa" w:w="2880"/>
          </w:tcPr>
          <w:p>
            <w:r>
              <w:t>4. Test Outcomes</w:t>
            </w:r>
          </w:p>
        </w:tc>
      </w:tr>
      <w:tr>
        <w:tc>
          <w:tcPr>
            <w:tcW w:type="dxa" w:w="2880"/>
          </w:tcPr>
          <w:p>
            <w:r>
              <w:t>REQ-0006</w:t>
            </w:r>
          </w:p>
        </w:tc>
        <w:tc>
          <w:tcPr>
            <w:tcW w:type="dxa" w:w="2880"/>
          </w:tcPr>
          <w:p>
            <w:r>
              <w:t>3. Requirement Changes</w:t>
            </w:r>
          </w:p>
        </w:tc>
        <w:tc>
          <w:tcPr>
            <w:tcW w:type="dxa" w:w="2880"/>
          </w:tcPr>
          <w:p>
            <w:r>
              <w:t>3. Requirement Changes</w:t>
            </w:r>
          </w:p>
        </w:tc>
      </w:tr>
      <w:tr>
        <w:tc>
          <w:tcPr>
            <w:tcW w:type="dxa" w:w="2880"/>
          </w:tcPr>
          <w:p>
            <w:r>
              <w:t>REQ-0001</w:t>
            </w:r>
          </w:p>
        </w:tc>
        <w:tc>
          <w:tcPr>
            <w:tcW w:type="dxa" w:w="2880"/>
          </w:tcPr>
          <w:p>
            <w:r>
              <w:t>2. Action Items</w:t>
            </w:r>
          </w:p>
        </w:tc>
        <w:tc>
          <w:tcPr>
            <w:tcW w:type="dxa" w:w="2880"/>
          </w:tcPr>
          <w:p>
            <w:r>
              <w:t>2. Action Items</w:t>
            </w:r>
          </w:p>
        </w:tc>
      </w:tr>
    </w:tbl>
    <w:p>
      <w:pPr>
        <w:pStyle w:val="Heading1"/>
      </w:pPr>
      <w:r>
        <w:t>2 Interface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Requirement Id</w:t>
            </w:r>
          </w:p>
        </w:tc>
        <w:tc>
          <w:tcPr>
            <w:tcW w:type="dxa" w:w="1440"/>
          </w:tcPr>
          <w:p>
            <w:r>
              <w:t>Requirement</w:t>
            </w:r>
          </w:p>
        </w:tc>
        <w:tc>
          <w:tcPr>
            <w:tcW w:type="dxa" w:w="1440"/>
          </w:tcPr>
          <w:p>
            <w:r>
              <w:t>Interface</w:t>
            </w:r>
          </w:p>
        </w:tc>
        <w:tc>
          <w:tcPr>
            <w:tcW w:type="dxa" w:w="1440"/>
          </w:tcPr>
          <w:p>
            <w:r>
              <w:t>Direction</w:t>
            </w:r>
          </w:p>
        </w:tc>
        <w:tc>
          <w:tcPr>
            <w:tcW w:type="dxa" w:w="1440"/>
          </w:tcPr>
          <w:p>
            <w:r>
              <w:t>Protocol</w:t>
            </w:r>
          </w:p>
        </w:tc>
        <w:tc>
          <w:tcPr>
            <w:tcW w:type="dxa" w:w="1440"/>
          </w:tcPr>
          <w:p>
            <w:r>
              <w:t>Source</w:t>
            </w:r>
          </w:p>
        </w:tc>
      </w:tr>
      <w:tr>
        <w:tc>
          <w:tcPr>
            <w:tcW w:type="dxa" w:w="1440"/>
          </w:tcPr>
          <w:p>
            <w:r>
              <w:t>IR-0101</w:t>
            </w:r>
          </w:p>
        </w:tc>
        <w:tc>
          <w:tcPr>
            <w:tcW w:type="dxa" w:w="1440"/>
          </w:tcPr>
          <w:p>
            <w:r>
              <w:t>| interface | The ground segment interface shall transmit telemetry sample envelopes as defined in api.proto (message TelemetrySample).</w:t>
            </w:r>
          </w:p>
        </w:tc>
        <w:tc>
          <w:tcPr>
            <w:tcW w:type="dxa" w:w="1440"/>
          </w:tcPr>
          <w:p>
            <w:r/>
          </w:p>
        </w:tc>
        <w:tc>
          <w:tcPr>
            <w:tcW w:type="dxa" w:w="1440"/>
          </w:tcPr>
          <w:p>
            <w:r/>
          </w:p>
        </w:tc>
        <w:tc>
          <w:tcPr>
            <w:tcW w:type="dxa" w:w="1440"/>
          </w:tcPr>
          <w:p>
            <w:r/>
          </w:p>
        </w:tc>
        <w:tc>
          <w:tcPr>
            <w:tcW w:type="dxa" w:w="1440"/>
          </w:tcPr>
          <w:p>
            <w:r>
              <w:t>irs</w:t>
            </w:r>
          </w:p>
        </w:tc>
      </w:tr>
      <w:tr>
        <w:tc>
          <w:tcPr>
            <w:tcW w:type="dxa" w:w="1440"/>
          </w:tcPr>
          <w:p>
            <w:r>
              <w:t>IR-0102</w:t>
            </w:r>
          </w:p>
        </w:tc>
        <w:tc>
          <w:tcPr>
            <w:tcW w:type="dxa" w:w="1440"/>
          </w:tcPr>
          <w:p>
            <w:r>
              <w:t>| interface | The acquisition command interface shall accept a StartCommand message to begin acquisition.</w:t>
            </w:r>
          </w:p>
        </w:tc>
        <w:tc>
          <w:tcPr>
            <w:tcW w:type="dxa" w:w="1440"/>
          </w:tcPr>
          <w:p>
            <w:r/>
          </w:p>
        </w:tc>
        <w:tc>
          <w:tcPr>
            <w:tcW w:type="dxa" w:w="1440"/>
          </w:tcPr>
          <w:p>
            <w:r/>
          </w:p>
        </w:tc>
        <w:tc>
          <w:tcPr>
            <w:tcW w:type="dxa" w:w="1440"/>
          </w:tcPr>
          <w:p>
            <w:r/>
          </w:p>
        </w:tc>
        <w:tc>
          <w:tcPr>
            <w:tcW w:type="dxa" w:w="1440"/>
          </w:tcPr>
          <w:p>
            <w:r>
              <w:t>irs</w:t>
            </w:r>
          </w:p>
        </w:tc>
      </w:tr>
      <w:tr>
        <w:tc>
          <w:tcPr>
            <w:tcW w:type="dxa" w:w="1440"/>
          </w:tcPr>
          <w:p>
            <w:r>
              <w:t>IR-0103</w:t>
            </w:r>
          </w:p>
        </w:tc>
        <w:tc>
          <w:tcPr>
            <w:tcW w:type="dxa" w:w="1440"/>
          </w:tcPr>
          <w:p>
            <w:r>
              <w:t>| interface | The health reporting interface shall expose an MTBF estimate as defined in api.proto (message HealthReport).</w:t>
            </w:r>
          </w:p>
        </w:tc>
        <w:tc>
          <w:tcPr>
            <w:tcW w:type="dxa" w:w="1440"/>
          </w:tcPr>
          <w:p>
            <w:r/>
          </w:p>
        </w:tc>
        <w:tc>
          <w:tcPr>
            <w:tcW w:type="dxa" w:w="1440"/>
          </w:tcPr>
          <w:p>
            <w:r/>
          </w:p>
        </w:tc>
        <w:tc>
          <w:tcPr>
            <w:tcW w:type="dxa" w:w="1440"/>
          </w:tcPr>
          <w:p>
            <w:r/>
          </w:p>
        </w:tc>
        <w:tc>
          <w:tcPr>
            <w:tcW w:type="dxa" w:w="1440"/>
          </w:tcPr>
          <w:p>
            <w:r>
              <w:t>irs</w:t>
            </w:r>
          </w:p>
        </w:tc>
      </w:tr>
      <w:tr>
        <w:tc>
          <w:tcPr>
            <w:tcW w:type="dxa" w:w="1440"/>
          </w:tcPr>
          <w:p>
            <w:r>
              <w:t>IR-0104</w:t>
            </w:r>
          </w:p>
        </w:tc>
        <w:tc>
          <w:tcPr>
            <w:tcW w:type="dxa" w:w="1440"/>
          </w:tcPr>
          <w:p>
            <w:r>
              <w:t>| interface | The sensor interface shall provide a raw sample stream at the configured sample rate.</w:t>
            </w:r>
          </w:p>
        </w:tc>
        <w:tc>
          <w:tcPr>
            <w:tcW w:type="dxa" w:w="1440"/>
          </w:tcPr>
          <w:p>
            <w:r/>
          </w:p>
        </w:tc>
        <w:tc>
          <w:tcPr>
            <w:tcW w:type="dxa" w:w="1440"/>
          </w:tcPr>
          <w:p>
            <w:r/>
          </w:p>
        </w:tc>
        <w:tc>
          <w:tcPr>
            <w:tcW w:type="dxa" w:w="1440"/>
          </w:tcPr>
          <w:p>
            <w:r/>
          </w:p>
        </w:tc>
        <w:tc>
          <w:tcPr>
            <w:tcW w:type="dxa" w:w="1440"/>
          </w:tcPr>
          <w:p>
            <w:r>
              <w:t>irs</w:t>
            </w:r>
          </w:p>
        </w:tc>
      </w:tr>
      <w:tr>
        <w:tc>
          <w:tcPr>
            <w:tcW w:type="dxa" w:w="1440"/>
          </w:tcPr>
          <w:p>
            <w:r>
              <w:t>REQ-0101</w:t>
            </w:r>
          </w:p>
        </w:tc>
        <w:tc>
          <w:tcPr>
            <w:tcW w:type="dxa" w:w="1440"/>
          </w:tcPr>
          <w:p>
            <w:r>
              <w:t>The ground segment interface shall transmit telemetry sample envelopes as defined in api.proto (message TelemetrySample).</w:t>
            </w:r>
          </w:p>
        </w:tc>
        <w:tc>
          <w:tcPr>
            <w:tcW w:type="dxa" w:w="1440"/>
          </w:tcPr>
          <w:p>
            <w:r>
              <w:t>ground segment interface</w:t>
            </w:r>
          </w:p>
        </w:tc>
        <w:tc>
          <w:tcPr>
            <w:tcW w:type="dxa" w:w="1440"/>
          </w:tcPr>
          <w:p>
            <w:r>
              <w:t>out</w:t>
            </w:r>
          </w:p>
        </w:tc>
        <w:tc>
          <w:tcPr>
            <w:tcW w:type="dxa" w:w="1440"/>
          </w:tcPr>
          <w:p>
            <w:r>
              <w:t>api.proto</w:t>
            </w:r>
          </w:p>
        </w:tc>
        <w:tc>
          <w:tcPr>
            <w:tcW w:type="dxa" w:w="1440"/>
          </w:tcPr>
          <w:p>
            <w:r>
              <w:t>irs</w:t>
            </w:r>
          </w:p>
        </w:tc>
      </w:tr>
      <w:tr>
        <w:tc>
          <w:tcPr>
            <w:tcW w:type="dxa" w:w="1440"/>
          </w:tcPr>
          <w:p>
            <w:r>
              <w:t>REQ-0102</w:t>
            </w:r>
          </w:p>
        </w:tc>
        <w:tc>
          <w:tcPr>
            <w:tcW w:type="dxa" w:w="1440"/>
          </w:tcPr>
          <w:p>
            <w:r>
              <w:t>The acquisition command interface shall accept a StartCommand message to begin acquisition.</w:t>
            </w:r>
          </w:p>
        </w:tc>
        <w:tc>
          <w:tcPr>
            <w:tcW w:type="dxa" w:w="1440"/>
          </w:tcPr>
          <w:p>
            <w:r>
              <w:t>acquisition command interface</w:t>
            </w:r>
          </w:p>
        </w:tc>
        <w:tc>
          <w:tcPr>
            <w:tcW w:type="dxa" w:w="1440"/>
          </w:tcPr>
          <w:p>
            <w:r>
              <w:t>in</w:t>
            </w:r>
          </w:p>
        </w:tc>
        <w:tc>
          <w:tcPr>
            <w:tcW w:type="dxa" w:w="1440"/>
          </w:tcPr>
          <w:p>
            <w:r/>
          </w:p>
        </w:tc>
        <w:tc>
          <w:tcPr>
            <w:tcW w:type="dxa" w:w="1440"/>
          </w:tcPr>
          <w:p>
            <w:r>
              <w:t>irs</w:t>
            </w:r>
          </w:p>
        </w:tc>
      </w:tr>
      <w:tr>
        <w:tc>
          <w:tcPr>
            <w:tcW w:type="dxa" w:w="1440"/>
          </w:tcPr>
          <w:p>
            <w:r>
              <w:t>REQ-0103</w:t>
            </w:r>
          </w:p>
        </w:tc>
        <w:tc>
          <w:tcPr>
            <w:tcW w:type="dxa" w:w="1440"/>
          </w:tcPr>
          <w:p>
            <w:r>
              <w:t>The health reporting interface shall expose an MTBF estimate as defined in api.proto (message HealthReport).</w:t>
            </w:r>
          </w:p>
        </w:tc>
        <w:tc>
          <w:tcPr>
            <w:tcW w:type="dxa" w:w="1440"/>
          </w:tcPr>
          <w:p>
            <w:r>
              <w:t>health reporting interface</w:t>
            </w:r>
          </w:p>
        </w:tc>
        <w:tc>
          <w:tcPr>
            <w:tcW w:type="dxa" w:w="1440"/>
          </w:tcPr>
          <w:p>
            <w:r>
              <w:t>out</w:t>
            </w:r>
          </w:p>
        </w:tc>
        <w:tc>
          <w:tcPr>
            <w:tcW w:type="dxa" w:w="1440"/>
          </w:tcPr>
          <w:p>
            <w:r>
              <w:t>api.proto</w:t>
            </w:r>
          </w:p>
        </w:tc>
        <w:tc>
          <w:tcPr>
            <w:tcW w:type="dxa" w:w="1440"/>
          </w:tcPr>
          <w:p>
            <w:r>
              <w:t>irs</w:t>
            </w:r>
          </w:p>
        </w:tc>
      </w:tr>
      <w:tr>
        <w:tc>
          <w:tcPr>
            <w:tcW w:type="dxa" w:w="1440"/>
          </w:tcPr>
          <w:p>
            <w:r>
              <w:t>REQ-0104</w:t>
            </w:r>
          </w:p>
        </w:tc>
        <w:tc>
          <w:tcPr>
            <w:tcW w:type="dxa" w:w="1440"/>
          </w:tcPr>
          <w:p>
            <w:r>
              <w:t>The sensor interface shall provide a raw sample stream at the configured sample rate.</w:t>
            </w:r>
          </w:p>
        </w:tc>
        <w:tc>
          <w:tcPr>
            <w:tcW w:type="dxa" w:w="1440"/>
          </w:tcPr>
          <w:p>
            <w:r>
              <w:t>sensor interface</w:t>
            </w:r>
          </w:p>
        </w:tc>
        <w:tc>
          <w:tcPr>
            <w:tcW w:type="dxa" w:w="1440"/>
          </w:tcPr>
          <w:p>
            <w:r>
              <w:t>out</w:t>
            </w:r>
          </w:p>
        </w:tc>
        <w:tc>
          <w:tcPr>
            <w:tcW w:type="dxa" w:w="1440"/>
          </w:tcPr>
          <w:p>
            <w:r/>
          </w:p>
        </w:tc>
        <w:tc>
          <w:tcPr>
            <w:tcW w:type="dxa" w:w="1440"/>
          </w:tcPr>
          <w:p>
            <w:r>
              <w:t>irs</w:t>
            </w:r>
          </w:p>
        </w:tc>
      </w:tr>
    </w:tbl>
    <w:p>
      <w:pPr>
        <w:pStyle w:val="Heading1"/>
      </w:pPr>
      <w:r>
        <w:t>3 Message Formats and Data Structures</w:t>
      </w:r>
    </w:p>
    <w:p>
      <w:pPr>
        <w:pStyle w:val="Heading2"/>
      </w:pPr>
      <w:r>
        <w:t>Message Schemas</w:t>
      </w:r>
    </w:p>
    <w:tbl>
      <w:tblPr>
        <w:tblStyle w:val="TableGrid"/>
        <w:tblW w:type="auto" w:w="0"/>
        <w:tblLook w:firstColumn="1" w:firstRow="1" w:lastColumn="0" w:lastRow="0" w:noHBand="0" w:noVBand="1" w:val="04A0"/>
      </w:tblPr>
      <w:tblGrid>
        <w:gridCol w:w="2880"/>
        <w:gridCol w:w="2880"/>
        <w:gridCol w:w="2880"/>
      </w:tblGrid>
      <w:tr>
        <w:tc>
          <w:tcPr>
            <w:tcW w:type="dxa" w:w="2880"/>
          </w:tcPr>
          <w:p>
            <w:r>
              <w:t>Message</w:t>
            </w:r>
          </w:p>
        </w:tc>
        <w:tc>
          <w:tcPr>
            <w:tcW w:type="dxa" w:w="2880"/>
          </w:tcPr>
          <w:p>
            <w:r>
              <w:t>Schema Source</w:t>
            </w:r>
          </w:p>
        </w:tc>
        <w:tc>
          <w:tcPr>
            <w:tcW w:type="dxa" w:w="2880"/>
          </w:tcPr>
          <w:p>
            <w:r>
              <w:t>Fields</w:t>
            </w:r>
          </w:p>
        </w:tc>
      </w:tr>
      <w:tr>
        <w:tc>
          <w:tcPr>
            <w:tcW w:type="dxa" w:w="2880"/>
          </w:tcPr>
          <w:p>
            <w:r>
              <w:t>storage/59a35f88-3298-4700-bf44-1e0ce35e97ae/uploads/code/telemetry_acq/server.py</w:t>
            </w:r>
          </w:p>
        </w:tc>
        <w:tc>
          <w:tcPr>
            <w:tcW w:type="dxa" w:w="2880"/>
          </w:tcPr>
          <w:p>
            <w:r>
              <w:t>storage/59a35f88-3298-4700-bf44-1e0ce35e97ae/uploads/code/telemetry_acq/server.py</w:t>
            </w:r>
          </w:p>
        </w:tc>
        <w:tc>
          <w:tcPr>
            <w:tcW w:type="dxa" w:w="2880"/>
          </w:tcPr>
          <w:p>
            <w:r>
              <w:t>storage/59a35f88-3298-4700-bf44-1e0ce35e97ae/uploads/code/telemetry_acq/server.py</w:t>
            </w:r>
          </w:p>
        </w:tc>
      </w:tr>
      <w:tr>
        <w:tc>
          <w:tcPr>
            <w:tcW w:type="dxa" w:w="2880"/>
          </w:tcPr>
          <w:p>
            <w:r>
              <w:t>storage/59a35f88-3298-4700-bf44-1e0ce35e97ae/uploads/code/telemetry_acq/api.proto</w:t>
            </w:r>
          </w:p>
        </w:tc>
        <w:tc>
          <w:tcPr>
            <w:tcW w:type="dxa" w:w="2880"/>
          </w:tcPr>
          <w:p>
            <w:r>
              <w:t>storage/59a35f88-3298-4700-bf44-1e0ce35e97ae/uploads/code/telemetry_acq/api.proto</w:t>
            </w:r>
          </w:p>
        </w:tc>
        <w:tc>
          <w:tcPr>
            <w:tcW w:type="dxa" w:w="2880"/>
          </w:tcPr>
          <w:p>
            <w:r>
              <w:t>storage/59a35f88-3298-4700-bf44-1e0ce35e97ae/uploads/code/telemetry_acq/api.proto</w:t>
            </w:r>
          </w:p>
        </w:tc>
      </w:tr>
      <w:tr>
        <w:tc>
          <w:tcPr>
            <w:tcW w:type="dxa" w:w="2880"/>
          </w:tcPr>
          <w:p>
            <w:r>
              <w:t>3. Interface Requirements</w:t>
            </w:r>
          </w:p>
        </w:tc>
        <w:tc>
          <w:tcPr>
            <w:tcW w:type="dxa" w:w="2880"/>
          </w:tcPr>
          <w:p>
            <w:r>
              <w:t>3. Interface Requirements</w:t>
            </w:r>
          </w:p>
        </w:tc>
        <w:tc>
          <w:tcPr>
            <w:tcW w:type="dxa" w:w="2880"/>
          </w:tcPr>
          <w:p>
            <w:r>
              <w:t>3. Interface Requirements</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storage/59a35f88-3298-4700-bf44-1e0ce35e97ae/uploads/code/telemetry_acq/processing.py</w:t>
            </w:r>
          </w:p>
        </w:tc>
        <w:tc>
          <w:tcPr>
            <w:tcW w:type="dxa" w:w="2880"/>
          </w:tcPr>
          <w:p>
            <w:r>
              <w:t>storage/59a35f88-3298-4700-bf44-1e0ce35e97ae/uploads/code/telemetry_acq/processing.py</w:t>
            </w:r>
          </w:p>
        </w:tc>
        <w:tc>
          <w:tcPr>
            <w:tcW w:type="dxa" w:w="2880"/>
          </w:tcPr>
          <w:p>
            <w:r>
              <w:t>storage/59a35f88-3298-4700-bf44-1e0ce35e97ae/uploads/code/telemetry_acq/processing.py</w:t>
            </w:r>
          </w:p>
        </w:tc>
      </w:tr>
      <w:tr>
        <w:tc>
          <w:tcPr>
            <w:tcW w:type="dxa" w:w="2880"/>
          </w:tcPr>
          <w:p>
            <w:r>
              <w:t>storage/59a35f88-3298-4700-bf44-1e0ce35e97ae/uploads/code/telemetry_acq/acquisition.py</w:t>
            </w:r>
          </w:p>
        </w:tc>
        <w:tc>
          <w:tcPr>
            <w:tcW w:type="dxa" w:w="2880"/>
          </w:tcPr>
          <w:p>
            <w:r>
              <w:t>storage/59a35f88-3298-4700-bf44-1e0ce35e97ae/uploads/code/telemetry_acq/acquisition.py</w:t>
            </w:r>
          </w:p>
        </w:tc>
        <w:tc>
          <w:tcPr>
            <w:tcW w:type="dxa" w:w="2880"/>
          </w:tcPr>
          <w:p>
            <w:r>
              <w:t>storage/59a35f88-3298-4700-bf44-1e0ce35e97ae/uploads/code/telemetry_acq/acquisition.py</w:t>
            </w:r>
          </w:p>
        </w:tc>
      </w:tr>
      <w:tr>
        <w:tc>
          <w:tcPr>
            <w:tcW w:type="dxa" w:w="2880"/>
          </w:tcPr>
          <w:p>
            <w:r>
              <w:t>storage/59a35f88-3298-4700-bf44-1e0ce35e97ae/uploads/code/telemetry_acq/acquisition.py</w:t>
            </w:r>
          </w:p>
        </w:tc>
        <w:tc>
          <w:tcPr>
            <w:tcW w:type="dxa" w:w="2880"/>
          </w:tcPr>
          <w:p>
            <w:r>
              <w:t>storage/59a35f88-3298-4700-bf44-1e0ce35e97ae/uploads/code/telemetry_acq/acquisition.py</w:t>
            </w:r>
          </w:p>
        </w:tc>
        <w:tc>
          <w:tcPr>
            <w:tcW w:type="dxa" w:w="2880"/>
          </w:tcPr>
          <w:p>
            <w:r>
              <w:t>storage/59a35f88-3298-4700-bf44-1e0ce35e97ae/uploads/code/telemetry_acq/acquisition.py</w:t>
            </w:r>
          </w:p>
        </w:tc>
      </w:tr>
      <w:tr>
        <w:tc>
          <w:tcPr>
            <w:tcW w:type="dxa" w:w="2880"/>
          </w:tcPr>
          <w:p>
            <w:r>
              <w:t>storage/59a35f88-3298-4700-bf44-1e0ce35e97ae/uploads/code/telemetry_acq/acquisition.py</w:t>
            </w:r>
          </w:p>
        </w:tc>
        <w:tc>
          <w:tcPr>
            <w:tcW w:type="dxa" w:w="2880"/>
          </w:tcPr>
          <w:p>
            <w:r>
              <w:t>storage/59a35f88-3298-4700-bf44-1e0ce35e97ae/uploads/code/telemetry_acq/acquisition.py</w:t>
            </w:r>
          </w:p>
        </w:tc>
        <w:tc>
          <w:tcPr>
            <w:tcW w:type="dxa" w:w="2880"/>
          </w:tcPr>
          <w:p>
            <w:r>
              <w:t>storage/59a35f88-3298-4700-bf44-1e0ce35e97ae/uploads/code/telemetry_acq/acquisition.py</w:t>
            </w:r>
          </w:p>
        </w:tc>
      </w:tr>
    </w:tbl>
    <w:p>
      <w:pPr>
        <w:pStyle w:val="Heading2"/>
      </w:pPr>
      <w:r>
        <w:t>Encoding Rules</w:t>
      </w:r>
    </w:p>
    <w:p>
      <w:r>
        <w:t>ICD Section 3: Message Formats and Data Structures - Encoding Rules</w:t>
        <w:br/>
        <w:br/>
        <w:t>3.1 Encoding Rules</w:t>
        <w:br/>
        <w:br/>
        <w:t>This section outlines the encoding rules for messages exchanged between system components, adhering to the specified protocol defined in api.proto.</w:t>
        <w:br/>
        <w:br/>
        <w:t>3.1.1 Telemetry Sample Envelopes:</w:t>
        <w:br/>
        <w:br/>
        <w:t>Interface IR-0101: The ground segment interface shall transmit telemetry sample envelopes as defined in api.proto (message TelemetrySample).</w:t>
        <w:br/>
        <w:t xml:space="preserve">    * This message format is based on the TelemetrySample message defined in the api.proto file.</w:t>
        <w:br/>
        <w:br/>
        <w:t>3.1.2 Acquisition Command Interface:</w:t>
        <w:br/>
        <w:br/>
        <w:t>Interface IR-0102: The acquisition command interface shall accept a StartCommand message to begin acquisition.</w:t>
        <w:br/>
        <w:t xml:space="preserve">    * This message format is based on the StartCommand message defined in the api.proto file.</w:t>
        <w:br/>
        <w:br/>
        <w:t>3.1.3 Health Reporting Interface:</w:t>
        <w:br/>
        <w:br/>
        <w:t>Interface IR-0103: The health reporting interface shall expose an MTBF estimate as defined in api.proto (message HealthReport).</w:t>
        <w:br/>
        <w:t xml:space="preserve">    * This message format is based on the HealthReport message defined in the api.proto file.</w:t>
        <w:br/>
        <w:br/>
        <w:t>3.1.4 Raw Sample Stream:</w:t>
        <w:br/>
        <w:br/>
        <w:t>Interface IR-04: The sensor interface shall provide a raw sample stream at the configured sample rate.</w:t>
        <w:br/>
        <w:t xml:space="preserve">    * This requirement is not explicitly defined in the provided text, but it is implied by the need for a raw sample stream to be available for processing.</w:t>
        <w:br/>
        <w:br/>
        <w:t>3.1.5 Encoding and Data Structure:</w:t>
        <w:br/>
        <w:br/>
        <w:t>Protocol: The encoding of messages will adhere to the proto3 syntax as specified in the api.proto file.</w:t>
        <w:br/>
        <w:t xml:space="preserve">    * This ensures interoperability between different system components.</w:t>
        <w:br/>
        <w:br/>
        <w:t>Note: This ICD section provides a high-level overview of the message formats and data structures used within the project.  Further details on specific encoding rules, data structure definitions, and protocol implementation can be found in the api.proto file and related documentation.</w:t>
      </w:r>
    </w:p>
    <w:p>
      <w:pPr>
        <w:pStyle w:val="Heading1"/>
      </w:pPr>
      <w:r>
        <w:t>4 Interface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REQ-0003</w:t>
      </w:r>
    </w:p>
    <w:p>
      <w:pPr>
        <w:pStyle w:val="ListBullet"/>
      </w:pPr>
      <w:r>
        <w:t>REQ-0004</w:t>
      </w:r>
    </w:p>
    <w:p>
      <w:pPr>
        <w:pStyle w:val="ListBullet"/>
      </w:pPr>
      <w:r>
        <w:t>REQ-0007</w:t>
      </w:r>
    </w:p>
    <w:p>
      <w:pPr>
        <w:pStyle w:val="ListBullet"/>
      </w:pPr>
      <w:r>
        <w:t>REQ-0010</w:t>
      </w:r>
    </w:p>
    <w:p>
      <w:pPr>
        <w:pStyle w:val="ListBullet"/>
      </w:pPr>
      <w:r>
        <w:t>REQ-0101</w:t>
      </w:r>
    </w:p>
    <w:p>
      <w:pPr>
        <w:pStyle w:val="ListBullet"/>
      </w:pPr>
      <w:r>
        <w:t>REQ-0102</w:t>
      </w:r>
    </w:p>
    <w:p>
      <w:pPr>
        <w:pStyle w:val="ListBullet"/>
      </w:pPr>
      <w:r>
        <w:t>REQ-0103</w:t>
      </w:r>
    </w:p>
    <w:p>
      <w:pPr>
        <w:pStyle w:val="ListBullet"/>
      </w:pPr>
      <w:r>
        <w:t>REQ-0104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