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 This System Requirement Specification (SRS) defines the system-level requirements for the telemetry acquisition subsystem of [Project Name].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 This SRS is intended for use by developers, engineers, testers, and other stakeholders involved in the development and deployment of this software.</w:t>
      </w:r>
    </w:p>
    <w:p>
      <w:pPr>
        <w:pStyle w:val="Heading2"/>
      </w:pPr>
      <w:r>
        <w:t>Scope</w:t>
      </w:r>
    </w:p>
    <w:p>
      <w:r>
        <w:t>This System Requirement Specification (SRS) defines the system-level requirements for the telemetry acquisition subsystem of the [Project Name] R&amp;D software project.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w:t>
        <w:br/>
        <w:br/>
        <w:t>Scope:</w:t>
        <w:br/>
        <w:br/>
        <w:t>In Scope:</w:t>
        <w:br/>
        <w:t xml:space="preserve">    * Acquisition and processing of telemetry data from at least three sensor channels simultaneously.</w:t>
        <w:br/>
        <w:t xml:space="preserve">    * Timestamping every acquired sample with a system time reference accurate to +/- 1 ms.</w:t>
        <w:br/>
        <w:t xml:space="preserve">    * Buffering at least 10,000 samples per channel before flow control is applied.</w:t>
        <w:br/>
        <w:t xml:space="preserve">    * Exposing acquired samples through a REST interface to the ground segment.</w:t>
        <w:br/>
        <w:t xml:space="preserve">    * Recording an engineering log with a minimum depth of 6 months of mission operations.</w:t>
        <w:br/>
        <w:t>Out of Scope:  This SRS does not define the detailed design or implementation of the telemetry acquisition subsystem, including specific sensor types, data processing algorithms, or REST API implementation details.</w:t>
        <w:br/>
        <w:br/>
        <w:t>Note: Detailed design information is provided in the System Design Document (SDD).</w:t>
      </w:r>
    </w:p>
    <w:p>
      <w:pPr>
        <w:pStyle w:val="Heading2"/>
      </w:pPr>
      <w:r>
        <w:t>Related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Ref Id</w:t>
            </w:r>
          </w:p>
        </w:tc>
        <w:tc>
          <w:tcPr>
            <w:tcW w:type="dxa" w:w="2880"/>
          </w:tcPr>
          <w:p>
            <w:r>
              <w:t>Title</w:t>
            </w:r>
          </w:p>
        </w:tc>
        <w:tc>
          <w:tcPr>
            <w:tcW w:type="dxa" w:w="2880"/>
          </w:tcPr>
          <w:p>
            <w:r>
              <w:t>Source</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REQ-0001</w:t>
            </w:r>
          </w:p>
        </w:tc>
        <w:tc>
          <w:tcPr>
            <w:tcW w:type="dxa" w:w="2880"/>
          </w:tcPr>
          <w:p>
            <w:r>
              <w:t>2. Action Items</w:t>
            </w:r>
          </w:p>
        </w:tc>
        <w:tc>
          <w:tcPr>
            <w:tcW w:type="dxa" w:w="2880"/>
          </w:tcPr>
          <w:p>
            <w:r>
              <w:t>2. Action Items</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REQ-0001</w:t>
            </w:r>
          </w:p>
        </w:tc>
        <w:tc>
          <w:tcPr>
            <w:tcW w:type="dxa" w:w="2880"/>
          </w:tcPr>
          <w:p>
            <w:r>
              <w:t>4. Test Outcomes</w:t>
            </w:r>
          </w:p>
        </w:tc>
        <w:tc>
          <w:tcPr>
            <w:tcW w:type="dxa" w:w="2880"/>
          </w:tcPr>
          <w:p>
            <w:r>
              <w:t>4. Test Outcomes</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bl>
    <w:p>
      <w:pPr>
        <w:pStyle w:val="Heading1"/>
      </w:pPr>
      <w:r>
        <w:t>2 System Design Overview</w:t>
      </w:r>
    </w:p>
    <w:p>
      <w:pPr>
        <w:pStyle w:val="Heading2"/>
      </w:pPr>
      <w:r>
        <w:t>Design Approach</w:t>
      </w:r>
    </w:p>
    <w:p>
      <w:r>
        <w:t>System Design Overview</w:t>
        <w:br/>
        <w:br/>
        <w:t>Design Approach: This system is designed to acquire, timestamp, buffer, and transmit telemetry data from at least three sensor channels simultaneously.  The system interfaces with the ground segment via a REST interface for data transfer and analysis.  A detailed engineering log of mission operations will be maintained for at least six months.</w:t>
        <w:br/>
        <w:br/>
        <w:t>Key Architectural Components:</w:t>
        <w:br/>
        <w:br/>
        <w:t>Sensor Acquisition Module: Acquires telemetry data from multiple sensor channels.</w:t>
        <w:br/>
        <w:t>Data Buffering Module: Buffers acquired samples before flow control to maintain real-time data delivery.</w:t>
        <w:br/>
        <w:t>Timestamping Module: Timestamps each acquired sample with high accuracy.</w:t>
        <w:br/>
        <w:t>REST Interface Module: Exposes acquired data through a REST interface for ground segment access.</w:t>
        <w:br/>
        <w:t>Engineering Log Module: Records an engineering log of mission operations, maintaining at least six months of historical data.</w:t>
        <w:br/>
        <w:br/>
        <w:t>System Boundaries and Interfaces:</w:t>
        <w:br/>
        <w:br/>
        <w:t>Ground Segment: The system exposes acquired samples through a REST interface to the ground segment for data transfer and analysis.</w:t>
        <w:br/>
        <w:t>Engineering Log:  The system maintains an engineering log with a minimum depth of six months of mission operation data, serving as a historical record for troubleshooting and operational analysis.</w:t>
        <w:br/>
        <w:t>Power Management Module: Operates within a 28 V DC power envelope not exceeding 45 W to ensure efficient power consumption and reliable operation.</w:t>
        <w:br/>
        <w:br/>
        <w:t>Performance Requirements:</w:t>
        <w:br/>
        <w:br/>
        <w:t>Sample Ingestion Rate: The system achieves a sample ingestion rate of at least 100 Hz per channel, enabling real-time data processing and analysis.</w:t>
        <w:br/>
        <w:t>Mean Time Between Failures (MTBF):  The system's MTBF must be not less than 2000 hours to ensure continuous operation and minimize downtime.</w:t>
        <w:br/>
        <w:br/>
        <w:t>Non-Functional Requirements:</w:t>
        <w:br/>
        <w:br/>
        <w:t>Data Integrity: The system operates within a controlled environment with defined boundaries to ensure data integrity and security. Access to acquisition controls is restricted to authenticated operators only, preventing unauthorized manipulation of the system.</w:t>
        <w:br/>
        <w:t>Power Consumption:  The system operates within a 28 V DC power envelope not exceeding 45 W, ensuring efficient power consumption and reliable operation.</w:t>
        <w:br/>
        <w:br/>
        <w:t>Note: Detailed design information regarding specific functionalities and interactions will be provided in subsequent sections of this specification.</w:t>
      </w:r>
    </w:p>
    <w:p>
      <w:pPr>
        <w:pStyle w:val="Heading2"/>
      </w:pPr>
      <w:r>
        <w:t>Module Decomposition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Responsibility</w:t>
            </w:r>
          </w:p>
        </w:tc>
        <w:tc>
          <w:tcPr>
            <w:tcW w:type="dxa" w:w="2880"/>
          </w:tcPr>
          <w:p>
            <w:r>
              <w:t>Source</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3 Functional Requirements</w:t>
            </w:r>
          </w:p>
        </w:tc>
        <w:tc>
          <w:tcPr>
            <w:tcW w:type="dxa" w:w="2880"/>
          </w:tcPr>
          <w:p>
            <w:r>
              <w:t>3 Functional Requirements</w:t>
            </w:r>
          </w:p>
        </w:tc>
        <w:tc>
          <w:tcPr>
            <w:tcW w:type="dxa" w:w="2880"/>
          </w:tcPr>
          <w:p>
            <w:r>
              <w:t>3 Functional Requirements</w:t>
            </w:r>
          </w:p>
        </w:tc>
      </w:tr>
      <w:tr>
        <w:tc>
          <w:tcPr>
            <w:tcW w:type="dxa" w:w="2880"/>
          </w:tcPr>
          <w:p>
            <w:r>
              <w:t>2 System Overview</w:t>
            </w:r>
          </w:p>
        </w:tc>
        <w:tc>
          <w:tcPr>
            <w:tcW w:type="dxa" w:w="2880"/>
          </w:tcPr>
          <w:p>
            <w:r>
              <w:t>2 System Overview</w:t>
            </w:r>
          </w:p>
        </w:tc>
        <w:tc>
          <w:tcPr>
            <w:tcW w:type="dxa" w:w="2880"/>
          </w:tcPr>
          <w:p>
            <w:r>
              <w:t>2 System Overview</w:t>
            </w:r>
          </w:p>
        </w:tc>
      </w:tr>
      <w:tr>
        <w:tc>
          <w:tcPr>
            <w:tcW w:type="dxa" w:w="2880"/>
          </w:tcPr>
          <w:p>
            <w:r>
              <w:t>1 Introduction</w:t>
            </w:r>
          </w:p>
        </w:tc>
        <w:tc>
          <w:tcPr>
            <w:tcW w:type="dxa" w:w="2880"/>
          </w:tcPr>
          <w:p>
            <w:r>
              <w:t>1 Introduction</w:t>
            </w:r>
          </w:p>
        </w:tc>
        <w:tc>
          <w:tcPr>
            <w:tcW w:type="dxa" w:w="2880"/>
          </w:tcPr>
          <w:p>
            <w:r>
              <w:t>1 Introduction</w:t>
            </w:r>
          </w:p>
        </w:tc>
      </w:tr>
    </w:tbl>
    <w:p>
      <w:pPr>
        <w:pStyle w:val="Heading2"/>
      </w:pPr>
      <w:r>
        <w:t>Key Architectural Decisions</w:t>
      </w:r>
    </w:p>
    <w:p>
      <w:r>
        <w:t>System Design Overview: Key Architectural Decisions</w:t>
        <w:br/>
        <w:br/>
        <w:t>Key decisions driving the design of this R&amp;D software project include:</w:t>
        <w:br/>
        <w:br/>
        <w:t>Multi-Channel Acquisition and Timestamping: The system will acquire telemetry data from at least three sensor channels simultaneously, ensuring comprehensive data capture.  Each sample will be timestamped with high accuracy (within +/- 1 ms) to enable precise time-based analysis.</w:t>
        <w:br/>
        <w:t>Real-Time Data Delivery: A dedicated data buffering module ensures reliable data delivery even under high demand conditions. This buffer capacity guarantees the system can maintain real-time data flow, enabling immediate processing and analysis.</w:t>
        <w:br/>
        <w:t>REST Interface for Ground Segment Access: The system will expose acquired samples through a REST interface to the ground segment, facilitating seamless data transfer and analysis by ground segment operators.</w:t>
        <w:br/>
        <w:t>Engineering Log for Operational Analysis: A detailed engineering log with a minimum depth of six months captures mission operation data, serving as a historical record for troubleshooting and operational analysis. This ensures comprehensive historical context for future operations.</w:t>
        <w:br/>
        <w:br/>
        <w:t>Power Management &amp; Reliability: The system operates within a 28 V DC power envelope not exceeding 45 W, ensuring efficient power consumption and reliable operation.  The system's Mean Time Between Failures (MTBF) must be not less than 2000 hours, guaranteeing continuous operation and minimizing downtime.</w:t>
        <w:br/>
        <w:br/>
        <w:t>Access Control &amp; System Boundaries: Access to acquisition controls is restricted to authenticated operators only, preventing unauthorized manipulation of the system. This ensures data integrity and security within defined boundaries.</w:t>
        <w:br/>
        <w:br/>
        <w:t>These key architectural decisions ensure a robust and reliable telemetry data acquisition and processing system that meets the project's requirements for real-time analysis, operational history, and secure operation.</w:t>
      </w:r>
    </w:p>
    <w:p>
      <w:pPr>
        <w:pStyle w:val="Heading1"/>
      </w:pPr>
      <w:r>
        <w:t>3 Module and Component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Artifact Id</w:t>
            </w:r>
          </w:p>
        </w:tc>
        <w:tc>
          <w:tcPr>
            <w:tcW w:type="dxa" w:w="1728"/>
          </w:tcPr>
          <w:p>
            <w:r>
              <w:t>Artifact</w:t>
            </w:r>
          </w:p>
        </w:tc>
        <w:tc>
          <w:tcPr>
            <w:tcW w:type="dxa" w:w="1728"/>
          </w:tcPr>
          <w:p>
            <w:r>
              <w:t>Artifact Type</w:t>
            </w:r>
          </w:p>
        </w:tc>
        <w:tc>
          <w:tcPr>
            <w:tcW w:type="dxa" w:w="1728"/>
          </w:tcPr>
          <w:p>
            <w:r>
              <w:t>Module</w:t>
            </w:r>
          </w:p>
        </w:tc>
        <w:tc>
          <w:tcPr>
            <w:tcW w:type="dxa" w:w="1728"/>
          </w:tcPr>
          <w:p>
            <w:r>
              <w:t>Description</w:t>
            </w:r>
          </w:p>
        </w:tc>
      </w:tr>
      <w:tr>
        <w:tc>
          <w:tcPr>
            <w:tcW w:type="dxa" w:w="1728"/>
          </w:tcPr>
          <w:p>
            <w:r>
              <w:t>C-acquisition.AcquisitionEngine</w:t>
            </w:r>
          </w:p>
        </w:tc>
        <w:tc>
          <w:tcPr>
            <w:tcW w:type="dxa" w:w="1728"/>
          </w:tcPr>
          <w:p>
            <w:r>
              <w:t>AcquisitionEngine</w:t>
            </w:r>
          </w:p>
        </w:tc>
        <w:tc>
          <w:tcPr>
            <w:tcW w:type="dxa" w:w="1728"/>
          </w:tcPr>
          <w:p>
            <w:r>
              <w:t>code_artifact</w:t>
            </w:r>
          </w:p>
        </w:tc>
        <w:tc>
          <w:tcPr>
            <w:tcW w:type="dxa" w:w="1728"/>
          </w:tcPr>
          <w:p>
            <w:r>
              <w:t>acquisition</w:t>
            </w:r>
          </w:p>
        </w:tc>
        <w:tc>
          <w:tcPr>
            <w:tcW w:type="dxa" w:w="1728"/>
          </w:tcPr>
          <w:p>
            <w:r>
              <w:t>AcquisitionEngine</w:t>
            </w:r>
          </w:p>
        </w:tc>
      </w:tr>
      <w:tr>
        <w:tc>
          <w:tcPr>
            <w:tcW w:type="dxa" w:w="1728"/>
          </w:tcPr>
          <w:p>
            <w:r>
              <w:t>C-acquisition.Sample</w:t>
            </w:r>
          </w:p>
        </w:tc>
        <w:tc>
          <w:tcPr>
            <w:tcW w:type="dxa" w:w="1728"/>
          </w:tcPr>
          <w:p>
            <w:r>
              <w:t>Sample</w:t>
            </w:r>
          </w:p>
        </w:tc>
        <w:tc>
          <w:tcPr>
            <w:tcW w:type="dxa" w:w="1728"/>
          </w:tcPr>
          <w:p>
            <w:r>
              <w:t>code_artifact</w:t>
            </w:r>
          </w:p>
        </w:tc>
        <w:tc>
          <w:tcPr>
            <w:tcW w:type="dxa" w:w="1728"/>
          </w:tcPr>
          <w:p>
            <w:r>
              <w:t>acquisition</w:t>
            </w:r>
          </w:p>
        </w:tc>
        <w:tc>
          <w:tcPr>
            <w:tcW w:type="dxa" w:w="1728"/>
          </w:tcPr>
          <w:p>
            <w:r>
              <w:t>Sample</w:t>
            </w:r>
          </w:p>
        </w:tc>
      </w:tr>
      <w:tr>
        <w:tc>
          <w:tcPr>
            <w:tcW w:type="dxa" w:w="1728"/>
          </w:tcPr>
          <w:p>
            <w:r>
              <w:t>C-api.HealthReport</w:t>
            </w:r>
          </w:p>
        </w:tc>
        <w:tc>
          <w:tcPr>
            <w:tcW w:type="dxa" w:w="1728"/>
          </w:tcPr>
          <w:p>
            <w:r>
              <w:t>message HealthReport {</w:t>
            </w:r>
          </w:p>
        </w:tc>
        <w:tc>
          <w:tcPr>
            <w:tcW w:type="dxa" w:w="1728"/>
          </w:tcPr>
          <w:p>
            <w:r>
              <w:t>code_artifact</w:t>
            </w:r>
          </w:p>
        </w:tc>
        <w:tc>
          <w:tcPr>
            <w:tcW w:type="dxa" w:w="1728"/>
          </w:tcPr>
          <w:p>
            <w:r>
              <w:t>api</w:t>
            </w:r>
          </w:p>
        </w:tc>
        <w:tc>
          <w:tcPr>
            <w:tcW w:type="dxa" w:w="1728"/>
          </w:tcPr>
          <w:p>
            <w:r>
              <w:t>message HealthReport {</w:t>
            </w:r>
          </w:p>
        </w:tc>
      </w:tr>
      <w:tr>
        <w:tc>
          <w:tcPr>
            <w:tcW w:type="dxa" w:w="1728"/>
          </w:tcPr>
          <w:p>
            <w:r>
              <w:t>C-api.StartCommand</w:t>
            </w:r>
          </w:p>
        </w:tc>
        <w:tc>
          <w:tcPr>
            <w:tcW w:type="dxa" w:w="1728"/>
          </w:tcPr>
          <w:p>
            <w:r>
              <w:t>message StartCommand {</w:t>
            </w:r>
          </w:p>
        </w:tc>
        <w:tc>
          <w:tcPr>
            <w:tcW w:type="dxa" w:w="1728"/>
          </w:tcPr>
          <w:p>
            <w:r>
              <w:t>code_artifact</w:t>
            </w:r>
          </w:p>
        </w:tc>
        <w:tc>
          <w:tcPr>
            <w:tcW w:type="dxa" w:w="1728"/>
          </w:tcPr>
          <w:p>
            <w:r>
              <w:t>api</w:t>
            </w:r>
          </w:p>
        </w:tc>
        <w:tc>
          <w:tcPr>
            <w:tcW w:type="dxa" w:w="1728"/>
          </w:tcPr>
          <w:p>
            <w:r>
              <w:t>message StartCommand {</w:t>
            </w:r>
          </w:p>
        </w:tc>
      </w:tr>
      <w:tr>
        <w:tc>
          <w:tcPr>
            <w:tcW w:type="dxa" w:w="1728"/>
          </w:tcPr>
          <w:p>
            <w:r>
              <w:t>C-api.TelemetrySample</w:t>
            </w:r>
          </w:p>
        </w:tc>
        <w:tc>
          <w:tcPr>
            <w:tcW w:type="dxa" w:w="1728"/>
          </w:tcPr>
          <w:p>
            <w:r>
              <w:t>message TelemetrySample {</w:t>
            </w:r>
          </w:p>
        </w:tc>
        <w:tc>
          <w:tcPr>
            <w:tcW w:type="dxa" w:w="1728"/>
          </w:tcPr>
          <w:p>
            <w:r>
              <w:t>code_artifact</w:t>
            </w:r>
          </w:p>
        </w:tc>
        <w:tc>
          <w:tcPr>
            <w:tcW w:type="dxa" w:w="1728"/>
          </w:tcPr>
          <w:p>
            <w:r>
              <w:t>api</w:t>
            </w:r>
          </w:p>
        </w:tc>
        <w:tc>
          <w:tcPr>
            <w:tcW w:type="dxa" w:w="1728"/>
          </w:tcPr>
          <w:p>
            <w:r>
              <w:t>message TelemetrySample {</w:t>
            </w:r>
          </w:p>
        </w:tc>
      </w:tr>
      <w:tr>
        <w:tc>
          <w:tcPr>
            <w:tcW w:type="dxa" w:w="1728"/>
          </w:tcPr>
          <w:p>
            <w:r>
              <w:t>C-processing.HealthMonitor</w:t>
            </w:r>
          </w:p>
        </w:tc>
        <w:tc>
          <w:tcPr>
            <w:tcW w:type="dxa" w:w="1728"/>
          </w:tcPr>
          <w:p>
            <w:r>
              <w:t>HealthMonitor</w:t>
            </w:r>
          </w:p>
        </w:tc>
        <w:tc>
          <w:tcPr>
            <w:tcW w:type="dxa" w:w="1728"/>
          </w:tcPr>
          <w:p>
            <w:r>
              <w:t>code_artifact</w:t>
            </w:r>
          </w:p>
        </w:tc>
        <w:tc>
          <w:tcPr>
            <w:tcW w:type="dxa" w:w="1728"/>
          </w:tcPr>
          <w:p>
            <w:r>
              <w:t>processing</w:t>
            </w:r>
          </w:p>
        </w:tc>
        <w:tc>
          <w:tcPr>
            <w:tcW w:type="dxa" w:w="1728"/>
          </w:tcPr>
          <w:p>
            <w:r>
              <w:t>HealthMonitor</w:t>
            </w:r>
          </w:p>
        </w:tc>
      </w:tr>
      <w:tr>
        <w:tc>
          <w:tcPr>
            <w:tcW w:type="dxa" w:w="1728"/>
          </w:tcPr>
          <w:p>
            <w:r>
              <w:t>C-server./acquire/start</w:t>
            </w:r>
          </w:p>
        </w:tc>
        <w:tc>
          <w:tcPr>
            <w:tcW w:type="dxa" w:w="1728"/>
          </w:tcPr>
          <w:p>
            <w:r>
              <w:t>HTTP @app.post -&gt; /acquire/start</w:t>
            </w:r>
          </w:p>
        </w:tc>
        <w:tc>
          <w:tcPr>
            <w:tcW w:type="dxa" w:w="1728"/>
          </w:tcPr>
          <w:p>
            <w:r>
              <w:t>code_artifact</w:t>
            </w:r>
          </w:p>
        </w:tc>
        <w:tc>
          <w:tcPr>
            <w:tcW w:type="dxa" w:w="1728"/>
          </w:tcPr>
          <w:p>
            <w:r>
              <w:t>server</w:t>
            </w:r>
          </w:p>
        </w:tc>
        <w:tc>
          <w:tcPr>
            <w:tcW w:type="dxa" w:w="1728"/>
          </w:tcPr>
          <w:p>
            <w:r>
              <w:t>HTTP @app.post -&gt; /acquire/start</w:t>
            </w:r>
          </w:p>
        </w:tc>
      </w:tr>
      <w:tr>
        <w:tc>
          <w:tcPr>
            <w:tcW w:type="dxa" w:w="1728"/>
          </w:tcPr>
          <w:p>
            <w:r>
              <w:t>C-server./acquire/stop</w:t>
            </w:r>
          </w:p>
        </w:tc>
        <w:tc>
          <w:tcPr>
            <w:tcW w:type="dxa" w:w="1728"/>
          </w:tcPr>
          <w:p>
            <w:r>
              <w:t>HTTP @app.post -&gt; /acquire/stop</w:t>
            </w:r>
          </w:p>
        </w:tc>
        <w:tc>
          <w:tcPr>
            <w:tcW w:type="dxa" w:w="1728"/>
          </w:tcPr>
          <w:p>
            <w:r>
              <w:t>code_artifact</w:t>
            </w:r>
          </w:p>
        </w:tc>
        <w:tc>
          <w:tcPr>
            <w:tcW w:type="dxa" w:w="1728"/>
          </w:tcPr>
          <w:p>
            <w:r>
              <w:t>server</w:t>
            </w:r>
          </w:p>
        </w:tc>
        <w:tc>
          <w:tcPr>
            <w:tcW w:type="dxa" w:w="1728"/>
          </w:tcPr>
          <w:p>
            <w:r>
              <w:t>HTTP @app.post -&gt; /acquire/stop</w:t>
            </w:r>
          </w:p>
        </w:tc>
      </w:tr>
      <w:tr>
        <w:tc>
          <w:tcPr>
            <w:tcW w:type="dxa" w:w="1728"/>
          </w:tcPr>
          <w:p>
            <w:r>
              <w:t>C-server./health</w:t>
            </w:r>
          </w:p>
        </w:tc>
        <w:tc>
          <w:tcPr>
            <w:tcW w:type="dxa" w:w="1728"/>
          </w:tcPr>
          <w:p>
            <w:r>
              <w:t>HTTP @app.get -&gt; /health</w:t>
            </w:r>
          </w:p>
        </w:tc>
        <w:tc>
          <w:tcPr>
            <w:tcW w:type="dxa" w:w="1728"/>
          </w:tcPr>
          <w:p>
            <w:r>
              <w:t>code_artifact</w:t>
            </w:r>
          </w:p>
        </w:tc>
        <w:tc>
          <w:tcPr>
            <w:tcW w:type="dxa" w:w="1728"/>
          </w:tcPr>
          <w:p>
            <w:r>
              <w:t>server</w:t>
            </w:r>
          </w:p>
        </w:tc>
        <w:tc>
          <w:tcPr>
            <w:tcW w:type="dxa" w:w="1728"/>
          </w:tcPr>
          <w:p>
            <w:r>
              <w:t>HTTP @app.get -&gt; /health</w:t>
            </w:r>
          </w:p>
        </w:tc>
      </w:tr>
      <w:tr>
        <w:tc>
          <w:tcPr>
            <w:tcW w:type="dxa" w:w="1728"/>
          </w:tcPr>
          <w:p>
            <w:r>
              <w:t>C-server./mtbf</w:t>
            </w:r>
          </w:p>
        </w:tc>
        <w:tc>
          <w:tcPr>
            <w:tcW w:type="dxa" w:w="1728"/>
          </w:tcPr>
          <w:p>
            <w:r>
              <w:t>HTTP @app.get -&gt; /mtbf</w:t>
            </w:r>
          </w:p>
        </w:tc>
        <w:tc>
          <w:tcPr>
            <w:tcW w:type="dxa" w:w="1728"/>
          </w:tcPr>
          <w:p>
            <w:r>
              <w:t>code_artifact</w:t>
            </w:r>
          </w:p>
        </w:tc>
        <w:tc>
          <w:tcPr>
            <w:tcW w:type="dxa" w:w="1728"/>
          </w:tcPr>
          <w:p>
            <w:r>
              <w:t>server</w:t>
            </w:r>
          </w:p>
        </w:tc>
        <w:tc>
          <w:tcPr>
            <w:tcW w:type="dxa" w:w="1728"/>
          </w:tcPr>
          <w:p>
            <w:r>
              <w:t>HTTP @app.get -&gt; /mtbf</w:t>
            </w:r>
          </w:p>
        </w:tc>
      </w:tr>
      <w:tr>
        <w:tc>
          <w:tcPr>
            <w:tcW w:type="dxa" w:w="1728"/>
          </w:tcPr>
          <w:p>
            <w:r>
              <w:t>C-server./samples</w:t>
            </w:r>
          </w:p>
        </w:tc>
        <w:tc>
          <w:tcPr>
            <w:tcW w:type="dxa" w:w="1728"/>
          </w:tcPr>
          <w:p>
            <w:r>
              <w:t>HTTP @app.get -&gt; /samples</w:t>
            </w:r>
          </w:p>
        </w:tc>
        <w:tc>
          <w:tcPr>
            <w:tcW w:type="dxa" w:w="1728"/>
          </w:tcPr>
          <w:p>
            <w:r>
              <w:t>code_artifact</w:t>
            </w:r>
          </w:p>
        </w:tc>
        <w:tc>
          <w:tcPr>
            <w:tcW w:type="dxa" w:w="1728"/>
          </w:tcPr>
          <w:p>
            <w:r>
              <w:t>server</w:t>
            </w:r>
          </w:p>
        </w:tc>
        <w:tc>
          <w:tcPr>
            <w:tcW w:type="dxa" w:w="1728"/>
          </w:tcPr>
          <w:p>
            <w:r>
              <w:t>HTTP @app.get -&gt; /samples</w:t>
            </w:r>
          </w:p>
        </w:tc>
      </w:tr>
      <w:tr>
        <w:tc>
          <w:tcPr>
            <w:tcW w:type="dxa" w:w="1728"/>
          </w:tcPr>
          <w:p>
            <w:r>
              <w:t>C-server.get_mtbf</w:t>
            </w:r>
          </w:p>
        </w:tc>
        <w:tc>
          <w:tcPr>
            <w:tcW w:type="dxa" w:w="1728"/>
          </w:tcPr>
          <w:p>
            <w:r>
              <w:t>get_mtbf</w:t>
            </w:r>
          </w:p>
        </w:tc>
        <w:tc>
          <w:tcPr>
            <w:tcW w:type="dxa" w:w="1728"/>
          </w:tcPr>
          <w:p>
            <w:r>
              <w:t>code_artifact</w:t>
            </w:r>
          </w:p>
        </w:tc>
        <w:tc>
          <w:tcPr>
            <w:tcW w:type="dxa" w:w="1728"/>
          </w:tcPr>
          <w:p>
            <w:r>
              <w:t>server</w:t>
            </w:r>
          </w:p>
        </w:tc>
        <w:tc>
          <w:tcPr>
            <w:tcW w:type="dxa" w:w="1728"/>
          </w:tcPr>
          <w:p>
            <w:r>
              <w:t>get_mtbf</w:t>
            </w:r>
          </w:p>
        </w:tc>
      </w:tr>
      <w:tr>
        <w:tc>
          <w:tcPr>
            <w:tcW w:type="dxa" w:w="1728"/>
          </w:tcPr>
          <w:p>
            <w:r>
              <w:t>C-server.get_samples</w:t>
            </w:r>
          </w:p>
        </w:tc>
        <w:tc>
          <w:tcPr>
            <w:tcW w:type="dxa" w:w="1728"/>
          </w:tcPr>
          <w:p>
            <w:r>
              <w:t>get_samples</w:t>
            </w:r>
          </w:p>
        </w:tc>
        <w:tc>
          <w:tcPr>
            <w:tcW w:type="dxa" w:w="1728"/>
          </w:tcPr>
          <w:p>
            <w:r>
              <w:t>code_artifact</w:t>
            </w:r>
          </w:p>
        </w:tc>
        <w:tc>
          <w:tcPr>
            <w:tcW w:type="dxa" w:w="1728"/>
          </w:tcPr>
          <w:p>
            <w:r>
              <w:t>server</w:t>
            </w:r>
          </w:p>
        </w:tc>
        <w:tc>
          <w:tcPr>
            <w:tcW w:type="dxa" w:w="1728"/>
          </w:tcPr>
          <w:p>
            <w:r>
              <w:t>get_samples</w:t>
            </w:r>
          </w:p>
        </w:tc>
      </w:tr>
      <w:tr>
        <w:tc>
          <w:tcPr>
            <w:tcW w:type="dxa" w:w="1728"/>
          </w:tcPr>
          <w:p>
            <w:r>
              <w:t>C-server.health</w:t>
            </w:r>
          </w:p>
        </w:tc>
        <w:tc>
          <w:tcPr>
            <w:tcW w:type="dxa" w:w="1728"/>
          </w:tcPr>
          <w:p>
            <w:r>
              <w:t>health</w:t>
            </w:r>
          </w:p>
        </w:tc>
        <w:tc>
          <w:tcPr>
            <w:tcW w:type="dxa" w:w="1728"/>
          </w:tcPr>
          <w:p>
            <w:r>
              <w:t>code_artifact</w:t>
            </w:r>
          </w:p>
        </w:tc>
        <w:tc>
          <w:tcPr>
            <w:tcW w:type="dxa" w:w="1728"/>
          </w:tcPr>
          <w:p>
            <w:r>
              <w:t>server</w:t>
            </w:r>
          </w:p>
        </w:tc>
        <w:tc>
          <w:tcPr>
            <w:tcW w:type="dxa" w:w="1728"/>
          </w:tcPr>
          <w:p>
            <w:r>
              <w:t>health</w:t>
            </w:r>
          </w:p>
        </w:tc>
      </w:tr>
      <w:tr>
        <w:tc>
          <w:tcPr>
            <w:tcW w:type="dxa" w:w="1728"/>
          </w:tcPr>
          <w:p>
            <w:r>
              <w:t>C-server.start_acquisition</w:t>
            </w:r>
          </w:p>
        </w:tc>
        <w:tc>
          <w:tcPr>
            <w:tcW w:type="dxa" w:w="1728"/>
          </w:tcPr>
          <w:p>
            <w:r>
              <w:t>start_acquisition</w:t>
            </w:r>
          </w:p>
        </w:tc>
        <w:tc>
          <w:tcPr>
            <w:tcW w:type="dxa" w:w="1728"/>
          </w:tcPr>
          <w:p>
            <w:r>
              <w:t>code_artifact</w:t>
            </w:r>
          </w:p>
        </w:tc>
        <w:tc>
          <w:tcPr>
            <w:tcW w:type="dxa" w:w="1728"/>
          </w:tcPr>
          <w:p>
            <w:r>
              <w:t>server</w:t>
            </w:r>
          </w:p>
        </w:tc>
        <w:tc>
          <w:tcPr>
            <w:tcW w:type="dxa" w:w="1728"/>
          </w:tcPr>
          <w:p>
            <w:r>
              <w:t>start_acquisition</w:t>
            </w:r>
          </w:p>
        </w:tc>
      </w:tr>
      <w:tr>
        <w:tc>
          <w:tcPr>
            <w:tcW w:type="dxa" w:w="1728"/>
          </w:tcPr>
          <w:p>
            <w:r>
              <w:t>C-server.stop_acquisition</w:t>
            </w:r>
          </w:p>
        </w:tc>
        <w:tc>
          <w:tcPr>
            <w:tcW w:type="dxa" w:w="1728"/>
          </w:tcPr>
          <w:p>
            <w:r>
              <w:t>stop_acquisition</w:t>
            </w:r>
          </w:p>
        </w:tc>
        <w:tc>
          <w:tcPr>
            <w:tcW w:type="dxa" w:w="1728"/>
          </w:tcPr>
          <w:p>
            <w:r>
              <w:t>code_artifact</w:t>
            </w:r>
          </w:p>
        </w:tc>
        <w:tc>
          <w:tcPr>
            <w:tcW w:type="dxa" w:w="1728"/>
          </w:tcPr>
          <w:p>
            <w:r>
              <w:t>server</w:t>
            </w:r>
          </w:p>
        </w:tc>
        <w:tc>
          <w:tcPr>
            <w:tcW w:type="dxa" w:w="1728"/>
          </w:tcPr>
          <w:p>
            <w:r>
              <w:t>stop_acquisition</w:t>
            </w:r>
          </w:p>
        </w:tc>
      </w:tr>
    </w:tbl>
    <w:p>
      <w:pPr>
        <w:pStyle w:val="Heading1"/>
      </w:pPr>
      <w:r>
        <w:t>4 Interface Design</w:t>
      </w:r>
    </w:p>
    <w:p>
      <w:pPr>
        <w:pStyle w:val="Heading2"/>
      </w:pPr>
      <w:r>
        <w:t>External Interfaces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Interface</w:t>
            </w:r>
          </w:p>
        </w:tc>
        <w:tc>
          <w:tcPr>
            <w:tcW w:type="dxa" w:w="2160"/>
          </w:tcPr>
          <w:p>
            <w:r>
              <w:t>Direction</w:t>
            </w:r>
          </w:p>
        </w:tc>
        <w:tc>
          <w:tcPr>
            <w:tcW w:type="dxa" w:w="2160"/>
          </w:tcPr>
          <w:p>
            <w:r>
              <w:t>Protocol</w:t>
            </w:r>
          </w:p>
        </w:tc>
        <w:tc>
          <w:tcPr>
            <w:tcW w:type="dxa" w:w="2160"/>
          </w:tcPr>
          <w:p>
            <w:r>
              <w:t>Source</w:t>
            </w:r>
          </w:p>
        </w:tc>
      </w:tr>
      <w:tr>
        <w:tc>
          <w:tcPr>
            <w:tcW w:type="dxa" w:w="2160"/>
          </w:tcPr>
          <w:p>
            <w:r>
              <w:t>IRS_v2.0.docx</w:t>
            </w:r>
          </w:p>
        </w:tc>
        <w:tc>
          <w:tcPr>
            <w:tcW w:type="dxa" w:w="2160"/>
          </w:tcPr>
          <w:p>
            <w:r>
              <w:t>IRS_v2.0.docx</w:t>
            </w:r>
          </w:p>
        </w:tc>
        <w:tc>
          <w:tcPr>
            <w:tcW w:type="dxa" w:w="2160"/>
          </w:tcPr>
          <w:p>
            <w:r>
              <w:t>IRS_v2.0.docx</w:t>
            </w:r>
          </w:p>
        </w:tc>
        <w:tc>
          <w:tcPr>
            <w:tcW w:type="dxa" w:w="2160"/>
          </w:tcPr>
          <w:p>
            <w:r>
              <w:t>IRS_v2.0.docx</w:t>
            </w:r>
          </w:p>
        </w:tc>
      </w:tr>
      <w:tr>
        <w:tc>
          <w:tcPr>
            <w:tcW w:type="dxa" w:w="2160"/>
          </w:tcPr>
          <w:p>
            <w:r>
              <w:t>3. Interface Requirements</w:t>
            </w:r>
          </w:p>
        </w:tc>
        <w:tc>
          <w:tcPr>
            <w:tcW w:type="dxa" w:w="2160"/>
          </w:tcPr>
          <w:p>
            <w:r>
              <w:t>3. Interface Requirements</w:t>
            </w:r>
          </w:p>
        </w:tc>
        <w:tc>
          <w:tcPr>
            <w:tcW w:type="dxa" w:w="2160"/>
          </w:tcPr>
          <w:p>
            <w:r>
              <w:t>3. Interface Requirements</w:t>
            </w:r>
          </w:p>
        </w:tc>
        <w:tc>
          <w:tcPr>
            <w:tcW w:type="dxa" w:w="2160"/>
          </w:tcPr>
          <w:p>
            <w:r>
              <w:t>3. Interface Requirements</w:t>
            </w:r>
          </w:p>
        </w:tc>
      </w:tr>
      <w:tr>
        <w:tc>
          <w:tcPr>
            <w:tcW w:type="dxa" w:w="2160"/>
          </w:tcPr>
          <w:p>
            <w:r>
              <w:t>storage/59a35f88-3298-4700-bf44-1e0ce35e97ae/uploads/code/telemetry_acq/api.proto</w:t>
            </w:r>
          </w:p>
        </w:tc>
        <w:tc>
          <w:tcPr>
            <w:tcW w:type="dxa" w:w="2160"/>
          </w:tcPr>
          <w:p>
            <w:r>
              <w:t>storage/59a35f88-3298-4700-bf44-1e0ce35e97ae/uploads/code/telemetry_acq/api.proto</w:t>
            </w:r>
          </w:p>
        </w:tc>
        <w:tc>
          <w:tcPr>
            <w:tcW w:type="dxa" w:w="2160"/>
          </w:tcPr>
          <w:p>
            <w:r>
              <w:t>storage/59a35f88-3298-4700-bf44-1e0ce35e97ae/uploads/code/telemetry_acq/api.proto</w:t>
            </w:r>
          </w:p>
        </w:tc>
        <w:tc>
          <w:tcPr>
            <w:tcW w:type="dxa" w:w="2160"/>
          </w:tcPr>
          <w:p>
            <w:r>
              <w:t>storage/59a35f88-3298-4700-bf44-1e0ce35e97ae/uploads/code/telemetry_acq/api.proto</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r>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c>
          <w:tcPr>
            <w:tcW w:type="dxa" w:w="2160"/>
          </w:tcPr>
          <w:p>
            <w:r>
              <w:t>storage/59a35f88-3298-4700-bf44-1e0ce35e97ae/uploads/code/telemetry_acq/acquisition.py</w:t>
            </w:r>
          </w:p>
        </w:tc>
      </w:tr>
    </w:tbl>
    <w:p>
      <w:pPr>
        <w:pStyle w:val="Heading2"/>
      </w:pPr>
      <w:r>
        <w:t>Shared Data Structures</w:t>
      </w:r>
    </w:p>
    <w:p>
      <w:r>
        <w:t>Interface Design - Shared Data Structures</w:t>
        <w:br/>
        <w:br/>
        <w:t>This section outlines the design of shared data structures used by the ground segment and sensor interfaces.</w:t>
        <w:br/>
        <w:br/>
        <w:t>Data Structure Requirements:</w:t>
        <w:br/>
        <w:br/>
        <w:t>Telemetry Sample Envelopes: The ground segment interface will transmit telemetry sample envelopes as defined in api.proto (message TelemetrySample). This message structure will include channel information, timestamp, and a list of values representing the measured data.</w:t>
        <w:br/>
        <w:t xml:space="preserve">    * REQ-0101: The ground segment interface shall transmit telemetry sample envelopes as defined in api.proto (message TelemetrySample).</w:t>
        <w:br/>
        <w:t>Acquisition Command: The acquisition command interface will accept a StartCommand message to initiate the acquisition process. This message includes channel information and sample rate.</w:t>
        <w:br/>
        <w:t xml:space="preserve">    * REQ-0102: The acquisition command interface shall accept a StartCommand message to begin acquisition.</w:t>
        <w:br/>
        <w:t>Health Report: The health reporting interface will expose an MTBF estimate as defined in api.proto (message HealthReport). This report provides information about the sensor's operational status and estimated Mean Time Between Failures.</w:t>
        <w:br/>
        <w:t xml:space="preserve">    * REQ-0103: The health reporting interface shall expose an MTBF estimate as defined in api.proto (message HealthReport).</w:t>
        <w:br/>
        <w:br/>
        <w:t>Data Structure Implementation:</w:t>
        <w:br/>
        <w:br/>
        <w:t>The implementation of these data structures will be based on the following considerations:</w:t>
        <w:br/>
        <w:br/>
        <w:t>Serialization: Data structures will be serialized to and from messages using a format compatible with the protocol specified in api.proto.</w:t>
        <w:br/>
        <w:t>Synchronization:  Shared data structures will be synchronized between the ground segment and sensor interfaces to ensure consistency and avoid race conditions.</w:t>
        <w:br/>
        <w:br/>
        <w:t>Note: This document is intended as a high-level overview of shared data structure design. Further details on implementation, including specific data structure definitions and synchronization mechanisms, will be provided in subsequent documents.</w:t>
      </w:r>
    </w:p>
    <w:p>
      <w:pPr>
        <w:pStyle w:val="Heading1"/>
      </w:pPr>
      <w:r>
        <w:t>5 Design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REQ-0003</w:t>
      </w:r>
    </w:p>
    <w:p>
      <w:pPr>
        <w:pStyle w:val="ListBullet"/>
      </w:pPr>
      <w:r>
        <w:t>REQ-0004</w:t>
      </w:r>
    </w:p>
    <w:p>
      <w:pPr>
        <w:pStyle w:val="ListBullet"/>
      </w:pPr>
      <w:r>
        <w:t>REQ-0007</w:t>
      </w:r>
    </w:p>
    <w:p>
      <w:pPr>
        <w:pStyle w:val="ListBullet"/>
      </w:pPr>
      <w:r>
        <w:t>REQ-0010</w:t>
      </w:r>
    </w:p>
    <w:p>
      <w:pPr>
        <w:pStyle w:val="ListBullet"/>
      </w:pPr>
      <w:r>
        <w:t>REQ-0101</w:t>
      </w:r>
    </w:p>
    <w:p>
      <w:pPr>
        <w:pStyle w:val="ListBullet"/>
      </w:pPr>
      <w:r>
        <w:t>REQ-0102</w:t>
      </w:r>
    </w:p>
    <w:p>
      <w:pPr>
        <w:pStyle w:val="ListBullet"/>
      </w:pPr>
      <w:r>
        <w:t>REQ-0103</w:t>
      </w:r>
    </w:p>
    <w:p>
      <w:pPr>
        <w:pStyle w:val="ListBullet"/>
      </w:pPr>
      <w:r>
        <w:t>REQ-0104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