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sz w:val="28"/>
        </w:rPr>
        <w:t>Project: demo-d58080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This System Requirement Specification (SRS) defines the system-level requirements for the telemetry acquisition subsystem of the [Project Name] R&amp;D project. This subsystem is designed to acquire and process telemetry data from various sensors, supporting critical operations within the [Project Name] program. The intended audience for this SRS includes software engineers, system architects, testers, and other stakeholders involved in the development and deployment of the telemetry acquisition subsystem.</w:t>
        <w:br/>
        <w:br/>
        <w:t>The telemetry acquisition subsystem will support the following parent systems: [List Parent Systems].  This document outlines the functional and non-functional requirements that must be met to ensure successful operation of the subsystem.</w:t>
      </w:r>
    </w:p>
    <w:p>
      <w:pPr>
        <w:pStyle w:val="Heading2"/>
      </w:pPr>
      <w:r>
        <w:t>Scope</w:t>
      </w:r>
    </w:p>
    <w:p>
      <w:r>
        <w:t>Scope</w:t>
        <w:br/>
        <w:br/>
        <w:t>This System Requirement Specification (SRS) defines the system-level requirements for the Telemetry Acquisition Subsystem.  The subsystem is responsible for acquiring telemetry data from various sensors, timestamping each sample, buffering data before flow control, exposing acquired samples through a REST interface to the ground segment, and recording an engineering log.</w:t>
        <w:br/>
        <w:br/>
        <w:t>In Scope:</w:t>
        <w:br/>
        <w:br/>
        <w:t>Acquiring telemetry data from at least 3 sensor channels simultaneously (REQ-0001)</w:t>
        <w:br/>
        <w:t>Timestamping every acquired sample with a system time reference accurate to +/- 1 ms (REQ-0003)</w:t>
        <w:br/>
        <w:t>Buffering at least 10,000 samples per channel before flow control is applied (REQ-0004)</w:t>
        <w:br/>
        <w:t>Exposing acquired samples through a REST interface to the ground segment (REQ-0005)</w:t>
        <w:br/>
        <w:t>Recording an engineering log with a minimum depth of 6 months of mission operations (REQ-0002)</w:t>
        <w:br/>
        <w:t>Maintaining a mean time between failures (MTBF) of not less than 2000 hours (REQ-0002)</w:t>
        <w:br/>
        <w:t>Sustaining a sample ingestion rate of at least 100 Hz per channel (REQ-0007)</w:t>
        <w:br/>
        <w:t>Restricting access to acquisition controls to authenticated operators only (REQ-0008)</w:t>
        <w:br/>
        <w:t>Completing a software restart in less than 30 seconds after a fault (REQ-0009)</w:t>
        <w:br/>
        <w:t>Operating within a 28 V DC power envelope not exceeding 45 W (REQ-0010)</w:t>
        <w:br/>
        <w:br/>
        <w:t>Out of Scope:</w:t>
        <w:br/>
        <w:br/>
        <w:t>Detailed design specifications for the subsystem.</w:t>
        <w:br/>
        <w:t>Specific sensor integration details and calibration procedures.</w:t>
        <w:br/>
        <w:t>Real-time performance analysis and optimization beyond basic requirements.</w:t>
        <w:br/>
        <w:t>Security protocols beyond authentication of acquisition controls.</w:t>
      </w:r>
    </w:p>
    <w:p>
      <w:pPr>
        <w:pStyle w:val="Heading2"/>
      </w:pPr>
      <w:r>
        <w:t>Definitions,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1. Scope</w:t>
            </w:r>
          </w:p>
        </w:tc>
        <w:tc>
          <w:tcPr>
            <w:tcW w:type="dxa" w:w="4320"/>
          </w:tcPr>
          <w:p>
            <w:r>
              <w:t>1. Scope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</w:tbl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</w:tr>
      <w:tr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2 System Overview</w:t>
      </w:r>
    </w:p>
    <w:p>
      <w:pPr>
        <w:pStyle w:val="Heading2"/>
      </w:pPr>
      <w:r>
        <w:t>System Context</w:t>
      </w:r>
    </w:p>
    <w:p>
      <w:r>
        <w:t>System Overview</w:t>
        <w:br/>
        <w:br/>
        <w:t>System Boundaries:</w:t>
        <w:br/>
        <w:br/>
        <w:t>The system under development is responsible for acquiring, timestamping, buffering, and transmitting telemetry data from at least three sensor channels. It interfaces with the ground segment via a REST interface to provide acquired samples. The system also maintains an engineering log of mission operations for at least six months.</w:t>
        <w:br/>
        <w:br/>
        <w:t>External Interfaces:</w:t>
        <w:br/>
        <w:br/>
        <w:t>Sensor Channels:  The system directly interacts with at least three sensor channels, acquiring telemetry data from each channel simultaneously. (REQ-0001)</w:t>
        <w:br/>
        <w:t>Ground Segment: The system exposes acquired samples through a REST interface to the ground segment for further processing and analysis. (REQ-0005)</w:t>
        <w:br/>
        <w:t>Engineering Log:  The system records an engineering log with a minimum depth of six months of mission operations, capturing critical operational data. (REQ-0006)</w:t>
        <w:br/>
        <w:br/>
        <w:t>System Context:</w:t>
        <w:br/>
        <w:br/>
        <w:t>The system operates within a 28 V DC power envelope not exceeding 45 W. This constraint ensures the system's energy consumption remains manageable and sustainable for extended periods.  (REQ-0010)</w:t>
        <w:br/>
        <w:br/>
        <w:t>Notes:</w:t>
        <w:br/>
        <w:br/>
        <w:t>The system is designed to acquire telemetry data from multiple channels simultaneously, ensuring comprehensive data capture.</w:t>
        <w:br/>
        <w:t>The system timestamps each acquired sample with a system time reference accurate to +/- 1 ms, enabling precise temporal analysis of the collected data.</w:t>
        <w:br/>
        <w:t>The system employs buffer storage for at least 10,000 samples per channel before applying flow control. This buffering mechanism ensures timely and efficient data transfer while maintaining temporal integrity. (REQ-0003)</w:t>
        <w:br/>
        <w:t>The system's REST interface provides a standardized and accessible method for transmitting acquired samples to the ground segment.  (REQ-0005)</w:t>
        <w:br/>
        <w:t>The system maintains an engineering log with a minimum depth of six months, ensuring historical data is readily available for analysis and troubleshooting. (REQ-0006)</w:t>
        <w:br/>
        <w:t>The system's Mean Time Between Failures (MTBF) must be at least 2000 hours to ensure reliable operation in demanding environments.  (REQ-0002)</w:t>
        <w:br/>
        <w:t>The system's sample ingestion rate per channel must maintain a minimum of 100 Hz, ensuring timely data acquisition and processing. (REQ-0007)</w:t>
        <w:br/>
        <w:t>Access to acquisition controls is restricted to authenticated operators only, enhancing security and preventing unauthorized manipulation.  (REQ-0008)</w:t>
        <w:br/>
        <w:t>The system's fault recovery process must complete a software restart within 30 seconds, minimizing downtime and ensuring rapid operational restoration. (REQ-0009)</w:t>
      </w:r>
    </w:p>
    <w:p>
      <w:pPr>
        <w:pStyle w:val="Heading2"/>
      </w:pPr>
      <w:r>
        <w:t>Architectural View</w:t>
      </w:r>
    </w:p>
    <w:p>
      <w:r>
        <w:t>System Overview</w:t>
        <w:br/>
        <w:br/>
        <w:t>The system is designed to acquire telemetry data from multiple sensor channels simultaneously, timestamp each sample with high accuracy, buffer samples before flow control, and expose acquired data through a REST interface for ground segment access.  Additionally, the system must meet specific non-functional requirements including MTBF, sample ingestion rate, restricted access, fault recovery time, and power envelope constraints.</w:t>
        <w:br/>
        <w:br/>
        <w:t>Note: Detailed design information is provided in the System Design Document (SDD).</w:t>
      </w:r>
    </w:p>
    <w:p>
      <w:pPr>
        <w:pStyle w:val="Heading2"/>
      </w:pPr>
      <w:r>
        <w:t>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Privileges</w:t>
            </w:r>
          </w:p>
        </w:tc>
      </w:tr>
      <w:tr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</w:tr>
      <w:tr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3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</w:tr>
      <w:tr>
        <w:tc>
          <w:tcPr>
            <w:tcW w:type="dxa" w:w="1728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The system shall acquire telemetry data from at least 3 sensor channels simultaneously.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The system shall timestamp every acquired sample with a system time reference accurate to +/- 1 ms.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The system shall buffer at least 10000 samples per channel before flow control is applied. This refines REQ-0003 by requiring bounded buffering for time-tagged data.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The system shall expose acquired samples through a REST interface to the ground segment.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The system shall record an engineering log with a minimum depth of 6 months of mission operations.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REQ-0011</w:t>
            </w:r>
          </w:p>
        </w:tc>
        <w:tc>
          <w:tcPr>
            <w:tcW w:type="dxa" w:w="1728"/>
          </w:tcPr>
          <w:p>
            <w:r>
              <w:t>is added to require automatic fault recovery within 30 seconds, in addition to REQ-0009.</w:t>
            </w:r>
          </w:p>
        </w:tc>
        <w:tc>
          <w:tcPr>
            <w:tcW w:type="dxa" w:w="1728"/>
          </w:tcPr>
          <w:p>
            <w:r>
              <w:t>mom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</w:tbl>
    <w:p>
      <w:pPr>
        <w:pStyle w:val="Heading1"/>
      </w:pPr>
      <w:r>
        <w:t>4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Protocol</w:t>
            </w:r>
          </w:p>
        </w:tc>
      </w:tr>
      <w:tr>
        <w:tc>
          <w:tcPr>
            <w:tcW w:type="dxa" w:w="1728"/>
          </w:tcPr>
          <w:p>
            <w:r>
              <w:t>IR-0101</w:t>
            </w:r>
          </w:p>
        </w:tc>
        <w:tc>
          <w:tcPr>
            <w:tcW w:type="dxa" w:w="1728"/>
          </w:tcPr>
          <w:p>
            <w:r>
              <w:t>| interface | The ground segment interface shall transmit telemetry sample envelopes as defined in api.proto (message TelemetrySample).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IR-0102</w:t>
            </w:r>
          </w:p>
        </w:tc>
        <w:tc>
          <w:tcPr>
            <w:tcW w:type="dxa" w:w="1728"/>
          </w:tcPr>
          <w:p>
            <w:r>
              <w:t>| interface | The acquisition command interface shall accept a StartCommand message to begin acquisition.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IR-0103</w:t>
            </w:r>
          </w:p>
        </w:tc>
        <w:tc>
          <w:tcPr>
            <w:tcW w:type="dxa" w:w="1728"/>
          </w:tcPr>
          <w:p>
            <w:r>
              <w:t>| interface | The health reporting interface shall expose an MTBF estimate as defined in api.proto (message HealthReport).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IR-0104</w:t>
            </w:r>
          </w:p>
        </w:tc>
        <w:tc>
          <w:tcPr>
            <w:tcW w:type="dxa" w:w="1728"/>
          </w:tcPr>
          <w:p>
            <w:r>
              <w:t>| interface | The sensor interface shall provide a raw sample stream at the configured sample rate.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REQ-0101</w:t>
            </w:r>
          </w:p>
        </w:tc>
        <w:tc>
          <w:tcPr>
            <w:tcW w:type="dxa" w:w="1728"/>
          </w:tcPr>
          <w:p>
            <w:r>
              <w:t>The ground segment interface shall transmit telemetry sample envelopes as defined in api.proto (message TelemetrySample).</w:t>
            </w:r>
          </w:p>
        </w:tc>
        <w:tc>
          <w:tcPr>
            <w:tcW w:type="dxa" w:w="1728"/>
          </w:tcPr>
          <w:p>
            <w:r>
              <w:t>ground segment interface</w:t>
            </w:r>
          </w:p>
        </w:tc>
        <w:tc>
          <w:tcPr>
            <w:tcW w:type="dxa" w:w="1728"/>
          </w:tcPr>
          <w:p>
            <w:r>
              <w:t>out</w:t>
            </w:r>
          </w:p>
        </w:tc>
        <w:tc>
          <w:tcPr>
            <w:tcW w:type="dxa" w:w="1728"/>
          </w:tcPr>
          <w:p>
            <w:r>
              <w:t>api.proto</w:t>
            </w:r>
          </w:p>
        </w:tc>
      </w:tr>
      <w:tr>
        <w:tc>
          <w:tcPr>
            <w:tcW w:type="dxa" w:w="1728"/>
          </w:tcPr>
          <w:p>
            <w:r>
              <w:t>REQ-0102</w:t>
            </w:r>
          </w:p>
        </w:tc>
        <w:tc>
          <w:tcPr>
            <w:tcW w:type="dxa" w:w="1728"/>
          </w:tcPr>
          <w:p>
            <w:r>
              <w:t>The acquisition command interface shall accept a StartCommand message to begin acquisition.</w:t>
            </w:r>
          </w:p>
        </w:tc>
        <w:tc>
          <w:tcPr>
            <w:tcW w:type="dxa" w:w="1728"/>
          </w:tcPr>
          <w:p>
            <w:r>
              <w:t>acquisition command interface</w:t>
            </w:r>
          </w:p>
        </w:tc>
        <w:tc>
          <w:tcPr>
            <w:tcW w:type="dxa" w:w="1728"/>
          </w:tcPr>
          <w:p>
            <w:r>
              <w:t>in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REQ-0103</w:t>
            </w:r>
          </w:p>
        </w:tc>
        <w:tc>
          <w:tcPr>
            <w:tcW w:type="dxa" w:w="1728"/>
          </w:tcPr>
          <w:p>
            <w:r>
              <w:t>The health reporting interface shall expose an MTBF estimate as defined in api.proto (message HealthReport).</w:t>
            </w:r>
          </w:p>
        </w:tc>
        <w:tc>
          <w:tcPr>
            <w:tcW w:type="dxa" w:w="1728"/>
          </w:tcPr>
          <w:p>
            <w:r>
              <w:t>health reporting interface</w:t>
            </w:r>
          </w:p>
        </w:tc>
        <w:tc>
          <w:tcPr>
            <w:tcW w:type="dxa" w:w="1728"/>
          </w:tcPr>
          <w:p>
            <w:r>
              <w:t>out</w:t>
            </w:r>
          </w:p>
        </w:tc>
        <w:tc>
          <w:tcPr>
            <w:tcW w:type="dxa" w:w="1728"/>
          </w:tcPr>
          <w:p>
            <w:r>
              <w:t>api.proto</w:t>
            </w:r>
          </w:p>
        </w:tc>
      </w:tr>
      <w:tr>
        <w:tc>
          <w:tcPr>
            <w:tcW w:type="dxa" w:w="1728"/>
          </w:tcPr>
          <w:p>
            <w:r>
              <w:t>REQ-0104</w:t>
            </w:r>
          </w:p>
        </w:tc>
        <w:tc>
          <w:tcPr>
            <w:tcW w:type="dxa" w:w="1728"/>
          </w:tcPr>
          <w:p>
            <w:r>
              <w:t>The sensor interface shall provide a raw sample stream at the configured sample rate.</w:t>
            </w:r>
          </w:p>
        </w:tc>
        <w:tc>
          <w:tcPr>
            <w:tcW w:type="dxa" w:w="1728"/>
          </w:tcPr>
          <w:p>
            <w:r>
              <w:t>sensor interface</w:t>
            </w:r>
          </w:p>
        </w:tc>
        <w:tc>
          <w:tcPr>
            <w:tcW w:type="dxa" w:w="1728"/>
          </w:tcPr>
          <w:p>
            <w:r>
              <w:t>out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5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Measure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</w:tr>
      <w:tr>
        <w:tc>
          <w:tcPr>
            <w:tcW w:type="dxa" w:w="1728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The system shall have a mean time between failures (MTBF) of not less than 2000 hours.</w:t>
            </w:r>
          </w:p>
        </w:tc>
        <w:tc>
          <w:tcPr>
            <w:tcW w:type="dxa" w:w="1728"/>
          </w:tcPr>
          <w:p>
            <w:r>
              <w:t>non_functional</w:t>
            </w:r>
          </w:p>
        </w:tc>
        <w:tc>
          <w:tcPr>
            <w:tcW w:type="dxa" w:w="1728"/>
          </w:tcPr>
          <w:p>
            <w:r>
              <w:t>MTBF</w:t>
            </w:r>
          </w:p>
        </w:tc>
        <w:tc>
          <w:tcPr>
            <w:tcW w:type="dxa" w:w="1728"/>
          </w:tcPr>
          <w:p>
            <w:r>
              <w:t>2000 hours</w:t>
            </w:r>
          </w:p>
        </w:tc>
      </w:tr>
      <w:tr>
        <w:tc>
          <w:tcPr>
            <w:tcW w:type="dxa" w:w="1728"/>
          </w:tcPr>
          <w:p>
            <w:r>
              <w:t>REQ-0007</w:t>
            </w:r>
          </w:p>
        </w:tc>
        <w:tc>
          <w:tcPr>
            <w:tcW w:type="dxa" w:w="1728"/>
          </w:tcPr>
          <w:p>
            <w:r>
              <w:t>The system shall sustain a sample ingestion rate of at least 100 Hz per channel.</w:t>
            </w:r>
          </w:p>
        </w:tc>
        <w:tc>
          <w:tcPr>
            <w:tcW w:type="dxa" w:w="1728"/>
          </w:tcPr>
          <w:p>
            <w:r>
              <w:t>non_functional</w:t>
            </w:r>
          </w:p>
        </w:tc>
        <w:tc>
          <w:tcPr>
            <w:tcW w:type="dxa" w:w="1728"/>
          </w:tcPr>
          <w:p>
            <w:r>
              <w:t>Hz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REQ-0008</w:t>
            </w:r>
          </w:p>
        </w:tc>
        <w:tc>
          <w:tcPr>
            <w:tcW w:type="dxa" w:w="1728"/>
          </w:tcPr>
          <w:p>
            <w:r>
              <w:t>The system shall restrict access to acquisition controls to authenticated operators only.</w:t>
            </w:r>
          </w:p>
        </w:tc>
        <w:tc>
          <w:tcPr>
            <w:tcW w:type="dxa" w:w="1728"/>
          </w:tcPr>
          <w:p>
            <w:r>
              <w:t>non_functional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REQ-0009</w:t>
            </w:r>
          </w:p>
        </w:tc>
        <w:tc>
          <w:tcPr>
            <w:tcW w:type="dxa" w:w="1728"/>
          </w:tcPr>
          <w:p>
            <w:r>
              <w:t>The system shall complete a software restart in less than 30 seconds after a fault.</w:t>
            </w:r>
          </w:p>
        </w:tc>
        <w:tc>
          <w:tcPr>
            <w:tcW w:type="dxa" w:w="1728"/>
          </w:tcPr>
          <w:p>
            <w:r>
              <w:t>non_functional</w:t>
            </w:r>
          </w:p>
        </w:tc>
        <w:tc>
          <w:tcPr>
            <w:tcW w:type="dxa" w:w="1728"/>
          </w:tcPr>
          <w:p>
            <w:r>
              <w:t>seconds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</w:tbl>
    <w:p>
      <w:pPr>
        <w:pStyle w:val="Heading1"/>
      </w:pPr>
      <w:r>
        <w:t>6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REQ-0101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REQ-0102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REQ-0103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REQ-0104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TP-0016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TP-0018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ListBullet"/>
      </w:pPr>
      <w:r>
        <w:t>REQ-0010</w:t>
      </w:r>
    </w:p>
    <w:p>
      <w:pPr>
        <w:pStyle w:val="Heading1"/>
      </w:pPr>
      <w:r>
        <w:t>7 Compliance Statement</w:t>
      </w:r>
    </w:p>
    <w:p>
      <w:pPr>
        <w:pStyle w:val="Heading2"/>
      </w:pPr>
      <w:r>
        <w:t>Standards and Regulatory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