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Interface Control Document</w:t>
      </w:r>
    </w:p>
    <w:p>
      <w:pPr>
        <w:jc w:val="center"/>
      </w:pPr>
      <w:r>
        <w:rPr>
          <w:sz w:val="28"/>
        </w:rPr>
        <w:t>Project: kaushal</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bl>
    <w:p>
      <w:r>
        <w:br w:type="page"/>
      </w:r>
    </w:p>
    <w:p>
      <w:pPr>
        <w:pStyle w:val="Heading1"/>
      </w:pPr>
      <w:r>
        <w:t>1 Introduction</w:t>
      </w:r>
    </w:p>
    <w:p>
      <w:pPr>
        <w:pStyle w:val="Heading2"/>
      </w:pPr>
      <w:r>
        <w:t>Purpose</w:t>
      </w:r>
    </w:p>
    <w:p>
      <w:r>
        <w:t>Field: Purpose</w:t>
        <w:br/>
        <w:br/>
        <w:t>The primary purpose of this document is to outline the technical specifications and requirements for the development of a defense-related software project, ensuring that all stakeholders understand the objectives, functionalities, and expected outcomes. This document serves as a comprehensive guide for the entire development lifecycle, from planning through implementation and maintenance.</w:t>
        <w:br/>
        <w:br/>
        <w:t>Specifically, it aims to:</w:t>
        <w:br/>
        <w:br/>
        <w:t>Define Objectives: Clearly articulate the goals and strategic importance of the software project within the defense sector.</w:t>
        <w:br/>
        <w:t>Detail Functional Requirements: Provide a detailed breakdown of what the software must accomplish, including its operational capabilities and performance metrics.</w:t>
        <w:br/>
        <w:t>Establish Technical Specifications: Outline the technical standards, protocols, and frameworks that will be used in the development process to ensure compatibility, security, and efficiency.</w:t>
        <w:br/>
        <w:t>Guide Development Team: Serve as a reference for the development team, providing them with clear guidelines on design, coding practices, testing methodologies, and deployment strategies.</w:t>
        <w:br/>
        <w:t>Facilitate Communication: Act as a communication tool among all stakeholders including developers, project managers, end-users, and other relevant parties to ensure everyone is aligned with the project's vision and goals.</w:t>
        <w:br/>
        <w:br/>
        <w:t>This document adheres to REQ-0001 which mandates that every technical document must clearly define its purpose and scope. By fulfilling this requirement, we aim to create a robust foundation for the successful development of our defense software project.</w:t>
      </w:r>
    </w:p>
    <w:p>
      <w:pPr>
        <w:pStyle w:val="Heading2"/>
      </w:pPr>
      <w:r>
        <w:t>Scope</w:t>
      </w:r>
    </w:p>
    <w:p>
      <w:r>
        <w:t>Field: Scope</w:t>
        <w:br/>
        <w:br/>
        <w:t>The scope of this document, designated as Document ID [DOC-001], is to provide comprehensive guidelines and specifications for the development and implementation of a new software system within the defense research and development (R&amp;D) project. This document aims to outline the boundaries of the project in terms of functionality, systems integration, and performance requirements.</w:t>
        <w:br/>
        <w:br/>
        <w:t>Scope Details:</w:t>
        <w:br/>
        <w:br/>
        <w:t>The scope encompasses:</w:t>
        <w:br/>
        <w:t>Functional Requirements: Detailed descriptions of what the software must do to meet its primary objectives as defined by the project's strategic goals.</w:t>
        <w:br/>
        <w:t>Technical Specifications: Technical details including system architecture, interfaces, data formats, and security protocols necessary for the software development process.</w:t>
        <w:br/>
        <w:t>Integration and Interoperability: Guidelines on how the new software will integrate with existing systems within the defense network and potentially with external systems or services.</w:t>
        <w:br/>
        <w:t>Performance Metrics: Criteria for evaluating the efficiency, reliability, and scalability of the software under various operational conditions.</w:t>
        <w:br/>
        <w:br/>
        <w:t>Exclusions:</w:t>
        <w:br/>
        <w:br/>
        <w:t>This document does not cover:</w:t>
        <w:br/>
        <w:t>Operational Procedures: Detailed procedures for day-to-day operation and maintenance of the system once it is deployed.</w:t>
        <w:br/>
        <w:t>Future Enhancements: Long-term plans or requirements that are beyond the initial scope of this project, which may be addressed in subsequent documents or future iterations.</w:t>
        <w:br/>
        <w:br/>
        <w:t>Scope Justification:</w:t>
        <w:br/>
        <w:br/>
        <w:t>The scope has been carefully defined to ensure that all critical aspects of the software development process are covered while maintaining a clear distinction between what is included and what is excluded. This approach helps in managing expectations, guiding resource allocation, and facilitating effective communication among stakeholders throughout the project lifecycle.</w:t>
        <w:br/>
        <w:br/>
        <w:t>References:</w:t>
        <w:br/>
        <w:br/>
        <w:t>This document adheres to the guidelines outlined in [REFERENCE-001] for defense R&amp;D projects, ensuring alignment with organizational standards and best practices in software development within the defense sector.</w:t>
        <w:br/>
        <w:br/>
        <w:t>Revision History:</w:t>
        <w:br/>
        <w:br/>
        <w:t>[DOC-001] has been updated as follows:</w:t>
        <w:br/>
        <w:t>Initial Draft: Created on [DATE], incorporating requirements from REQ-0001 to REQ-0010.</w:t>
        <w:br/>
        <w:t>First Revision: Released on [DATE], addressing feedback from stakeholders and incorporating changes based on REQ-0011.</w:t>
        <w:br/>
        <w:br/>
        <w:t>Authorship:</w:t>
        <w:br/>
        <w:br/>
        <w:t>This document was prepared by the Technical Writing Team under the supervision of [NAME], with contributions from various departments as indicated in the collaboration log.</w:t>
        <w:br/>
        <w:br/>
        <w:t>Approval Status:</w:t>
        <w:br/>
        <w:br/>
        <w:t>[DOC-001] is currently awaiting final approval from the Project Management Board (PMB) and will be officially approved upon receipt of their endorsement.</w:t>
      </w:r>
    </w:p>
    <w:p>
      <w:pPr>
        <w:pStyle w:val="Heading2"/>
      </w:pPr>
      <w:r>
        <w:t>References</w:t>
      </w:r>
    </w:p>
    <w:p>
      <w:r>
        <w:t>(empty)</w:t>
      </w:r>
    </w:p>
    <w:p>
      <w:pPr>
        <w:pStyle w:val="Heading1"/>
      </w:pPr>
      <w:r>
        <w:t>2 Interface Requirements</w:t>
      </w:r>
    </w:p>
    <w:p>
      <w:r>
        <w:t>(empty)</w:t>
      </w:r>
    </w:p>
    <w:p>
      <w:pPr>
        <w:pStyle w:val="Heading1"/>
      </w:pPr>
      <w:r>
        <w:t>3 Message Formats and Data Structures</w:t>
      </w:r>
    </w:p>
    <w:p>
      <w:pPr>
        <w:pStyle w:val="Heading2"/>
      </w:pPr>
      <w:r>
        <w:t>Message Schemas</w:t>
      </w:r>
    </w:p>
    <w:p>
      <w:r>
        <w:t>(empty)</w:t>
      </w:r>
    </w:p>
    <w:p>
      <w:pPr>
        <w:pStyle w:val="Heading2"/>
      </w:pPr>
      <w:r>
        <w:t>Encoding Rules</w:t>
      </w:r>
    </w:p>
    <w:p>
      <w:r>
        <w:t>Field: Encoding Rules (REQ-0002)</w:t>
        <w:br/>
        <w:br/>
        <w:t>The encoding rules for the data structures within this project are designed to ensure compatibility, efficiency, and security across various platforms. This section outlines the specific guidelines that govern how data is represented in binary form.</w:t>
        <w:br/>
        <w:br/>
        <w:t>Character Set: The primary character set used throughout the system is UTF-8 (REQ-0003). This choice supports a wide range of characters from different languages and scripts, ensuring global compatibility.</w:t>
        <w:br/>
        <w:br/>
        <w:t>Data Types Encoding: All numeric values are encoded using IEEE 754 floating-point format for precision and portability across platforms (REQ-0004). Boolean values use the standard binary representation: true as 1, and false as 0.</w:t>
        <w:br/>
        <w:br/>
        <w:t>Binary Serialization: For data exchange between different components, a custom serialization protocol is employed that adheres to the principles of minimal overhead and maximum readability. This includes:</w:t>
        <w:br/>
        <w:t xml:space="preserve">   - Field-Oriented Encoding: Each field in a message structure is prefixed with its type (e.g., integer size, floating point precision) followed by the value.</w:t>
        <w:br/>
        <w:t xml:space="preserve">   - Variable-Length Packing: Arrays or lists are encoded using variable-length integers to represent their length before the actual data, allowing for efficient handling of dynamic data sizes.</w:t>
        <w:br/>
        <w:br/>
        <w:t>Security Considerations: To protect sensitive information during transmission and storage:</w:t>
        <w:br/>
        <w:t xml:space="preserve">   - Encryption: All serialized messages that contain sensitive data undergo encryption using AES-256 (REQ-0005) with a unique key per session to ensure confidentiality.</w:t>
        <w:br/>
        <w:t xml:space="preserve">   - Data Integrity Checks: A checksum or cryptographic hash is appended to each message to verify its integrity upon receipt.</w:t>
        <w:br/>
        <w:br/>
        <w:t>Endianness: The system uses big-endian byte order for all binary data representations, ensuring compatibility across different hardware architectures (REQ-0006).</w:t>
        <w:br/>
        <w:br/>
        <w:t>These encoding rules are designed to balance performance with security and ease of integration into the overall system architecture. Compliance with these guidelines is mandatory for any software component developed or integrated within this project.</w:t>
        <w:br/>
        <w:br/>
        <w:t>References:</w:t>
        <w:br/>
        <w:t>[ISO/IEC 8859](https://www.iso.org/standard/47631.html) - For UTF-8 character set standard.</w:t>
        <w:br/>
        <w:t>[IEEE Standard for Floating-Point Arithmetic](https://ieeexplore.ieee.org/document/40243) - For IEEE 754 floating-point format details.</w:t>
        <w:br/>
        <w:t>[AES Algorithm Specification](https://csrc.nist.gov/publications/detail/fips/197/1) - For AES encryption standard.</w:t>
        <w:br/>
        <w:br/>
        <w:t>Further Reading:</w:t>
        <w:br/>
        <w:t>[Serialization Best Practices](https://www.example.com/serialization-best-practices) for detailed guidelines on efficient and secure data serialization techniques.</w:t>
      </w:r>
    </w:p>
    <w:p>
      <w:pPr>
        <w:pStyle w:val="Heading1"/>
      </w:pPr>
      <w:r>
        <w:t>4 Interface Traceability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