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Test Strategy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</w:r>
    </w:p>
    <w:p>
      <w:pPr>
        <w:pStyle w:val="Heading2"/>
      </w:pPr>
      <w:r>
        <w:t>Features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</w:r>
    </w:p>
    <w:p>
      <w:pPr>
        <w:pStyle w:val="Heading2"/>
      </w:pPr>
      <w:r>
        <w:t>Features Not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</w:r>
    </w:p>
    <w:p>
      <w:pPr>
        <w:pStyle w:val="Heading1"/>
      </w:pPr>
      <w:r>
        <w:t>3 Test Cases</w:t>
      </w:r>
    </w:p>
    <w:p>
      <w:r>
        <w:t>(empty)</w:t>
      </w:r>
    </w:p>
    <w:p>
      <w:pPr>
        <w:pStyle w:val="Heading1"/>
      </w:pPr>
      <w:r>
        <w:t>4 Test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