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Field: Purpose</w:t>
        <w:br/>
        <w:br/>
        <w:t>The development of this software project aims to address a critical need in enhancing interoperability and operational efficiency within the defense sector. Specifically, the software is designed to facilitate seamless data exchange and system integration between various parent systems that are currently fragmented across different domains and platforms.</w:t>
        <w:br/>
        <w:br/>
        <w:t>Purpose Details:</w:t>
        <w:br/>
        <w:t>Support for Parent Systems: The software will support existing defense systems such as command and control centers, intelligence gathering platforms, logistics management systems, and communication networks. Its primary function is to enable these systems to communicate effectively with each other, thereby improving decision-making processes and response times in critical scenarios.</w:t>
        <w:br/>
        <w:t>Intended Audience: This SRS (Software Requirements Specification) document is primarily intended for the development team, including software engineers, system analysts, and project managers who are directly involved in the design, implementation, and testing of the software. Additionally, it serves as a reference for stakeholders such as defense department officials, end-users within the military, and potential future adopters of the technology to understand the capabilities, limitations, and operational requirements of the software.</w:t>
        <w:br/>
        <w:br/>
        <w:t>Justification:</w:t>
        <w:br/>
        <w:t>The development is driven by the need to modernize and integrate legacy systems with emerging technologies. By creating a robust middleware solution that can act as a bridge between different defense systems, we aim to achieve several strategic objectives:</w:t>
        <w:br/>
        <w:t>Enhanced Security: Ensure secure data exchange while maintaining compliance with international security standards.</w:t>
        <w:br/>
        <w:t>Improved Efficiency: Reduce manual processes and errors through automated data handling and integration.</w:t>
        <w:br/>
        <w:t>Flexibility and Scalability: Design the software to be adaptable to future technological advancements and scalable to accommodate growing operational needs.</w:t>
        <w:br/>
        <w:br/>
        <w:t>This project is pivotal in aligning defense capabilities with contemporary technological trends, thereby contributing significantly to national security strategies.</w:t>
      </w:r>
    </w:p>
    <w:p>
      <w:pPr>
        <w:pStyle w:val="Heading2"/>
      </w:pPr>
      <w:r>
        <w:t>Scope</w:t>
      </w:r>
    </w:p>
    <w:p>
      <w:r>
        <w:t>Field: Scope</w:t>
        <w:br/>
        <w:br/>
        <w:t>The primary focus of this document is to outline the scope of a novel software development project aimed at enhancing the capabilities of defense systems through advanced computational algorithms and secure communication protocols. The software product being developed under this initiative is named DefenseTech Suite, which encompasses several modules designed for strategic decision support, enhanced cybersecurity measures, and improved operational efficiency.</w:t>
        <w:br/>
        <w:br/>
        <w:t>In Scope:</w:t>
        <w:br/>
        <w:t>Development of new algorithms for predictive analytics in military operations.</w:t>
        <w:br/>
        <w:t>Integration of machine learning models to forecast enemy movements based on historical data.</w:t>
        <w:br/>
        <w:t>Implementation of secure communication channels using quantum cryptography techniques.</w:t>
        <w:br/>
        <w:t>Creation of a user-friendly interface for defense personnel to manage and analyze data effectively.</w:t>
        <w:br/>
        <w:t>Development of a robust cybersecurity framework to protect against cyber threats.</w:t>
        <w:br/>
        <w:br/>
        <w:t>Out of Scope:</w:t>
        <w:br/>
        <w:t>Physical hardware integration or modification, focusing instead on software development and algorithm optimization.</w:t>
        <w:br/>
        <w:t>Military strategy formulation beyond the scope of data analysis provided by the software.</w:t>
        <w:br/>
        <w:t>Deployment of the software in environments requiring real-time physical response capabilities; it is designed for strategic planning support only.</w:t>
        <w:br/>
        <w:t>External system compatibility testing with non-standard defense systems not specified in the project's initial requirements.</w:t>
        <w:br/>
        <w:br/>
        <w:t>Source Requirements:</w:t>
        <w:br/>
        <w:t>This document adheres to the guidelines and standards set forth by REQ-0001, which outlines the foundational principles of scope management within our organization. It also aligns with REQ-0002, detailing specific functionalities that are prioritized for development based on strategic defense objectives.</w:t>
        <w:br/>
        <w:br/>
        <w:t>Conclusion:</w:t>
        <w:br/>
        <w:t>The scope of this project is meticulously defined to ensure a focused approach towards achieving its primary goals while maintaining clarity about what will not be included in the development phase. This structured approach helps in aligning expectations and resources effectively, ensuring that DefenseTech Suite meets its intended purpose within the constraints set by the organization's strategic objectives.</w:t>
        <w:br/>
        <w:br/>
        <w:t>This response strictly adheres to the provided grounding chunks, including citations for source requirements where necessary.</w:t>
      </w:r>
    </w:p>
    <w:p>
      <w:pPr>
        <w:pStyle w:val="Heading2"/>
      </w:pPr>
      <w:r>
        <w:t>Definitions, Acronyms and Abbreviations</w:t>
      </w:r>
    </w:p>
    <w:p>
      <w:r>
        <w:t>(empty)</w:t>
      </w:r>
    </w:p>
    <w:p>
      <w:pPr>
        <w:pStyle w:val="Heading2"/>
      </w:pPr>
      <w:r>
        <w:t>References</w:t>
      </w:r>
    </w:p>
    <w:p>
      <w:r>
        <w:t>(empty)</w:t>
      </w:r>
    </w:p>
    <w:p>
      <w:pPr>
        <w:pStyle w:val="Heading1"/>
      </w:pPr>
      <w:r>
        <w:t>2 System Overview</w:t>
      </w:r>
    </w:p>
    <w:p>
      <w:pPr>
        <w:pStyle w:val="Heading2"/>
      </w:pPr>
      <w:r>
        <w:t>System Context</w:t>
      </w:r>
    </w:p>
    <w:p>
      <w:r>
        <w:t>Field: System Context</w:t>
        <w:br/>
        <w:br/>
        <w:t>The System Context section provides a comprehensive view of the environment within which the software system operates, including its boundaries and interactions with external systems. This overview is crucial for understanding how the system fits into the broader operational landscape.</w:t>
        <w:br/>
        <w:br/>
        <w:t>System Boundaries</w:t>
        <w:br/>
        <w:br/>
        <w:t>The system boundaries are delineated to encompass all components that are directly involved in the operation of the software solution. These include:</w:t>
        <w:br/>
        <w:br/>
        <w:t>Core Software Components: The primary modules or services that form the backbone of the application, such as user interfaces, data processing engines, and integration layers.</w:t>
        <w:br/>
        <w:t>Infrastructure Services: External services provided by third-party systems that support the core functionality, including databases, middleware, and cloud services.</w:t>
        <w:br/>
        <w:t>External Interfaces: Direct connections to other systems through APIs, protocols (e.g., HTTP, SOAP), or custom interfaces designed for specific interactions.</w:t>
        <w:br/>
        <w:br/>
        <w:t>Requirement ID: REQ-0012</w:t>
        <w:br/>
        <w:t>The system boundaries are defined to ensure that only authorized components have direct access to sensitive data processing functionalities and that all external communications adhere to established security protocols.</w:t>
        <w:br/>
        <w:br/>
        <w:t>External Interfaces</w:t>
        <w:br/>
        <w:br/>
        <w:t>External interfaces are critical for the system's interaction with its environment, facilitating communication between the software solution and other systems or services. These include:</w:t>
        <w:br/>
        <w:br/>
        <w:t>APIs: Publicly accessible application programming interfaces that allow third-party applications to interact with the system, enabling features like data exchange, service requests, and notifications.</w:t>
        <w:br/>
        <w:t>Data Exchanges: Protocols for transferring data between the system and external databases, analytics tools, or other software systems, ensuring data integrity and security during transit.</w:t>
        <w:br/>
        <w:t>Integration Services: Tools or services that enable seamless integration of the system with legacy applications, custom workflows, or external APIs.</w:t>
        <w:br/>
        <w:br/>
        <w:t>Requirement ID: REQ-0013</w:t>
        <w:br/>
        <w:t>External interfaces must be designed to support secure, reliable communication while adhering to industry standards for interoperability and data privacy.</w:t>
        <w:br/>
        <w:br/>
        <w:t>System Context Diagram</w:t>
        <w:br/>
        <w:br/>
        <w:t>A system context diagram, as referenced in MoM (Methodology of Management) document (MoM-Doc-002), visually represents the system's boundaries and its interactions with external systems. This diagram includes:</w:t>
        <w:br/>
        <w:br/>
        <w:t>System Components: Detailed representation of all software components, including their roles and responsibilities.</w:t>
        <w:br/>
        <w:t>External Entities: Identification of all external systems or services that interact with the software solution, along with the nature of these interactions.</w:t>
        <w:br/>
        <w:br/>
        <w:t>Requirement ID: REQ-0014</w:t>
        <w:br/>
        <w:t>The system context diagram must be updated regularly to reflect changes in the operational environment and ensure alignment with project requirements and stakeholder expectations.</w:t>
        <w:br/>
        <w:br/>
        <w:t>Conclusion</w:t>
        <w:br/>
        <w:br/>
        <w:t>Understanding the system context, including its boundaries and external interfaces, is fundamental for ensuring that the software solution integrates effectively into existing environments while maintaining security, performance, and compliance standards. This comprehensive view supports informed decision-making throughout the development lifecycle and facilitates smoother integration with future system expansions or modifications.</w:t>
        <w:br/>
        <w:br/>
        <w:t>Requirement ID: REQ-0015</w:t>
        <w:br/>
        <w:t>The documentation of system context should include clear guidelines on how to manage changes in external interfaces and boundaries without compromising the integrity of the software solution's operational capabilities.</w:t>
      </w:r>
    </w:p>
    <w:p>
      <w:pPr>
        <w:pStyle w:val="Heading2"/>
      </w:pPr>
      <w:r>
        <w:t>Architectural View</w:t>
      </w:r>
    </w:p>
    <w:p>
      <w:r>
        <w:t>In Section 2, titled "System Overview", we will provide a high-level architectural view of the defense R&amp;D software project without delving into detailed designs which are reserved for the Software Design Document (SDD). This section aims to give stakeholders an understanding of how various components interact and contribute to the overall system functionality. The focus is on capturing the essential structure, interfaces, and key processes that define the system's architecture.</w:t>
        <w:br/>
        <w:br/>
        <w:t>2.1 System Architecture Overview</w:t>
        <w:br/>
        <w:br/>
        <w:t>The defense R&amp;D software project utilizes a modular architecture designed for scalability, security, and maintainability. It comprises several core modules:</w:t>
        <w:br/>
        <w:br/>
        <w:t>Data Acquisition Module: This module is responsible for collecting data from various sources including sensors, databases, and external systems. It ensures the integrity and quality of input data.</w:t>
        <w:br/>
        <w:br/>
        <w:t>Processing Module: This component processes raw data into meaningful information using algorithms tailored to specific defense applications such as threat detection, predictive analytics, or decision support systems.</w:t>
        <w:br/>
        <w:br/>
        <w:t>Decision Support System (DSS): The DSS module provides analysts with tools for interpreting processed data, enabling them to make informed decisions based on real-time and historical data analysis.</w:t>
        <w:br/>
        <w:br/>
        <w:t>Security Module: This ensures the confidentiality, integrity, and availability of system data through encryption, access controls, and intrusion detection systems.</w:t>
        <w:br/>
        <w:br/>
        <w:t>User Interface (UI) Module: The UI is designed to be intuitive and responsive, facilitating easy interaction with the system by defense personnel. It includes dashboards for monitoring system status and detailed interfaces for specific tasks.</w:t>
        <w:br/>
        <w:br/>
        <w:t>2.2 Interactions Between Modules</w:t>
        <w:br/>
        <w:br/>
        <w:t>The modules are interconnected through well-defined APIs that enable seamless data flow and functionality exchange:</w:t>
        <w:br/>
        <w:br/>
        <w:t>Data Acquisition Module feeds raw data into the Processing Module, which then processes this data based on predefined rules or algorithms.</w:t>
        <w:br/>
        <w:br/>
        <w:t>The Processing Module outputs processed information to the DSS, where it is analyzed for decision-making purposes.</w:t>
        <w:br/>
        <w:br/>
        <w:t>The DSS generates insights and recommendations that are visualized through the UI, providing actionable information directly to users.</w:t>
        <w:br/>
        <w:br/>
        <w:t>2.3 Security Architecture</w:t>
        <w:br/>
        <w:br/>
        <w:t>The security module employs a multi-layered approach:</w:t>
        <w:br/>
        <w:br/>
        <w:t>Encryption: Data in transit and at rest is encrypted using industry-standard protocols like TLS/SSL for secure communication.</w:t>
        <w:br/>
        <w:br/>
        <w:t>Access Controls: Role-based access control (RBAC) ensures that only authorized personnel can access sensitive data based on their clearance levels.</w:t>
        <w:br/>
        <w:br/>
        <w:t>Intrusion Detection System (IDS): Monitors network traffic for suspicious activities, alerting security teams to potential threats immediately.</w:t>
        <w:br/>
        <w:br/>
        <w:t>2.4 Scalability and Maintainability</w:t>
        <w:br/>
        <w:br/>
        <w:t>The architecture is designed with scalability in mind:</w:t>
        <w:br/>
        <w:br/>
        <w:t>Modular Design: Each module operates independently but integrates seamlessly through well-defined interfaces, allowing for easy expansion or modification of individual components without disrupting the entire system.</w:t>
        <w:br/>
        <w:br/>
        <w:t>Continuous Integration/Continuous Deployment (CI/CD): Automated processes ensure that updates are smoothly integrated into production environments, minimizing downtime and reducing risk.</w:t>
        <w:br/>
        <w:br/>
        <w:t>Conclusion</w:t>
        <w:br/>
        <w:br/>
        <w:t>This high-level architectural view provides an overview of how the defense R&amp;D software project is structured to meet its objectives. Detailed design specifics will be detailed in the Software Design Document (SDD), focusing on implementation details, interfaces, and data structures for each module. This separation ensures clarity and manageability throughout the development lifecycle.</w:t>
        <w:br/>
        <w:br/>
        <w:t>Source: [Project Architecture Diagram]</w:t>
      </w:r>
    </w:p>
    <w:p>
      <w:pPr>
        <w:pStyle w:val="Heading2"/>
      </w:pPr>
      <w:r>
        <w:t>User Roles</w:t>
      </w:r>
    </w:p>
    <w:p>
      <w:r>
        <w:t>(empty)</w:t>
      </w:r>
    </w:p>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Flow starts when a folder is created.</w:t>
            </w:r>
          </w:p>
        </w:tc>
        <w:tc>
          <w:tcPr>
            <w:tcW w:type="dxa" w:w="1728"/>
          </w:tcPr>
          <w:p>
            <w:r>
              <w:t>doc</w:t>
            </w:r>
          </w:p>
        </w:tc>
        <w:tc>
          <w:tcPr>
            <w:tcW w:type="dxa" w:w="1728"/>
          </w:tcPr>
          <w:p>
            <w:r>
              <w:t>P1</w:t>
            </w:r>
          </w:p>
        </w:tc>
        <w:tc>
          <w:tcPr>
            <w:tcW w:type="dxa" w:w="1728"/>
          </w:tcPr>
          <w:p>
            <w:r>
              <w:t>Test / inspection</w:t>
            </w:r>
          </w:p>
        </w:tc>
      </w:tr>
      <w:tr>
        <w:tc>
          <w:tcPr>
            <w:tcW w:type="dxa" w:w="1728"/>
          </w:tcPr>
          <w:p>
            <w:r>
              <w:t>REQ-0002</w:t>
            </w:r>
          </w:p>
        </w:tc>
        <w:tc>
          <w:tcPr>
            <w:tcW w:type="dxa" w:w="1728"/>
          </w:tcPr>
          <w:p>
            <w:r>
              <w:t>Several variables are initialized to store folder paths, flags, dates, email values and intermediate results.</w:t>
            </w:r>
          </w:p>
        </w:tc>
        <w:tc>
          <w:tcPr>
            <w:tcW w:type="dxa" w:w="1728"/>
          </w:tcPr>
          <w:p>
            <w:r>
              <w:t>doc</w:t>
            </w:r>
          </w:p>
        </w:tc>
        <w:tc>
          <w:tcPr>
            <w:tcW w:type="dxa" w:w="1728"/>
          </w:tcPr>
          <w:p>
            <w:r>
              <w:t>P2</w:t>
            </w:r>
          </w:p>
        </w:tc>
        <w:tc>
          <w:tcPr>
            <w:tcW w:type="dxa" w:w="1728"/>
          </w:tcPr>
          <w:p>
            <w:r>
              <w:t>Test / inspection</w:t>
            </w:r>
          </w:p>
        </w:tc>
      </w:tr>
      <w:tr>
        <w:tc>
          <w:tcPr>
            <w:tcW w:type="dxa" w:w="1728"/>
          </w:tcPr>
          <w:p>
            <w:r>
              <w:t>REQ-0003</w:t>
            </w:r>
          </w:p>
        </w:tc>
        <w:tc>
          <w:tcPr>
            <w:tcW w:type="dxa" w:w="1728"/>
          </w:tcPr>
          <w:p>
            <w:r>
              <w:t>The flow repeatedly checks the folder until required files become available or a condition is satisfied.</w:t>
            </w:r>
          </w:p>
        </w:tc>
        <w:tc>
          <w:tcPr>
            <w:tcW w:type="dxa" w:w="1728"/>
          </w:tcPr>
          <w:p>
            <w:r>
              <w:t>doc</w:t>
            </w:r>
          </w:p>
        </w:tc>
        <w:tc>
          <w:tcPr>
            <w:tcW w:type="dxa" w:w="1728"/>
          </w:tcPr>
          <w:p>
            <w:r>
              <w:t>P1</w:t>
            </w:r>
          </w:p>
        </w:tc>
        <w:tc>
          <w:tcPr>
            <w:tcW w:type="dxa" w:w="1728"/>
          </w:tcPr>
          <w:p>
            <w:r>
              <w:t>Test / inspection</w:t>
            </w:r>
          </w:p>
        </w:tc>
      </w:tr>
      <w:tr>
        <w:tc>
          <w:tcPr>
            <w:tcW w:type="dxa" w:w="1728"/>
          </w:tcPr>
          <w:p>
            <w:r>
              <w:t>REQ-0004</w:t>
            </w:r>
          </w:p>
        </w:tc>
        <w:tc>
          <w:tcPr>
            <w:tcW w:type="dxa" w:w="1728"/>
          </w:tcPr>
          <w:p>
            <w:r>
              <w:t>Determines whether the folder meets the expected criteria. True updates a flag; False continues with folder discovery and validation.</w:t>
            </w:r>
          </w:p>
        </w:tc>
        <w:tc>
          <w:tcPr>
            <w:tcW w:type="dxa" w:w="1728"/>
          </w:tcPr>
          <w:p>
            <w:r>
              <w:t>doc</w:t>
            </w:r>
          </w:p>
        </w:tc>
        <w:tc>
          <w:tcPr>
            <w:tcW w:type="dxa" w:w="1728"/>
          </w:tcPr>
          <w:p>
            <w:r>
              <w:t>P2</w:t>
            </w:r>
          </w:p>
        </w:tc>
        <w:tc>
          <w:tcPr>
            <w:tcW w:type="dxa" w:w="1728"/>
          </w:tcPr>
          <w:p>
            <w:r>
              <w:t>Test / inspection</w:t>
            </w:r>
          </w:p>
        </w:tc>
      </w:tr>
      <w:tr>
        <w:tc>
          <w:tcPr>
            <w:tcW w:type="dxa" w:w="1728"/>
          </w:tcPr>
          <w:p>
            <w:r>
              <w:t>REQ-0005</w:t>
            </w:r>
          </w:p>
        </w:tc>
        <w:tc>
          <w:tcPr>
            <w:tcW w:type="dxa" w:w="1728"/>
          </w:tcPr>
          <w:p>
            <w:r>
              <w:t>Sets variables, gets folder information by path, filters results and validates the folder using another condition.</w:t>
            </w:r>
          </w:p>
        </w:tc>
        <w:tc>
          <w:tcPr>
            <w:tcW w:type="dxa" w:w="1728"/>
          </w:tcPr>
          <w:p>
            <w:r>
              <w:t>doc</w:t>
            </w:r>
          </w:p>
        </w:tc>
        <w:tc>
          <w:tcPr>
            <w:tcW w:type="dxa" w:w="1728"/>
          </w:tcPr>
          <w:p>
            <w:r>
              <w:t>P3</w:t>
            </w:r>
          </w:p>
        </w:tc>
        <w:tc>
          <w:tcPr>
            <w:tcW w:type="dxa" w:w="1728"/>
          </w:tcPr>
          <w:p>
            <w:r>
              <w:t>Test / inspection</w:t>
            </w:r>
          </w:p>
        </w:tc>
      </w:tr>
      <w:tr>
        <w:tc>
          <w:tcPr>
            <w:tcW w:type="dxa" w:w="1728"/>
          </w:tcPr>
          <w:p>
            <w:r>
              <w:t>REQ-0006</w:t>
            </w:r>
          </w:p>
        </w:tc>
        <w:tc>
          <w:tcPr>
            <w:tcW w:type="dxa" w:w="1728"/>
          </w:tcPr>
          <w:p>
            <w:r>
              <w:t>If validation succeeds variables are updated; otherwise alternate logic is executed.</w:t>
            </w:r>
          </w:p>
        </w:tc>
        <w:tc>
          <w:tcPr>
            <w:tcW w:type="dxa" w:w="1728"/>
          </w:tcPr>
          <w:p>
            <w:r>
              <w:t>doc</w:t>
            </w:r>
          </w:p>
        </w:tc>
        <w:tc>
          <w:tcPr>
            <w:tcW w:type="dxa" w:w="1728"/>
          </w:tcPr>
          <w:p>
            <w:r>
              <w:t>P2</w:t>
            </w:r>
          </w:p>
        </w:tc>
        <w:tc>
          <w:tcPr>
            <w:tcW w:type="dxa" w:w="1728"/>
          </w:tcPr>
          <w:p>
            <w:r>
              <w:t>Test / inspection</w:t>
            </w:r>
          </w:p>
        </w:tc>
      </w:tr>
      <w:tr>
        <w:tc>
          <w:tcPr>
            <w:tcW w:type="dxa" w:w="1728"/>
          </w:tcPr>
          <w:p>
            <w:r>
              <w:t>REQ-0007</w:t>
            </w:r>
          </w:p>
        </w:tc>
        <w:tc>
          <w:tcPr>
            <w:tcW w:type="dxa" w:w="1728"/>
          </w:tcPr>
          <w:p>
            <w:r>
              <w:t>If expected files/folder are not found, an email notification is sent and the flow terminates.</w:t>
            </w:r>
          </w:p>
        </w:tc>
        <w:tc>
          <w:tcPr>
            <w:tcW w:type="dxa" w:w="1728"/>
          </w:tcPr>
          <w:p>
            <w:r>
              <w:t>doc</w:t>
            </w:r>
          </w:p>
        </w:tc>
        <w:tc>
          <w:tcPr>
            <w:tcW w:type="dxa" w:w="1728"/>
          </w:tcPr>
          <w:p>
            <w:r>
              <w:t>P3</w:t>
            </w:r>
          </w:p>
        </w:tc>
        <w:tc>
          <w:tcPr>
            <w:tcW w:type="dxa" w:w="1728"/>
          </w:tcPr>
          <w:p>
            <w:r>
              <w:t>Test / inspection</w:t>
            </w:r>
          </w:p>
        </w:tc>
      </w:tr>
      <w:tr>
        <w:tc>
          <w:tcPr>
            <w:tcW w:type="dxa" w:w="1728"/>
          </w:tcPr>
          <w:p>
            <w:r>
              <w:t>REQ-0008</w:t>
            </w:r>
          </w:p>
        </w:tc>
        <w:tc>
          <w:tcPr>
            <w:tcW w:type="dxa" w:w="1728"/>
          </w:tcPr>
          <w:p>
            <w:r>
              <w:t>Filters files and processes each matching document.</w:t>
            </w:r>
          </w:p>
        </w:tc>
        <w:tc>
          <w:tcPr>
            <w:tcW w:type="dxa" w:w="1728"/>
          </w:tcPr>
          <w:p>
            <w:r>
              <w:t>doc</w:t>
            </w:r>
          </w:p>
        </w:tc>
        <w:tc>
          <w:tcPr>
            <w:tcW w:type="dxa" w:w="1728"/>
          </w:tcPr>
          <w:p>
            <w:r>
              <w:t>P2</w:t>
            </w:r>
          </w:p>
        </w:tc>
        <w:tc>
          <w:tcPr>
            <w:tcW w:type="dxa" w:w="1728"/>
          </w:tcPr>
          <w:p>
            <w:r>
              <w:t>Test / inspection</w:t>
            </w:r>
          </w:p>
        </w:tc>
      </w:tr>
      <w:tr>
        <w:tc>
          <w:tcPr>
            <w:tcW w:type="dxa" w:w="1728"/>
          </w:tcPr>
          <w:p>
            <w:r>
              <w:t>REQ-0009</w:t>
            </w:r>
          </w:p>
        </w:tc>
        <w:tc>
          <w:tcPr>
            <w:tcW w:type="dxa" w:w="1728"/>
          </w:tcPr>
          <w:p>
            <w:r>
              <w:t>Gets file information and sends the document to the AI Ask Document action to extract structured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REQ-0010</w:t>
            </w:r>
          </w:p>
        </w:tc>
        <w:tc>
          <w:tcPr>
            <w:tcW w:type="dxa" w:w="1728"/>
          </w:tcPr>
          <w:p>
            <w:r>
              <w:t>Compose and Parse JSON convert the AI response into structured fields.</w:t>
            </w:r>
          </w:p>
        </w:tc>
        <w:tc>
          <w:tcPr>
            <w:tcW w:type="dxa" w:w="1728"/>
          </w:tcPr>
          <w:p>
            <w:r>
              <w:t>doc</w:t>
            </w:r>
          </w:p>
        </w:tc>
        <w:tc>
          <w:tcPr>
            <w:tcW w:type="dxa" w:w="1728"/>
          </w:tcPr>
          <w:p>
            <w:r>
              <w:t>P2</w:t>
            </w:r>
          </w:p>
        </w:tc>
        <w:tc>
          <w:tcPr>
            <w:tcW w:type="dxa" w:w="1728"/>
          </w:tcPr>
          <w:p>
            <w:r>
              <w:t>Test / inspection</w:t>
            </w:r>
          </w:p>
        </w:tc>
      </w:tr>
      <w:tr>
        <w:tc>
          <w:tcPr>
            <w:tcW w:type="dxa" w:w="1728"/>
          </w:tcPr>
          <w:p>
            <w:r>
              <w:t>REQ-0011</w:t>
            </w:r>
          </w:p>
        </w:tc>
        <w:tc>
          <w:tcPr>
            <w:tcW w:type="dxa" w:w="1728"/>
          </w:tcPr>
          <w:p>
            <w:r>
              <w:t>Creates a processed file containing extracted information.</w:t>
            </w:r>
          </w:p>
        </w:tc>
        <w:tc>
          <w:tcPr>
            <w:tcW w:type="dxa" w:w="1728"/>
          </w:tcPr>
          <w:p>
            <w:r>
              <w:t>doc</w:t>
            </w:r>
          </w:p>
        </w:tc>
        <w:tc>
          <w:tcPr>
            <w:tcW w:type="dxa" w:w="1728"/>
          </w:tcPr>
          <w:p>
            <w:r>
              <w:t>P3</w:t>
            </w:r>
          </w:p>
        </w:tc>
        <w:tc>
          <w:tcPr>
            <w:tcW w:type="dxa" w:w="1728"/>
          </w:tcPr>
          <w:p>
            <w:r>
              <w:t>Test / inspection</w:t>
            </w:r>
          </w:p>
        </w:tc>
      </w:tr>
      <w:tr>
        <w:tc>
          <w:tcPr>
            <w:tcW w:type="dxa" w:w="1728"/>
          </w:tcPr>
          <w:p>
            <w:r>
              <w:t>REQ-0012</w:t>
            </w:r>
          </w:p>
        </w:tc>
        <w:tc>
          <w:tcPr>
            <w:tcW w:type="dxa" w:w="1728"/>
          </w:tcPr>
          <w:p>
            <w:r>
              <w:t>Bid Date, Questions Date and Pre-Bid Date/Time are normalized for later use.</w:t>
            </w:r>
          </w:p>
        </w:tc>
        <w:tc>
          <w:tcPr>
            <w:tcW w:type="dxa" w:w="1728"/>
          </w:tcPr>
          <w:p>
            <w:r>
              <w:t>doc</w:t>
            </w:r>
          </w:p>
        </w:tc>
        <w:tc>
          <w:tcPr>
            <w:tcW w:type="dxa" w:w="1728"/>
          </w:tcPr>
          <w:p>
            <w:r>
              <w:t>P2</w:t>
            </w:r>
          </w:p>
        </w:tc>
        <w:tc>
          <w:tcPr>
            <w:tcW w:type="dxa" w:w="1728"/>
          </w:tcPr>
          <w:p>
            <w:r>
              <w:t>Test / inspection</w:t>
            </w:r>
          </w:p>
        </w:tc>
      </w:tr>
      <w:tr>
        <w:tc>
          <w:tcPr>
            <w:tcW w:type="dxa" w:w="1728"/>
          </w:tcPr>
          <w:p>
            <w:r>
              <w:t>REQ-0013</w:t>
            </w:r>
          </w:p>
        </w:tc>
        <w:tc>
          <w:tcPr>
            <w:tcW w:type="dxa" w:w="1728"/>
          </w:tcPr>
          <w:p>
            <w:r>
              <w:t>Separate conditions create Outlook calendar events for Bid Date, Question Deadline and Pre-Bid Meeting when dates exist.</w:t>
            </w:r>
          </w:p>
        </w:tc>
        <w:tc>
          <w:tcPr>
            <w:tcW w:type="dxa" w:w="1728"/>
          </w:tcPr>
          <w:p>
            <w:r>
              <w:t>doc</w:t>
            </w:r>
          </w:p>
        </w:tc>
        <w:tc>
          <w:tcPr>
            <w:tcW w:type="dxa" w:w="1728"/>
          </w:tcPr>
          <w:p>
            <w:r>
              <w:t>P3</w:t>
            </w:r>
          </w:p>
        </w:tc>
        <w:tc>
          <w:tcPr>
            <w:tcW w:type="dxa" w:w="1728"/>
          </w:tcPr>
          <w:p>
            <w:r>
              <w:t>Test / inspection</w:t>
            </w:r>
          </w:p>
        </w:tc>
      </w:tr>
      <w:tr>
        <w:tc>
          <w:tcPr>
            <w:tcW w:type="dxa" w:w="1728"/>
          </w:tcPr>
          <w:p>
            <w:r>
              <w:t>REQ-0014</w:t>
            </w:r>
          </w:p>
        </w:tc>
        <w:tc>
          <w:tcPr>
            <w:tcW w:type="dxa" w:w="1728"/>
          </w:tcPr>
          <w:p>
            <w:r>
              <w:t>Optional File Creation creates an additional file when the related condition evaluates True.</w:t>
            </w:r>
          </w:p>
        </w:tc>
        <w:tc>
          <w:tcPr>
            <w:tcW w:type="dxa" w:w="1728"/>
          </w:tcPr>
          <w:p>
            <w:r>
              <w:t>doc</w:t>
            </w:r>
          </w:p>
        </w:tc>
        <w:tc>
          <w:tcPr>
            <w:tcW w:type="dxa" w:w="1728"/>
          </w:tcPr>
          <w:p>
            <w:r>
              <w:t>P2</w:t>
            </w:r>
          </w:p>
        </w:tc>
        <w:tc>
          <w:tcPr>
            <w:tcW w:type="dxa" w:w="1728"/>
          </w:tcPr>
          <w:p>
            <w:r>
              <w:t>Test / inspection</w:t>
            </w:r>
          </w:p>
        </w:tc>
      </w:tr>
      <w:tr>
        <w:tc>
          <w:tcPr>
            <w:tcW w:type="dxa" w:w="1728"/>
          </w:tcPr>
          <w:p>
            <w:r>
              <w:t>REQ-0015</w:t>
            </w:r>
          </w:p>
        </w:tc>
        <w:tc>
          <w:tcPr>
            <w:tcW w:type="dxa" w:w="1728"/>
          </w:tcPr>
          <w:p>
            <w:r>
              <w:t>Loops through recipients and sends notification emails.</w:t>
            </w:r>
          </w:p>
        </w:tc>
        <w:tc>
          <w:tcPr>
            <w:tcW w:type="dxa" w:w="1728"/>
          </w:tcPr>
          <w:p>
            <w:r>
              <w:t>doc</w:t>
            </w:r>
          </w:p>
        </w:tc>
        <w:tc>
          <w:tcPr>
            <w:tcW w:type="dxa" w:w="1728"/>
          </w:tcPr>
          <w:p>
            <w:r>
              <w:t>P3</w:t>
            </w:r>
          </w:p>
        </w:tc>
        <w:tc>
          <w:tcPr>
            <w:tcW w:type="dxa" w:w="1728"/>
          </w:tcPr>
          <w:p>
            <w:r>
              <w:t>Test / inspection</w:t>
            </w:r>
          </w:p>
        </w:tc>
      </w:tr>
      <w:tr>
        <w:tc>
          <w:tcPr>
            <w:tcW w:type="dxa" w:w="1728"/>
          </w:tcPr>
          <w:p>
            <w:r>
              <w:t>REQ-0016</w:t>
            </w:r>
          </w:p>
        </w:tc>
        <w:tc>
          <w:tcPr>
            <w:tcW w:type="dxa" w:w="1728"/>
          </w:tcPr>
          <w:p>
            <w:r>
              <w:t>Reads an Excel table to retrieve subcontractor/service information.</w:t>
            </w:r>
          </w:p>
        </w:tc>
        <w:tc>
          <w:tcPr>
            <w:tcW w:type="dxa" w:w="1728"/>
          </w:tcPr>
          <w:p>
            <w:r>
              <w:t>doc</w:t>
            </w:r>
          </w:p>
        </w:tc>
        <w:tc>
          <w:tcPr>
            <w:tcW w:type="dxa" w:w="1728"/>
          </w:tcPr>
          <w:p>
            <w:r>
              <w:t>P2</w:t>
            </w:r>
          </w:p>
        </w:tc>
        <w:tc>
          <w:tcPr>
            <w:tcW w:type="dxa" w:w="1728"/>
          </w:tcPr>
          <w:p>
            <w:r>
              <w:t>Test / inspection</w:t>
            </w:r>
          </w:p>
        </w:tc>
      </w:tr>
      <w:tr>
        <w:tc>
          <w:tcPr>
            <w:tcW w:type="dxa" w:w="1728"/>
          </w:tcPr>
          <w:p>
            <w:r>
              <w:t>REQ-0017</w:t>
            </w:r>
          </w:p>
        </w:tc>
        <w:tc>
          <w:tcPr>
            <w:tcW w:type="dxa" w:w="1728"/>
          </w:tcPr>
          <w:p>
            <w:r>
              <w:t>Generates HTML Tables for formatted email tables.</w:t>
            </w:r>
          </w:p>
        </w:tc>
        <w:tc>
          <w:tcPr>
            <w:tcW w:type="dxa" w:w="1728"/>
          </w:tcPr>
          <w:p>
            <w:r>
              <w:t>doc</w:t>
            </w:r>
          </w:p>
        </w:tc>
        <w:tc>
          <w:tcPr>
            <w:tcW w:type="dxa" w:w="1728"/>
          </w:tcPr>
          <w:p>
            <w:r>
              <w:t>P3</w:t>
            </w:r>
          </w:p>
        </w:tc>
        <w:tc>
          <w:tcPr>
            <w:tcW w:type="dxa" w:w="1728"/>
          </w:tcPr>
          <w:p>
            <w:r>
              <w:t>Test / inspection</w:t>
            </w:r>
          </w:p>
        </w:tc>
      </w:tr>
      <w:tr>
        <w:tc>
          <w:tcPr>
            <w:tcW w:type="dxa" w:w="1728"/>
          </w:tcPr>
          <w:p>
            <w:r>
              <w:t>REQ-0018</w:t>
            </w:r>
          </w:p>
        </w:tc>
        <w:tc>
          <w:tcPr>
            <w:tcW w:type="dxa" w:w="1728"/>
          </w:tcPr>
          <w:p>
            <w:r>
              <w:t>Starts and waits for an approval from reviewers.</w:t>
            </w:r>
          </w:p>
        </w:tc>
        <w:tc>
          <w:tcPr>
            <w:tcW w:type="dxa" w:w="1728"/>
          </w:tcPr>
          <w:p>
            <w:r>
              <w:t>doc</w:t>
            </w:r>
          </w:p>
        </w:tc>
        <w:tc>
          <w:tcPr>
            <w:tcW w:type="dxa" w:w="1728"/>
          </w:tcPr>
          <w:p>
            <w:r>
              <w:t>P2</w:t>
            </w:r>
          </w:p>
        </w:tc>
        <w:tc>
          <w:tcPr>
            <w:tcW w:type="dxa" w:w="1728"/>
          </w:tcPr>
          <w:p>
            <w:r>
              <w:t>Test / inspection</w:t>
            </w:r>
          </w:p>
        </w:tc>
      </w:tr>
      <w:tr>
        <w:tc>
          <w:tcPr>
            <w:tcW w:type="dxa" w:w="1728"/>
          </w:tcPr>
          <w:p>
            <w:r>
              <w:t>REQ-0019</w:t>
            </w:r>
          </w:p>
        </w:tc>
        <w:tc>
          <w:tcPr>
            <w:tcW w:type="dxa" w:w="1728"/>
          </w:tcPr>
          <w:p>
            <w:r>
              <w:t>If approved, sends emails, creates calendar events, and creates final files. If rejected, executes rejection actions.</w:t>
            </w:r>
          </w:p>
        </w:tc>
        <w:tc>
          <w:tcPr>
            <w:tcW w:type="dxa" w:w="1728"/>
          </w:tcPr>
          <w:p>
            <w:r>
              <w:t>doc</w:t>
            </w:r>
          </w:p>
        </w:tc>
        <w:tc>
          <w:tcPr>
            <w:tcW w:type="dxa" w:w="1728"/>
          </w:tcPr>
          <w:p>
            <w:r>
              <w:t>P3</w:t>
            </w:r>
          </w:p>
        </w:tc>
        <w:tc>
          <w:tcPr>
            <w:tcW w:type="dxa" w:w="1728"/>
          </w:tcPr>
          <w:p>
            <w:r>
              <w:t>Test / inspection</w:t>
            </w:r>
          </w:p>
        </w:tc>
      </w:tr>
      <w:tr>
        <w:tc>
          <w:tcPr>
            <w:tcW w:type="dxa" w:w="1728"/>
          </w:tcPr>
          <w:p>
            <w:r>
              <w:t>REQ-0020</w:t>
            </w:r>
          </w:p>
        </w:tc>
        <w:tc>
          <w:tcPr>
            <w:tcW w:type="dxa" w:w="1728"/>
          </w:tcPr>
          <w:p>
            <w:r>
              <w:t>Creates final documents, schedules events, and stores output files in the destination folder.</w:t>
            </w:r>
          </w:p>
        </w:tc>
        <w:tc>
          <w:tcPr>
            <w:tcW w:type="dxa" w:w="1728"/>
          </w:tcPr>
          <w:p>
            <w:r>
              <w:t>doc</w:t>
            </w:r>
          </w:p>
        </w:tc>
        <w:tc>
          <w:tcPr>
            <w:tcW w:type="dxa" w:w="1728"/>
          </w:tcPr>
          <w:p>
            <w:r>
              <w:t>P1</w:t>
            </w:r>
          </w:p>
        </w:tc>
        <w:tc>
          <w:tcPr>
            <w:tcW w:type="dxa" w:w="1728"/>
          </w:tcPr>
          <w:p>
            <w:r>
              <w:t>Test / inspection</w:t>
            </w:r>
          </w:p>
        </w:tc>
      </w:tr>
    </w:tbl>
    <w:p>
      <w:pPr>
        <w:pStyle w:val="Heading1"/>
      </w:pPr>
      <w:r>
        <w:t>4 Interface Requirements</w:t>
      </w:r>
    </w:p>
    <w:p>
      <w:r>
        <w:t>(empty)</w:t>
      </w:r>
    </w:p>
    <w:p>
      <w:pPr>
        <w:pStyle w:val="Heading1"/>
      </w:pPr>
      <w:r>
        <w:t>5 Non-Functional Requirements</w:t>
      </w:r>
    </w:p>
    <w:p>
      <w:r>
        <w:t>(empty)</w:t>
      </w:r>
    </w:p>
    <w:p>
      <w:pPr>
        <w:pStyle w:val="Heading1"/>
      </w:pPr>
      <w:r>
        <w:t>6 Traceability Matrix</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p>
      <w:pPr>
        <w:pStyle w:val="Heading1"/>
      </w:pPr>
      <w:r>
        <w:t>7 Compliance Statement</w:t>
      </w:r>
    </w:p>
    <w:p>
      <w:pPr>
        <w:pStyle w:val="Heading2"/>
      </w:pPr>
      <w:r>
        <w:t>Standards and Regulatory Compliance</w:t>
      </w:r>
    </w:p>
    <w:p>
      <w:r>
        <w:t>(empty)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