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MLBA Assignment 2: Project Report &amp; Methodology</w:t>
      </w:r>
    </w:p>
    <w:p>
      <w:pPr>
        <w:spacing w:after="280"/>
      </w:pPr>
      <w:r>
        <w:rPr>
          <w:rFonts w:ascii="Calibri" w:hAnsi="Calibri"/>
          <w:i/>
          <w:color w:val="4B5563"/>
          <w:sz w:val="28"/>
        </w:rPr>
        <w:t>AI-Driven Credit Risk Assessment &amp; Underwriting Decision Support System</w:t>
      </w:r>
    </w:p>
    <w:p>
      <w:pPr>
        <w:spacing w:after="360"/>
      </w:pPr>
      <w:r>
        <w:rPr>
          <w:rFonts w:ascii="Calibri" w:hAnsi="Calibri"/>
          <w:color w:val="64748B"/>
          <w:sz w:val="20"/>
        </w:rPr>
        <w:t>Course: Machine Learning for Business Applications (MLBA) | MBA – Business Analytics</w:t>
        <w:br/>
        <w:t>Repository: https://github.com/Akshit226/streamlit-app-MLBA-02-</w:t>
      </w:r>
    </w:p>
    <w:p>
      <w:pPr>
        <w:spacing w:before="280" w:after="80"/>
      </w:pPr>
      <w:r>
        <w:rPr>
          <w:rFonts w:ascii="Calibri" w:hAnsi="Calibri"/>
          <w:b/>
          <w:color w:val="1E3A8A"/>
          <w:sz w:val="28"/>
        </w:rPr>
        <w:t>1. Executive Summary &amp; Objective</w:t>
      </w:r>
    </w:p>
    <w:p>
      <w:pPr>
        <w:spacing w:after="120" w:line="276" w:lineRule="auto"/>
      </w:pPr>
      <w:r>
        <w:rPr>
          <w:rFonts w:ascii="Calibri" w:hAnsi="Calibri"/>
          <w:sz w:val="22"/>
        </w:rPr>
        <w:t>This project develops and deploys an end-to-end Machine Learning Decision Support System for retail banking credit risk. Designed for loan officers, the tool evaluates applicant financial and demographic characteristics to quantify default probability, mitigates credit risk exposure, and recommends actionable underwriting tiers. Rather than treating prediction purely as an academic classification exercise, the system is engineered around the asymmetric cost structure of loan defaults.</w:t>
      </w:r>
    </w:p>
    <w:p>
      <w:pPr>
        <w:spacing w:before="280" w:after="80"/>
      </w:pPr>
      <w:r>
        <w:rPr>
          <w:rFonts w:ascii="Calibri" w:hAnsi="Calibri"/>
          <w:b/>
          <w:color w:val="1E3A8A"/>
          <w:sz w:val="28"/>
        </w:rPr>
        <w:t>2. Business Problem &amp; The Asymmetric Cost of Errors</w:t>
      </w:r>
    </w:p>
    <w:p>
      <w:pPr>
        <w:spacing w:after="120" w:line="276" w:lineRule="auto"/>
      </w:pPr>
      <w:r>
        <w:rPr>
          <w:rFonts w:ascii="Calibri" w:hAnsi="Calibri"/>
          <w:sz w:val="22"/>
        </w:rPr>
        <w:t>Retail lenders generate margin by disbursing loans while seeking to minimize Non-Performing Assets (NPAs). When underwriting, the institution faces two distinct error types:</w:t>
      </w:r>
    </w:p>
    <w:p>
      <w:pPr>
        <w:pStyle w:val="ListBullet"/>
        <w:spacing w:after="60" w:line="276" w:lineRule="auto"/>
      </w:pPr>
      <w:r>
        <w:rPr>
          <w:rFonts w:ascii="Calibri" w:hAnsi="Calibri"/>
          <w:b/>
          <w:sz w:val="22"/>
        </w:rPr>
        <w:t xml:space="preserve">False Negative (Costly): </w:t>
      </w:r>
      <w:r>
        <w:rPr>
          <w:rFonts w:ascii="Calibri" w:hAnsi="Calibri"/>
          <w:sz w:val="22"/>
        </w:rPr>
        <w:t>Approving an applicant who eventually defaults. The bank loses the entire principal amount plus recovery costs.</w:t>
      </w:r>
    </w:p>
    <w:p>
      <w:pPr>
        <w:pStyle w:val="ListBullet"/>
        <w:spacing w:after="60" w:line="276" w:lineRule="auto"/>
      </w:pPr>
      <w:r>
        <w:rPr>
          <w:rFonts w:ascii="Calibri" w:hAnsi="Calibri"/>
          <w:b/>
          <w:sz w:val="22"/>
        </w:rPr>
        <w:t xml:space="preserve">False Positive (Opportunity Cost): </w:t>
      </w:r>
      <w:r>
        <w:rPr>
          <w:rFonts w:ascii="Calibri" w:hAnsi="Calibri"/>
          <w:sz w:val="22"/>
        </w:rPr>
        <w:t>Rejecting a creditworthy applicant. The bank loses the interest margin and risks customer relationship friction.</w:t>
      </w:r>
    </w:p>
    <w:p>
      <w:pPr>
        <w:spacing w:after="120" w:line="276" w:lineRule="auto"/>
      </w:pPr>
      <w:r>
        <w:rPr>
          <w:rFonts w:ascii="Calibri" w:hAnsi="Calibri"/>
          <w:sz w:val="22"/>
        </w:rPr>
        <w:t>Because default write-offs severely deplete Tier-1 bank capital, the analytical objective prioritizes Recall on Defaulters over raw unweighted accuracy.</w:t>
      </w:r>
    </w:p>
    <w:p>
      <w:pPr>
        <w:spacing w:before="280" w:after="80"/>
      </w:pPr>
      <w:r>
        <w:rPr>
          <w:rFonts w:ascii="Calibri" w:hAnsi="Calibri"/>
          <w:b/>
          <w:color w:val="1E3A8A"/>
          <w:sz w:val="28"/>
        </w:rPr>
        <w:t>3. Dataset Description</w:t>
      </w:r>
    </w:p>
    <w:p>
      <w:pPr>
        <w:spacing w:after="120" w:line="276" w:lineRule="auto"/>
      </w:pPr>
      <w:r>
        <w:rPr>
          <w:rFonts w:ascii="Calibri" w:hAnsi="Calibri"/>
          <w:sz w:val="22"/>
        </w:rPr>
        <w:t>The project utilizes the benchmark Statlog German Credit Data (UCI Machine Learning Repository / OpenML):</w:t>
      </w:r>
    </w:p>
    <w:p>
      <w:pPr>
        <w:pStyle w:val="ListBullet"/>
        <w:spacing w:after="60" w:line="276" w:lineRule="auto"/>
      </w:pPr>
      <w:r>
        <w:rPr>
          <w:rFonts w:ascii="Calibri" w:hAnsi="Calibri"/>
          <w:b/>
          <w:sz w:val="22"/>
        </w:rPr>
        <w:t xml:space="preserve">Sample Size: </w:t>
      </w:r>
      <w:r>
        <w:rPr>
          <w:rFonts w:ascii="Calibri" w:hAnsi="Calibri"/>
          <w:sz w:val="22"/>
        </w:rPr>
        <w:t>1,000 historical loan applicants.</w:t>
      </w:r>
    </w:p>
    <w:p>
      <w:pPr>
        <w:pStyle w:val="ListBullet"/>
        <w:spacing w:after="60" w:line="276" w:lineRule="auto"/>
      </w:pPr>
      <w:r>
        <w:rPr>
          <w:rFonts w:ascii="Calibri" w:hAnsi="Calibri"/>
          <w:b/>
          <w:sz w:val="22"/>
        </w:rPr>
        <w:t xml:space="preserve">Target Variable: </w:t>
      </w:r>
      <w:r>
        <w:rPr>
          <w:rFonts w:ascii="Calibri" w:hAnsi="Calibri"/>
          <w:sz w:val="22"/>
        </w:rPr>
        <w:t>class — 700 Good (70% repayers, encoded 0) and 300 Bad (30% defaulters, encoded 1).</w:t>
      </w:r>
    </w:p>
    <w:p>
      <w:pPr>
        <w:pStyle w:val="ListBullet"/>
        <w:spacing w:after="60" w:line="276" w:lineRule="auto"/>
      </w:pPr>
      <w:r>
        <w:rPr>
          <w:rFonts w:ascii="Calibri" w:hAnsi="Calibri"/>
          <w:b/>
          <w:sz w:val="22"/>
        </w:rPr>
        <w:t xml:space="preserve">Selected Features: </w:t>
      </w:r>
      <w:r>
        <w:rPr>
          <w:rFonts w:ascii="Calibri" w:hAnsi="Calibri"/>
          <w:sz w:val="22"/>
        </w:rPr>
        <w:t>8 key features: checking_status, duration, credit_amount, savings_status, employment, age, housing, and purpose.</w:t>
      </w:r>
    </w:p>
    <w:p>
      <w:pPr>
        <w:spacing w:before="280" w:after="80"/>
      </w:pPr>
      <w:r>
        <w:rPr>
          <w:rFonts w:ascii="Calibri" w:hAnsi="Calibri"/>
          <w:b/>
          <w:color w:val="1E3A8A"/>
          <w:sz w:val="28"/>
        </w:rPr>
        <w:t>4. Key Exploratory Data Analysis (EDA) Insights</w:t>
      </w:r>
    </w:p>
    <w:p>
      <w:pPr>
        <w:pStyle w:val="ListBullet"/>
        <w:spacing w:after="60" w:line="276" w:lineRule="auto"/>
      </w:pPr>
      <w:r>
        <w:rPr>
          <w:rFonts w:ascii="Calibri" w:hAnsi="Calibri"/>
          <w:b/>
          <w:sz w:val="22"/>
        </w:rPr>
        <w:t xml:space="preserve">Checking Balance (#1 Signal): </w:t>
      </w:r>
      <w:r>
        <w:rPr>
          <w:rFonts w:ascii="Calibri" w:hAnsi="Calibri"/>
          <w:sz w:val="22"/>
        </w:rPr>
        <w:t>Applicants with negative checking balances (&lt; 0 DM) experience default rates approaching ~50%, while balances &gt;= 200 DM default at under 15%.</w:t>
      </w:r>
    </w:p>
    <w:p>
      <w:pPr>
        <w:pStyle w:val="ListBullet"/>
        <w:spacing w:after="60" w:line="276" w:lineRule="auto"/>
      </w:pPr>
      <w:r>
        <w:rPr>
          <w:rFonts w:ascii="Calibri" w:hAnsi="Calibri"/>
          <w:b/>
          <w:sz w:val="22"/>
        </w:rPr>
        <w:t xml:space="preserve">Tenure Exposure: </w:t>
      </w:r>
      <w:r>
        <w:rPr>
          <w:rFonts w:ascii="Calibri" w:hAnsi="Calibri"/>
          <w:sz w:val="22"/>
        </w:rPr>
        <w:t>Defaulters hold a median loan duration of 30 months compared to 18 months for repayers, reflecting higher exposure to life shocks over longer horizons.</w:t>
      </w:r>
    </w:p>
    <w:p>
      <w:pPr>
        <w:pStyle w:val="ListBullet"/>
        <w:spacing w:after="60" w:line="276" w:lineRule="auto"/>
      </w:pPr>
      <w:r>
        <w:rPr>
          <w:rFonts w:ascii="Calibri" w:hAnsi="Calibri"/>
          <w:b/>
          <w:sz w:val="22"/>
        </w:rPr>
        <w:t xml:space="preserve">Savings Buffer: </w:t>
      </w:r>
      <w:r>
        <w:rPr>
          <w:rFonts w:ascii="Calibri" w:hAnsi="Calibri"/>
          <w:sz w:val="22"/>
        </w:rPr>
        <w:t>Reserves &gt;= 1,000 DM significantly reduce default risk even when borrowing higher credit amounts.</w:t>
      </w:r>
    </w:p>
    <w:p>
      <w:pPr>
        <w:spacing w:before="280" w:after="80"/>
      </w:pPr>
      <w:r>
        <w:rPr>
          <w:rFonts w:ascii="Calibri" w:hAnsi="Calibri"/>
          <w:b/>
          <w:color w:val="1E3A8A"/>
          <w:sz w:val="28"/>
        </w:rPr>
        <w:t>5. Machine Learning Methodology</w:t>
      </w:r>
    </w:p>
    <w:p>
      <w:pPr>
        <w:spacing w:after="120" w:line="276" w:lineRule="auto"/>
      </w:pPr>
      <w:r>
        <w:rPr>
          <w:rFonts w:ascii="Calibri" w:hAnsi="Calibri"/>
          <w:sz w:val="22"/>
        </w:rPr>
        <w:t>A Scikit-Learn Pipeline was constructed consisting of:</w:t>
      </w:r>
    </w:p>
    <w:p>
      <w:pPr>
        <w:pStyle w:val="ListBullet"/>
        <w:spacing w:after="60" w:line="276" w:lineRule="auto"/>
      </w:pPr>
      <w:r>
        <w:rPr>
          <w:rFonts w:ascii="Calibri" w:hAnsi="Calibri"/>
          <w:b/>
          <w:sz w:val="22"/>
        </w:rPr>
        <w:t xml:space="preserve">Preprocessing: </w:t>
      </w:r>
      <w:r>
        <w:rPr>
          <w:rFonts w:ascii="Calibri" w:hAnsi="Calibri"/>
          <w:sz w:val="22"/>
        </w:rPr>
        <w:t>ColumnTransformer with StandardScaler for continuous attributes and OneHotEncoder for categorical variables.</w:t>
      </w:r>
    </w:p>
    <w:p>
      <w:pPr>
        <w:pStyle w:val="ListBullet"/>
        <w:spacing w:after="60" w:line="276" w:lineRule="auto"/>
      </w:pPr>
      <w:r>
        <w:rPr>
          <w:rFonts w:ascii="Calibri" w:hAnsi="Calibri"/>
          <w:b/>
          <w:sz w:val="22"/>
        </w:rPr>
        <w:t xml:space="preserve">Algorithm: </w:t>
      </w:r>
      <w:r>
        <w:rPr>
          <w:rFonts w:ascii="Calibri" w:hAnsi="Calibri"/>
          <w:sz w:val="22"/>
        </w:rPr>
        <w:t>RandomForestClassifier with 100 estimators, max_depth of 6, and class_weight=balanced to penalize minority default misclassifications.</w:t>
      </w:r>
    </w:p>
    <w:p>
      <w:pPr>
        <w:pStyle w:val="ListBullet"/>
        <w:spacing w:after="60" w:line="276" w:lineRule="auto"/>
      </w:pPr>
      <w:r>
        <w:rPr>
          <w:rFonts w:ascii="Calibri" w:hAnsi="Calibri"/>
          <w:b/>
          <w:sz w:val="22"/>
        </w:rPr>
        <w:t xml:space="preserve">Validation: </w:t>
      </w:r>
      <w:r>
        <w:rPr>
          <w:rFonts w:ascii="Calibri" w:hAnsi="Calibri"/>
          <w:sz w:val="22"/>
        </w:rPr>
        <w:t>Stratified 80/20 train/test split maintaining the 70/30 class proportion.</w:t>
      </w:r>
    </w:p>
    <w:p>
      <w:pPr>
        <w:spacing w:before="280" w:after="80"/>
      </w:pPr>
      <w:r>
        <w:rPr>
          <w:rFonts w:ascii="Calibri" w:hAnsi="Calibri"/>
          <w:b/>
          <w:color w:val="1E3A8A"/>
          <w:sz w:val="28"/>
        </w:rPr>
        <w:t>6. Model Performance &amp; Confusion Matrix</w:t>
      </w:r>
    </w:p>
    <w:p>
      <w:pPr>
        <w:spacing w:after="120" w:line="276" w:lineRule="auto"/>
      </w:pPr>
      <w:r>
        <w:rPr>
          <w:rFonts w:ascii="Calibri" w:hAnsi="Calibri"/>
          <w:sz w:val="22"/>
        </w:rPr>
        <w:t>On the 200 unseen test applicants (140 Good, 60 Bad):</w:t>
      </w:r>
    </w:p>
    <w:p>
      <w:pPr>
        <w:pStyle w:val="ListBullet"/>
        <w:spacing w:after="60" w:line="276" w:lineRule="auto"/>
      </w:pPr>
      <w:r>
        <w:rPr>
          <w:rFonts w:ascii="Calibri" w:hAnsi="Calibri"/>
          <w:b/>
          <w:sz w:val="22"/>
        </w:rPr>
        <w:t xml:space="preserve">Accuracy: </w:t>
      </w:r>
      <w:r>
        <w:rPr>
          <w:rFonts w:ascii="Calibri" w:hAnsi="Calibri"/>
          <w:sz w:val="22"/>
        </w:rPr>
        <w:t>70.0%</w:t>
      </w:r>
    </w:p>
    <w:p>
      <w:pPr>
        <w:pStyle w:val="ListBullet"/>
        <w:spacing w:after="60" w:line="276" w:lineRule="auto"/>
      </w:pPr>
      <w:r>
        <w:rPr>
          <w:rFonts w:ascii="Calibri" w:hAnsi="Calibri"/>
          <w:b/>
          <w:sz w:val="22"/>
        </w:rPr>
        <w:t xml:space="preserve">Recall (Defaulters): </w:t>
      </w:r>
      <w:r>
        <w:rPr>
          <w:rFonts w:ascii="Calibri" w:hAnsi="Calibri"/>
          <w:sz w:val="22"/>
        </w:rPr>
        <w:t>71.7% (Successfully flagged 43 out of 60 actual defaulters)</w:t>
      </w:r>
    </w:p>
    <w:p>
      <w:pPr>
        <w:pStyle w:val="ListBullet"/>
        <w:spacing w:after="60" w:line="276" w:lineRule="auto"/>
      </w:pPr>
      <w:r>
        <w:rPr>
          <w:rFonts w:ascii="Calibri" w:hAnsi="Calibri"/>
          <w:b/>
          <w:sz w:val="22"/>
        </w:rPr>
        <w:t xml:space="preserve">Precision (Defaulters): </w:t>
      </w:r>
      <w:r>
        <w:rPr>
          <w:rFonts w:ascii="Calibri" w:hAnsi="Calibri"/>
          <w:sz w:val="22"/>
        </w:rPr>
        <w:t>50.0% (43 True Positives, 43 False Positives)</w:t>
      </w:r>
    </w:p>
    <w:p>
      <w:pPr>
        <w:pStyle w:val="ListBullet"/>
        <w:spacing w:after="60" w:line="276" w:lineRule="auto"/>
      </w:pPr>
      <w:r>
        <w:rPr>
          <w:rFonts w:ascii="Calibri" w:hAnsi="Calibri"/>
          <w:b/>
          <w:sz w:val="22"/>
        </w:rPr>
        <w:t xml:space="preserve">F1-Score: </w:t>
      </w:r>
      <w:r>
        <w:rPr>
          <w:rFonts w:ascii="Calibri" w:hAnsi="Calibri"/>
          <w:sz w:val="22"/>
        </w:rPr>
        <w:t>0.589</w:t>
      </w:r>
    </w:p>
    <w:p>
      <w:pPr>
        <w:spacing w:after="120" w:line="276" w:lineRule="auto"/>
      </w:pPr>
      <w:r>
        <w:rPr>
          <w:rFonts w:ascii="Calibri" w:hAnsi="Calibri"/>
          <w:sz w:val="22"/>
        </w:rPr>
        <w:t>Confusion Matrix breakdown: 97 True Negatives, 43 False Positives, 17 False Negatives, and 43 True Positives. Crucially, False Negatives were restricted to only 17 cases.</w:t>
      </w:r>
    </w:p>
    <w:p>
      <w:pPr>
        <w:spacing w:before="280" w:after="80"/>
      </w:pPr>
      <w:r>
        <w:rPr>
          <w:rFonts w:ascii="Calibri" w:hAnsi="Calibri"/>
          <w:b/>
          <w:color w:val="1E3A8A"/>
          <w:sz w:val="28"/>
        </w:rPr>
        <w:t>7. Interactive Streamlit Web Application &amp; Cloud Deployment</w:t>
      </w:r>
    </w:p>
    <w:p>
      <w:pPr>
        <w:spacing w:after="120" w:line="276" w:lineRule="auto"/>
      </w:pPr>
      <w:r>
        <w:rPr>
          <w:rFonts w:ascii="Calibri" w:hAnsi="Calibri"/>
          <w:sz w:val="22"/>
        </w:rPr>
        <w:t>The serialized pipeline (model.pkl) was integrated into a multi-page Streamlit web application (app.py):</w:t>
      </w:r>
    </w:p>
    <w:p>
      <w:pPr>
        <w:pStyle w:val="ListBullet"/>
        <w:spacing w:after="60" w:line="276" w:lineRule="auto"/>
      </w:pPr>
      <w:r>
        <w:rPr>
          <w:rFonts w:ascii="Calibri" w:hAnsi="Calibri"/>
          <w:b/>
          <w:sz w:val="22"/>
        </w:rPr>
        <w:t xml:space="preserve">Page 1: </w:t>
      </w:r>
      <w:r>
        <w:rPr>
          <w:rFonts w:ascii="Calibri" w:hAnsi="Calibri"/>
          <w:sz w:val="22"/>
        </w:rPr>
        <w:t>Business Problem context, asymmetric risk explanation, and dataset summary.</w:t>
      </w:r>
    </w:p>
    <w:p>
      <w:pPr>
        <w:pStyle w:val="ListBullet"/>
        <w:spacing w:after="60" w:line="276" w:lineRule="auto"/>
      </w:pPr>
      <w:r>
        <w:rPr>
          <w:rFonts w:ascii="Calibri" w:hAnsi="Calibri"/>
          <w:b/>
          <w:sz w:val="22"/>
        </w:rPr>
        <w:t xml:space="preserve">Page 2: </w:t>
      </w:r>
      <w:r>
        <w:rPr>
          <w:rFonts w:ascii="Calibri" w:hAnsi="Calibri"/>
          <w:sz w:val="22"/>
        </w:rPr>
        <w:t>Data insights with graphical visualizations of checking status, duration, and credit amounts.</w:t>
      </w:r>
    </w:p>
    <w:p>
      <w:pPr>
        <w:pStyle w:val="ListBullet"/>
        <w:spacing w:after="60" w:line="276" w:lineRule="auto"/>
      </w:pPr>
      <w:r>
        <w:rPr>
          <w:rFonts w:ascii="Calibri" w:hAnsi="Calibri"/>
          <w:b/>
          <w:sz w:val="22"/>
        </w:rPr>
        <w:t xml:space="preserve">Page 3: </w:t>
      </w:r>
      <w:r>
        <w:rPr>
          <w:rFonts w:ascii="Calibri" w:hAnsi="Calibri"/>
          <w:sz w:val="22"/>
        </w:rPr>
        <w:t>Live Credit Risk Predictor: interactive sliders/inputs returning risk probability and triaged underwriting decisions (Approve, Manual Review, Decline).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