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jc w:val="center"/>
      </w:pPr>
      <w:r>
        <w:drawing>
          <wp:inline xmlns:a="http://schemas.openxmlformats.org/drawingml/2006/main" xmlns:pic="http://schemas.openxmlformats.org/drawingml/2006/picture">
            <wp:extent cx="2011680" cy="994007"/>
            <wp:docPr id="1" name="Picture 1"/>
            <wp:cNvGraphicFramePr>
              <a:graphicFrameLocks noChangeAspect="1"/>
            </wp:cNvGraphicFramePr>
            <a:graphic>
              <a:graphicData uri="http://schemas.openxmlformats.org/drawingml/2006/picture">
                <pic:pic>
                  <pic:nvPicPr>
                    <pic:cNvPr id="0" name="jain_university_logo.png"/>
                    <pic:cNvPicPr/>
                  </pic:nvPicPr>
                  <pic:blipFill>
                    <a:blip r:embed="rId9"/>
                    <a:stretch>
                      <a:fillRect/>
                    </a:stretch>
                  </pic:blipFill>
                  <pic:spPr>
                    <a:xfrm>
                      <a:off x="0" y="0"/>
                      <a:ext cx="2011680" cy="994007"/>
                    </a:xfrm>
                    <a:prstGeom prst="rect"/>
                  </pic:spPr>
                </pic:pic>
              </a:graphicData>
            </a:graphic>
          </wp:inline>
        </w:drawing>
      </w:r>
    </w:p>
    <w:p>
      <w:pPr>
        <w:spacing w:after="40"/>
        <w:jc w:val="center"/>
      </w:pPr>
      <w:r>
        <w:rPr>
          <w:rFonts w:ascii="Times New Roman" w:hAnsi="Times New Roman"/>
          <w:b/>
          <w:color w:val="000000"/>
          <w:sz w:val="26"/>
        </w:rPr>
        <w:t>JAIN (DEEMED-TO-BE UNIVERSITY), BANGALORE</w:t>
        <w:br/>
      </w:r>
      <w:r>
        <w:rPr>
          <w:rFonts w:ascii="Times New Roman" w:hAnsi="Times New Roman"/>
          <w:b/>
          <w:color w:val="000000"/>
          <w:sz w:val="24"/>
        </w:rPr>
        <w:t>CMS BUSINESS SCHOOL</w:t>
        <w:br/>
      </w:r>
      <w:r>
        <w:rPr>
          <w:rFonts w:ascii="Times New Roman" w:hAnsi="Times New Roman"/>
          <w:color w:val="000000"/>
          <w:sz w:val="22"/>
        </w:rPr>
        <w:t>Master of Business Administration (MBA) | Semester – III (2025–2027)</w:t>
        <w:br/>
      </w:r>
      <w:r>
        <w:rPr>
          <w:rFonts w:ascii="Times New Roman" w:hAnsi="Times New Roman"/>
          <w:b/>
          <w:color w:val="000000"/>
          <w:sz w:val="22"/>
        </w:rPr>
        <w:t>Class: FBA-03</w:t>
      </w:r>
    </w:p>
    <w:p>
      <w:pPr>
        <w:spacing w:before="240" w:after="160"/>
      </w:pPr>
    </w:p>
    <w:p>
      <w:pPr>
        <w:spacing w:after="120"/>
        <w:jc w:val="center"/>
      </w:pPr>
      <w:r>
        <w:rPr>
          <w:rFonts w:ascii="Times New Roman" w:hAnsi="Times New Roman"/>
          <w:b/>
          <w:color w:val="000000"/>
          <w:sz w:val="23"/>
        </w:rPr>
        <w:t>Course: Machine Learning for Business Applications (MLBA)</w:t>
        <w:br/>
        <w:t>Assignment – 2: Business Analytics Model &amp; Decision Tool</w:t>
        <w:br/>
        <w:br/>
      </w:r>
      <w:r>
        <w:rPr>
          <w:rFonts w:ascii="Times New Roman" w:hAnsi="Times New Roman"/>
          <w:b/>
          <w:color w:val="000000"/>
          <w:sz w:val="28"/>
        </w:rPr>
        <w:t>AI-DRIVEN CREDIT DEFAULT RISK ANALYZER:</w:t>
        <w:br/>
        <w:t>DECISION SUPPORT SYSTEM FOR RETAIL LOAN UNDERWRITING</w:t>
      </w:r>
    </w:p>
    <w:p>
      <w:pPr>
        <w:spacing w:after="560"/>
        <w:jc w:val="center"/>
      </w:pPr>
      <w:r>
        <w:rPr>
          <w:rFonts w:ascii="Times New Roman" w:hAnsi="Times New Roman"/>
          <w:i/>
          <w:color w:val="000000"/>
          <w:sz w:val="22"/>
        </w:rPr>
        <w:t>An End-to-End Supervised Classification Model and Interactive Web Application Deployed for Credit Risk Assessment</w:t>
      </w:r>
    </w:p>
    <w:p>
      <w:pPr>
        <w:spacing w:before="200" w:after="80"/>
      </w:pPr>
      <w:r>
        <w:rPr>
          <w:rFonts w:ascii="Times New Roman" w:hAnsi="Times New Roman"/>
          <w:b/>
          <w:color w:val="000000"/>
          <w:sz w:val="22"/>
        </w:rPr>
        <w:t>SUBMITTED BY:</w:t>
      </w:r>
    </w:p>
    <w:tbl>
      <w:tblPr>
        <w:tblW w:type="auto" w:w="0"/>
        <w:jc w:val="center"/>
        <w:tblLayout w:type="fixed"/>
        <w:tblLook w:firstColumn="1" w:firstRow="1" w:lastColumn="0" w:lastRow="0" w:noHBand="0" w:noVBand="1" w:val="04A0"/>
      </w:tblPr>
      <w:tblGrid>
        <w:gridCol w:w="3120"/>
        <w:gridCol w:w="3120"/>
        <w:gridCol w:w="3120"/>
      </w:tblGrid>
      <w:tr>
        <w:tc>
          <w:tcPr>
            <w:tcW w:type="dxa" w:w="3600"/>
            <w:tcBorders>
              <w:top w:val="single" w:sz="4" w:space="0" w:color="000000"/>
              <w:left w:val="none"/>
              <w:bottom w:val="single" w:sz="4" w:space="0" w:color="000000"/>
              <w:right w:val="none"/>
            </w:tcBorders>
          </w:tcPr>
          <w:p>
            <w:r>
              <w:rPr>
                <w:rFonts w:ascii="Times New Roman" w:hAnsi="Times New Roman"/>
                <w:b/>
                <w:color w:val="000000"/>
                <w:sz w:val="21"/>
              </w:rPr>
              <w:t>Student Name</w:t>
            </w:r>
          </w:p>
        </w:tc>
        <w:tc>
          <w:tcPr>
            <w:tcW w:type="dxa" w:w="3456"/>
            <w:tcBorders>
              <w:top w:val="single" w:sz="4" w:space="0" w:color="000000"/>
              <w:left w:val="none"/>
              <w:bottom w:val="single" w:sz="4" w:space="0" w:color="000000"/>
              <w:right w:val="none"/>
            </w:tcBorders>
          </w:tcPr>
          <w:p>
            <w:r>
              <w:rPr>
                <w:rFonts w:ascii="Times New Roman" w:hAnsi="Times New Roman"/>
                <w:b/>
                <w:color w:val="000000"/>
                <w:sz w:val="21"/>
              </w:rPr>
              <w:t>University Seat Number (USN)</w:t>
            </w:r>
          </w:p>
        </w:tc>
        <w:tc>
          <w:tcPr>
            <w:tcW w:type="dxa" w:w="2160"/>
            <w:tcBorders>
              <w:top w:val="single" w:sz="4" w:space="0" w:color="000000"/>
              <w:left w:val="none"/>
              <w:bottom w:val="single" w:sz="4" w:space="0" w:color="000000"/>
              <w:right w:val="none"/>
            </w:tcBorders>
          </w:tcPr>
          <w:p>
            <w:r>
              <w:rPr>
                <w:rFonts w:ascii="Times New Roman" w:hAnsi="Times New Roman"/>
                <w:b/>
                <w:color w:val="000000"/>
                <w:sz w:val="21"/>
              </w:rPr>
              <w:t>Class / Section</w:t>
            </w:r>
          </w:p>
        </w:tc>
      </w:tr>
      <w:tr>
        <w:tc>
          <w:tcPr>
            <w:tcW w:type="dxa" w:w="3600"/>
            <w:tcBorders>
              <w:top w:val="none" w:sz="4" w:space="0" w:color="000000"/>
              <w:left w:val="none"/>
              <w:bottom w:val="none" w:sz="4" w:space="0" w:color="000000"/>
              <w:right w:val="none"/>
            </w:tcBorders>
          </w:tcPr>
          <w:p>
            <w:r>
              <w:rPr>
                <w:rFonts w:ascii="Times New Roman" w:hAnsi="Times New Roman"/>
                <w:color w:val="000000"/>
                <w:sz w:val="21"/>
              </w:rPr>
              <w:t>Akshit Singh</w:t>
            </w:r>
          </w:p>
        </w:tc>
        <w:tc>
          <w:tcPr>
            <w:tcW w:type="dxa" w:w="3456"/>
            <w:tcBorders>
              <w:top w:val="none" w:sz="4" w:space="0" w:color="000000"/>
              <w:left w:val="none"/>
              <w:bottom w:val="none" w:sz="4" w:space="0" w:color="000000"/>
              <w:right w:val="none"/>
            </w:tcBorders>
          </w:tcPr>
          <w:p>
            <w:r>
              <w:rPr>
                <w:rFonts w:ascii="Times New Roman" w:hAnsi="Times New Roman"/>
                <w:color w:val="000000"/>
                <w:sz w:val="21"/>
              </w:rPr>
              <w:t>25MBAR0401</w:t>
            </w:r>
          </w:p>
        </w:tc>
        <w:tc>
          <w:tcPr>
            <w:tcW w:type="dxa" w:w="2160"/>
            <w:tcBorders>
              <w:top w:val="none" w:sz="4" w:space="0" w:color="000000"/>
              <w:left w:val="none"/>
              <w:bottom w:val="none" w:sz="4" w:space="0" w:color="000000"/>
              <w:right w:val="none"/>
            </w:tcBorders>
          </w:tcPr>
          <w:p>
            <w:r>
              <w:rPr>
                <w:rFonts w:ascii="Times New Roman" w:hAnsi="Times New Roman"/>
                <w:color w:val="000000"/>
                <w:sz w:val="21"/>
              </w:rPr>
              <w:t>FBA-03</w:t>
            </w:r>
          </w:p>
        </w:tc>
      </w:tr>
      <w:tr>
        <w:tc>
          <w:tcPr>
            <w:tcW w:type="dxa" w:w="3600"/>
            <w:tcBorders>
              <w:top w:val="none" w:sz="4" w:space="0" w:color="000000"/>
              <w:left w:val="none"/>
              <w:bottom w:val="single" w:sz="4" w:space="0" w:color="000000"/>
              <w:right w:val="none"/>
            </w:tcBorders>
          </w:tcPr>
          <w:p>
            <w:r>
              <w:rPr>
                <w:rFonts w:ascii="Times New Roman" w:hAnsi="Times New Roman"/>
                <w:color w:val="000000"/>
                <w:sz w:val="21"/>
              </w:rPr>
              <w:t>Vinay Tiwari</w:t>
            </w:r>
          </w:p>
        </w:tc>
        <w:tc>
          <w:tcPr>
            <w:tcW w:type="dxa" w:w="3456"/>
            <w:tcBorders>
              <w:top w:val="none" w:sz="4" w:space="0" w:color="000000"/>
              <w:left w:val="none"/>
              <w:bottom w:val="single" w:sz="4" w:space="0" w:color="000000"/>
              <w:right w:val="none"/>
            </w:tcBorders>
          </w:tcPr>
          <w:p>
            <w:r>
              <w:rPr>
                <w:rFonts w:ascii="Times New Roman" w:hAnsi="Times New Roman"/>
                <w:color w:val="000000"/>
                <w:sz w:val="21"/>
              </w:rPr>
              <w:t>25MBAR0247</w:t>
            </w:r>
          </w:p>
        </w:tc>
        <w:tc>
          <w:tcPr>
            <w:tcW w:type="dxa" w:w="2160"/>
            <w:tcBorders>
              <w:top w:val="none" w:sz="4" w:space="0" w:color="000000"/>
              <w:left w:val="none"/>
              <w:bottom w:val="single" w:sz="4" w:space="0" w:color="000000"/>
              <w:right w:val="none"/>
            </w:tcBorders>
          </w:tcPr>
          <w:p>
            <w:r>
              <w:rPr>
                <w:rFonts w:ascii="Times New Roman" w:hAnsi="Times New Roman"/>
                <w:color w:val="000000"/>
                <w:sz w:val="21"/>
              </w:rPr>
              <w:t>FBA-03</w:t>
            </w:r>
          </w:p>
        </w:tc>
      </w:tr>
    </w:tbl>
    <w:p>
      <w:pPr>
        <w:spacing w:before="560" w:after="40"/>
      </w:pPr>
      <w:r>
        <w:rPr>
          <w:rFonts w:ascii="Times New Roman" w:hAnsi="Times New Roman"/>
          <w:b/>
          <w:color w:val="000000"/>
          <w:sz w:val="22"/>
        </w:rPr>
        <w:t>SUBMITTED TO:</w:t>
        <w:br/>
      </w:r>
      <w:r>
        <w:rPr>
          <w:rFonts w:ascii="Times New Roman" w:hAnsi="Times New Roman"/>
          <w:color w:val="000000"/>
          <w:sz w:val="21"/>
        </w:rPr>
        <w:t>Faculty of Management Studies / CMS Business School</w:t>
        <w:br/>
        <w:t>Jain (Deemed-to-be University), Bangalore</w:t>
        <w:br/>
        <w:t>Academic Submission Date: September 2026</w:t>
        <w:br/>
        <w:br/>
        <w:t>Project Links:</w:t>
        <w:br/>
        <w:t>• GitHub Repository: https://github.com/Akshit226/streamlit-app-MLBA-02-</w:t>
        <w:br/>
        <w:t>• Deployed Application: https://streamlit-app-mlba-02.streamlit.app</w:t>
      </w:r>
    </w:p>
    <w:p>
      <w:r>
        <w:br w:type="page"/>
      </w:r>
    </w:p>
    <w:p>
      <w:pPr>
        <w:spacing w:before="280" w:after="80"/>
      </w:pPr>
      <w:r>
        <w:rPr>
          <w:rFonts w:ascii="Times New Roman" w:hAnsi="Times New Roman"/>
          <w:b/>
          <w:color w:val="000000"/>
          <w:sz w:val="26"/>
        </w:rPr>
        <w:t>1. Introduction</w:t>
      </w:r>
    </w:p>
    <w:p>
      <w:pPr>
        <w:spacing w:after="120" w:line="276" w:lineRule="auto"/>
      </w:pPr>
      <w:r>
        <w:rPr>
          <w:rFonts w:ascii="Times New Roman" w:hAnsi="Times New Roman"/>
          <w:color w:val="000000"/>
          <w:sz w:val="22"/>
        </w:rPr>
        <w:t>In retail and commercial banking, extending credit facilities forms the core driver of operating revenue. However, credit origination carries systemic credit risk. When borrowers fail to fulfill contractual repayment schedules, lending institutions incur credit default write-offs, culminating in Non-Performing Assets (NPAs). This project develops and deploys an interactive Machine Learning Decision Support System, titled "Apex Underwrite", engineered to assist loan underwriting officers in assessing default probabilities, segmenting risk exposure, and standardizing credit decisions through a live Streamlit application.</w:t>
      </w:r>
    </w:p>
    <w:p>
      <w:pPr>
        <w:spacing w:before="280" w:after="80"/>
      </w:pPr>
      <w:r>
        <w:rPr>
          <w:rFonts w:ascii="Times New Roman" w:hAnsi="Times New Roman"/>
          <w:b/>
          <w:color w:val="000000"/>
          <w:sz w:val="26"/>
        </w:rPr>
        <w:t>2. Business Problem &amp; The Asymmetric Cost of Errors</w:t>
      </w:r>
    </w:p>
    <w:p>
      <w:pPr>
        <w:spacing w:after="120" w:line="276" w:lineRule="auto"/>
      </w:pPr>
      <w:r>
        <w:rPr>
          <w:rFonts w:ascii="Times New Roman" w:hAnsi="Times New Roman"/>
          <w:color w:val="000000"/>
          <w:sz w:val="22"/>
        </w:rPr>
        <w:t>Commercial credit underwriting operates under a fundamentally asymmetric cost structure:</w:t>
      </w:r>
    </w:p>
    <w:p>
      <w:pPr>
        <w:pStyle w:val="ListBullet"/>
        <w:spacing w:after="60" w:line="276" w:lineRule="auto"/>
      </w:pPr>
      <w:r>
        <w:rPr>
          <w:rFonts w:ascii="Times New Roman" w:hAnsi="Times New Roman"/>
          <w:b/>
          <w:color w:val="000000"/>
          <w:sz w:val="22"/>
        </w:rPr>
        <w:t xml:space="preserve">False Negative (Type II Error - Costly): </w:t>
      </w:r>
      <w:r>
        <w:rPr>
          <w:rFonts w:ascii="Times New Roman" w:hAnsi="Times New Roman"/>
          <w:color w:val="000000"/>
          <w:sz w:val="22"/>
        </w:rPr>
        <w:t>The model classifies an applicant as low-risk (Good), but the borrower subsequently defaults. The bank loses the principal loan balance plus recovery and legal costs ($5,000 to $10,000+ per occurrence).</w:t>
      </w:r>
    </w:p>
    <w:p>
      <w:pPr>
        <w:pStyle w:val="ListBullet"/>
        <w:spacing w:after="60" w:line="276" w:lineRule="auto"/>
      </w:pPr>
      <w:r>
        <w:rPr>
          <w:rFonts w:ascii="Times New Roman" w:hAnsi="Times New Roman"/>
          <w:b/>
          <w:color w:val="000000"/>
          <w:sz w:val="22"/>
        </w:rPr>
        <w:t xml:space="preserve">False Positive (Type I Error - Opportunity Cost): </w:t>
      </w:r>
      <w:r>
        <w:rPr>
          <w:rFonts w:ascii="Times New Roman" w:hAnsi="Times New Roman"/>
          <w:color w:val="000000"/>
          <w:sz w:val="22"/>
        </w:rPr>
        <w:t>The model flags a creditworthy borrower as high-risk (Bad). The bank loses the net interest margin (e.g., 6% to 10%) and risks client relationship friction.</w:t>
      </w:r>
    </w:p>
    <w:p>
      <w:pPr>
        <w:spacing w:after="120" w:line="276" w:lineRule="auto"/>
      </w:pPr>
      <w:r>
        <w:rPr>
          <w:rFonts w:ascii="Times New Roman" w:hAnsi="Times New Roman"/>
          <w:color w:val="000000"/>
          <w:sz w:val="22"/>
        </w:rPr>
        <w:t>Because credit losses directly impair bank balance sheets and regulatory capital, the primary analytical objective of this study is to maximize Recall on Defaulters while maintaining viable customer origination rates.</w:t>
      </w:r>
    </w:p>
    <w:p>
      <w:pPr>
        <w:spacing w:before="280" w:after="80"/>
      </w:pPr>
      <w:r>
        <w:rPr>
          <w:rFonts w:ascii="Times New Roman" w:hAnsi="Times New Roman"/>
          <w:b/>
          <w:color w:val="000000"/>
          <w:sz w:val="26"/>
        </w:rPr>
        <w:t>3. Dataset Description</w:t>
      </w:r>
    </w:p>
    <w:p>
      <w:pPr>
        <w:spacing w:after="120" w:line="276" w:lineRule="auto"/>
      </w:pPr>
      <w:r>
        <w:rPr>
          <w:rFonts w:ascii="Times New Roman" w:hAnsi="Times New Roman"/>
          <w:color w:val="000000"/>
          <w:sz w:val="22"/>
        </w:rPr>
        <w:t>The study utilizes the benchmark Statlog German Credit Dataset from the UCI Machine Learning Repository / OpenML:</w:t>
      </w:r>
    </w:p>
    <w:p>
      <w:pPr>
        <w:pStyle w:val="ListBullet"/>
        <w:spacing w:after="60" w:line="276" w:lineRule="auto"/>
      </w:pPr>
      <w:r>
        <w:rPr>
          <w:rFonts w:ascii="Times New Roman" w:hAnsi="Times New Roman"/>
          <w:b/>
          <w:color w:val="000000"/>
          <w:sz w:val="22"/>
        </w:rPr>
        <w:t xml:space="preserve">Dataset Scale: </w:t>
      </w:r>
      <w:r>
        <w:rPr>
          <w:rFonts w:ascii="Times New Roman" w:hAnsi="Times New Roman"/>
          <w:color w:val="000000"/>
          <w:sz w:val="22"/>
        </w:rPr>
        <w:t>1,000 historic credit applicant records.</w:t>
      </w:r>
    </w:p>
    <w:p>
      <w:pPr>
        <w:pStyle w:val="ListBullet"/>
        <w:spacing w:after="60" w:line="276" w:lineRule="auto"/>
      </w:pPr>
      <w:r>
        <w:rPr>
          <w:rFonts w:ascii="Times New Roman" w:hAnsi="Times New Roman"/>
          <w:b/>
          <w:color w:val="000000"/>
          <w:sz w:val="22"/>
        </w:rPr>
        <w:t xml:space="preserve">Original Attributes: </w:t>
      </w:r>
      <w:r>
        <w:rPr>
          <w:rFonts w:ascii="Times New Roman" w:hAnsi="Times New Roman"/>
          <w:color w:val="000000"/>
          <w:sz w:val="22"/>
        </w:rPr>
        <w:t>20 predictor variables encompassing applicant financial status, banking history, loan characteristics, and personal demographics.</w:t>
      </w:r>
    </w:p>
    <w:p>
      <w:pPr>
        <w:pStyle w:val="ListBullet"/>
        <w:spacing w:after="60" w:line="276" w:lineRule="auto"/>
      </w:pPr>
      <w:r>
        <w:rPr>
          <w:rFonts w:ascii="Times New Roman" w:hAnsi="Times New Roman"/>
          <w:b/>
          <w:color w:val="000000"/>
          <w:sz w:val="22"/>
        </w:rPr>
        <w:t xml:space="preserve">Target Variable: </w:t>
      </w:r>
      <w:r>
        <w:rPr>
          <w:rFonts w:ascii="Times New Roman" w:hAnsi="Times New Roman"/>
          <w:color w:val="000000"/>
          <w:sz w:val="22"/>
        </w:rPr>
        <w:t>class — 700 Good repayers (70.0%, encoded as 0) and 300 Bad defaulters (30.0%, encoded as 1).</w:t>
      </w:r>
    </w:p>
    <w:p>
      <w:pPr>
        <w:pStyle w:val="ListBullet"/>
        <w:spacing w:after="60" w:line="276" w:lineRule="auto"/>
      </w:pPr>
      <w:r>
        <w:rPr>
          <w:rFonts w:ascii="Times New Roman" w:hAnsi="Times New Roman"/>
          <w:b/>
          <w:color w:val="000000"/>
          <w:sz w:val="22"/>
        </w:rPr>
        <w:t xml:space="preserve">Selected Features: </w:t>
      </w:r>
      <w:r>
        <w:rPr>
          <w:rFonts w:ascii="Times New Roman" w:hAnsi="Times New Roman"/>
          <w:color w:val="000000"/>
          <w:sz w:val="22"/>
        </w:rPr>
        <w:t>8 key variables identified as operationally relevant for retail underwriting: checking_status, duration, credit_amount, savings_status, employment, age, housing, and purpose.</w:t>
      </w:r>
    </w:p>
    <w:p>
      <w:pPr>
        <w:spacing w:before="280" w:after="80"/>
      </w:pPr>
      <w:r>
        <w:rPr>
          <w:rFonts w:ascii="Times New Roman" w:hAnsi="Times New Roman"/>
          <w:b/>
          <w:color w:val="000000"/>
          <w:sz w:val="26"/>
        </w:rPr>
        <w:t>4. Data Preparation &amp; Cleaning</w:t>
      </w:r>
    </w:p>
    <w:p>
      <w:pPr>
        <w:spacing w:after="120" w:line="276" w:lineRule="auto"/>
      </w:pPr>
      <w:r>
        <w:rPr>
          <w:rFonts w:ascii="Times New Roman" w:hAnsi="Times New Roman"/>
          <w:color w:val="000000"/>
          <w:sz w:val="22"/>
        </w:rPr>
        <w:t>Data preprocessing was structured inside a Scikit-Learn ColumnTransformer pipeline to ensure strict data leakage prevention:</w:t>
      </w:r>
    </w:p>
    <w:p>
      <w:pPr>
        <w:pStyle w:val="ListBullet"/>
        <w:spacing w:after="60" w:line="276" w:lineRule="auto"/>
      </w:pPr>
      <w:r>
        <w:rPr>
          <w:rFonts w:ascii="Times New Roman" w:hAnsi="Times New Roman"/>
          <w:b/>
          <w:color w:val="000000"/>
          <w:sz w:val="22"/>
        </w:rPr>
        <w:t xml:space="preserve">Handling Class Imbalance: </w:t>
      </w:r>
      <w:r>
        <w:rPr>
          <w:rFonts w:ascii="Times New Roman" w:hAnsi="Times New Roman"/>
          <w:color w:val="000000"/>
          <w:sz w:val="22"/>
        </w:rPr>
        <w:t>The dataset reflects a 70/30 class distribution. Stratified train/test splitting was implemented to maintain exact class proportions across partitions.</w:t>
      </w:r>
    </w:p>
    <w:p>
      <w:pPr>
        <w:pStyle w:val="ListBullet"/>
        <w:spacing w:after="60" w:line="276" w:lineRule="auto"/>
      </w:pPr>
      <w:r>
        <w:rPr>
          <w:rFonts w:ascii="Times New Roman" w:hAnsi="Times New Roman"/>
          <w:b/>
          <w:color w:val="000000"/>
          <w:sz w:val="22"/>
        </w:rPr>
        <w:t xml:space="preserve">Continuous Scaling: </w:t>
      </w:r>
      <w:r>
        <w:rPr>
          <w:rFonts w:ascii="Times New Roman" w:hAnsi="Times New Roman"/>
          <w:color w:val="000000"/>
          <w:sz w:val="22"/>
        </w:rPr>
        <w:t>StandardScaler was applied to duration, credit_amount, and age to normalize feature scales.</w:t>
      </w:r>
    </w:p>
    <w:p>
      <w:pPr>
        <w:pStyle w:val="ListBullet"/>
        <w:spacing w:after="60" w:line="276" w:lineRule="auto"/>
      </w:pPr>
      <w:r>
        <w:rPr>
          <w:rFonts w:ascii="Times New Roman" w:hAnsi="Times New Roman"/>
          <w:b/>
          <w:color w:val="000000"/>
          <w:sz w:val="22"/>
        </w:rPr>
        <w:t xml:space="preserve">Categorical Encoding: </w:t>
      </w:r>
      <w:r>
        <w:rPr>
          <w:rFonts w:ascii="Times New Roman" w:hAnsi="Times New Roman"/>
          <w:color w:val="000000"/>
          <w:sz w:val="22"/>
        </w:rPr>
        <w:t>OneHotEncoder with handle_unknown="ignore" was fitted on categorical variables (checking balance, savings balance, employment tenure, housing status, loan purpose).</w:t>
      </w:r>
    </w:p>
    <w:p>
      <w:pPr>
        <w:pStyle w:val="ListBullet"/>
        <w:spacing w:after="60" w:line="276" w:lineRule="auto"/>
      </w:pPr>
      <w:r>
        <w:rPr>
          <w:rFonts w:ascii="Times New Roman" w:hAnsi="Times New Roman"/>
          <w:b/>
          <w:color w:val="000000"/>
          <w:sz w:val="22"/>
        </w:rPr>
        <w:t xml:space="preserve">Partitioning: </w:t>
      </w:r>
      <w:r>
        <w:rPr>
          <w:rFonts w:ascii="Times New Roman" w:hAnsi="Times New Roman"/>
          <w:color w:val="000000"/>
          <w:sz w:val="22"/>
        </w:rPr>
        <w:t>An 80/20 stratified split separated 800 training applicants and 200 holdout test cases.</w:t>
      </w:r>
    </w:p>
    <w:p>
      <w:pPr>
        <w:spacing w:before="280" w:after="80"/>
      </w:pPr>
      <w:r>
        <w:rPr>
          <w:rFonts w:ascii="Times New Roman" w:hAnsi="Times New Roman"/>
          <w:b/>
          <w:color w:val="000000"/>
          <w:sz w:val="26"/>
        </w:rPr>
        <w:t>5. Exploratory Data Analysis (EDA)</w:t>
      </w:r>
    </w:p>
    <w:p>
      <w:pPr>
        <w:spacing w:after="120" w:line="276" w:lineRule="auto"/>
      </w:pPr>
      <w:r>
        <w:rPr>
          <w:rFonts w:ascii="Times New Roman" w:hAnsi="Times New Roman"/>
          <w:color w:val="000000"/>
          <w:sz w:val="22"/>
        </w:rPr>
        <w:t>Empirical exploratory analysis revealed three primary credit default indicators:</w:t>
      </w:r>
    </w:p>
    <w:p>
      <w:pPr>
        <w:pStyle w:val="ListBullet"/>
        <w:spacing w:after="60" w:line="276" w:lineRule="auto"/>
      </w:pPr>
      <w:r>
        <w:rPr>
          <w:rFonts w:ascii="Times New Roman" w:hAnsi="Times New Roman"/>
          <w:b/>
          <w:color w:val="000000"/>
          <w:sz w:val="22"/>
        </w:rPr>
        <w:t xml:space="preserve">Checking Balance Liquidity: </w:t>
      </w:r>
      <w:r>
        <w:rPr>
          <w:rFonts w:ascii="Times New Roman" w:hAnsi="Times New Roman"/>
          <w:color w:val="000000"/>
          <w:sz w:val="22"/>
        </w:rPr>
        <w:t>Applicants with negative checking balances (&lt; 0 DM) exhibited an average default rate of 49.3%. Conversely, applicants with balances &gt;= 200 DM demonstrated default rates below 14.5%.</w:t>
      </w:r>
    </w:p>
    <w:p>
      <w:pPr>
        <w:pStyle w:val="ListBullet"/>
        <w:spacing w:after="60" w:line="276" w:lineRule="auto"/>
      </w:pPr>
      <w:r>
        <w:rPr>
          <w:rFonts w:ascii="Times New Roman" w:hAnsi="Times New Roman"/>
          <w:b/>
          <w:color w:val="000000"/>
          <w:sz w:val="22"/>
        </w:rPr>
        <w:t xml:space="preserve">Amortization Horizon: </w:t>
      </w:r>
      <w:r>
        <w:rPr>
          <w:rFonts w:ascii="Times New Roman" w:hAnsi="Times New Roman"/>
          <w:color w:val="000000"/>
          <w:sz w:val="22"/>
        </w:rPr>
        <w:t>Median loan duration for defaulting accounts was 30 months compared to 18 months for performing accounts, demonstrating that longer tenures heighten vulnerability to life shocks.</w:t>
      </w:r>
    </w:p>
    <w:p>
      <w:pPr>
        <w:pStyle w:val="ListBullet"/>
        <w:spacing w:after="60" w:line="276" w:lineRule="auto"/>
      </w:pPr>
      <w:r>
        <w:rPr>
          <w:rFonts w:ascii="Times New Roman" w:hAnsi="Times New Roman"/>
          <w:b/>
          <w:color w:val="000000"/>
          <w:sz w:val="22"/>
        </w:rPr>
        <w:t xml:space="preserve">Savings Buffer: </w:t>
      </w:r>
      <w:r>
        <w:rPr>
          <w:rFonts w:ascii="Times New Roman" w:hAnsi="Times New Roman"/>
          <w:color w:val="000000"/>
          <w:sz w:val="22"/>
        </w:rPr>
        <w:t>Applicants with savings reserves &gt;= 1,000 DM maintained resilient debt servicing even when borrowing larger amounts.</w:t>
      </w:r>
    </w:p>
    <w:p>
      <w:pPr>
        <w:spacing w:before="280" w:after="80"/>
      </w:pPr>
      <w:r>
        <w:rPr>
          <w:rFonts w:ascii="Times New Roman" w:hAnsi="Times New Roman"/>
          <w:b/>
          <w:color w:val="000000"/>
          <w:sz w:val="26"/>
        </w:rPr>
        <w:t>6. Machine Learning Methodology</w:t>
      </w:r>
    </w:p>
    <w:p>
      <w:pPr>
        <w:spacing w:after="120" w:line="276" w:lineRule="auto"/>
      </w:pPr>
      <w:r>
        <w:rPr>
          <w:rFonts w:ascii="Times New Roman" w:hAnsi="Times New Roman"/>
          <w:color w:val="000000"/>
          <w:sz w:val="22"/>
        </w:rPr>
        <w:t>We selected Random Forest Classifier (n_estimators=100, max_depth=6) as the core estimator for the following reasons:</w:t>
      </w:r>
    </w:p>
    <w:p>
      <w:pPr>
        <w:pStyle w:val="ListBullet"/>
        <w:spacing w:after="60" w:line="276" w:lineRule="auto"/>
      </w:pPr>
      <w:r>
        <w:rPr>
          <w:rFonts w:ascii="Times New Roman" w:hAnsi="Times New Roman"/>
          <w:b/>
          <w:color w:val="000000"/>
          <w:sz w:val="22"/>
        </w:rPr>
        <w:t xml:space="preserve">Non-Linear Feature Relationships: </w:t>
      </w:r>
      <w:r>
        <w:rPr>
          <w:rFonts w:ascii="Times New Roman" w:hAnsi="Times New Roman"/>
          <w:color w:val="000000"/>
          <w:sz w:val="22"/>
        </w:rPr>
        <w:t>Credit risk relationships are non-linear; tree ensembles naturally capture multi-way feature interactions.</w:t>
      </w:r>
    </w:p>
    <w:p>
      <w:pPr>
        <w:pStyle w:val="ListBullet"/>
        <w:spacing w:after="60" w:line="276" w:lineRule="auto"/>
      </w:pPr>
      <w:r>
        <w:rPr>
          <w:rFonts w:ascii="Times New Roman" w:hAnsi="Times New Roman"/>
          <w:b/>
          <w:color w:val="000000"/>
          <w:sz w:val="22"/>
        </w:rPr>
        <w:t xml:space="preserve">Resistance to Outliers: </w:t>
      </w:r>
      <w:r>
        <w:rPr>
          <w:rFonts w:ascii="Times New Roman" w:hAnsi="Times New Roman"/>
          <w:color w:val="000000"/>
          <w:sz w:val="22"/>
        </w:rPr>
        <w:t>Tree partitioning is robust against extreme credit amounts and durations.</w:t>
      </w:r>
    </w:p>
    <w:p>
      <w:pPr>
        <w:pStyle w:val="ListBullet"/>
        <w:spacing w:after="60" w:line="276" w:lineRule="auto"/>
      </w:pPr>
      <w:r>
        <w:rPr>
          <w:rFonts w:ascii="Times New Roman" w:hAnsi="Times New Roman"/>
          <w:b/>
          <w:color w:val="000000"/>
          <w:sz w:val="22"/>
        </w:rPr>
        <w:t xml:space="preserve">Balanced Class Weights: </w:t>
      </w:r>
      <w:r>
        <w:rPr>
          <w:rFonts w:ascii="Times New Roman" w:hAnsi="Times New Roman"/>
          <w:color w:val="000000"/>
          <w:sz w:val="22"/>
        </w:rPr>
        <w:t>The model was calibrated with class_weight="balanced", assigning dynamic loss penalties (w_bad ≈ 1.67 vs w_good ≈ 0.71). This penalizes misclassifying defaulters 2.35 times more heavily than false alarms.</w:t>
      </w:r>
    </w:p>
    <w:p>
      <w:pPr>
        <w:spacing w:before="280" w:after="80"/>
      </w:pPr>
      <w:r>
        <w:rPr>
          <w:rFonts w:ascii="Times New Roman" w:hAnsi="Times New Roman"/>
          <w:b/>
          <w:color w:val="000000"/>
          <w:sz w:val="26"/>
        </w:rPr>
        <w:t>7. Model Evaluation &amp; Performance</w:t>
      </w:r>
    </w:p>
    <w:p>
      <w:pPr>
        <w:spacing w:after="120" w:line="276" w:lineRule="auto"/>
      </w:pPr>
      <w:r>
        <w:rPr>
          <w:rFonts w:ascii="Times New Roman" w:hAnsi="Times New Roman"/>
          <w:color w:val="000000"/>
          <w:sz w:val="22"/>
        </w:rPr>
        <w:t>Performance on the 200 unseen holdout test applicants (140 Good, 60 Bad):</w:t>
      </w:r>
    </w:p>
    <w:p>
      <w:pPr>
        <w:pStyle w:val="ListBullet"/>
        <w:spacing w:after="60" w:line="276" w:lineRule="auto"/>
      </w:pPr>
      <w:r>
        <w:rPr>
          <w:rFonts w:ascii="Times New Roman" w:hAnsi="Times New Roman"/>
          <w:b/>
          <w:color w:val="000000"/>
          <w:sz w:val="22"/>
        </w:rPr>
        <w:t xml:space="preserve">Defaulter Recall (Primary Metric): </w:t>
      </w:r>
      <w:r>
        <w:rPr>
          <w:rFonts w:ascii="Times New Roman" w:hAnsi="Times New Roman"/>
          <w:color w:val="000000"/>
          <w:sz w:val="22"/>
        </w:rPr>
        <w:t>71.7% (Successfully flagged 43 out of 60 actual defaulters).</w:t>
      </w:r>
    </w:p>
    <w:p>
      <w:pPr>
        <w:pStyle w:val="ListBullet"/>
        <w:spacing w:after="60" w:line="276" w:lineRule="auto"/>
      </w:pPr>
      <w:r>
        <w:rPr>
          <w:rFonts w:ascii="Times New Roman" w:hAnsi="Times New Roman"/>
          <w:b/>
          <w:color w:val="000000"/>
          <w:sz w:val="22"/>
        </w:rPr>
        <w:t xml:space="preserve">Accuracy: </w:t>
      </w:r>
      <w:r>
        <w:rPr>
          <w:rFonts w:ascii="Times New Roman" w:hAnsi="Times New Roman"/>
          <w:color w:val="000000"/>
          <w:sz w:val="22"/>
        </w:rPr>
        <w:t>70.0% (140 correct classifications out of 200 total test cases).</w:t>
      </w:r>
    </w:p>
    <w:p>
      <w:pPr>
        <w:pStyle w:val="ListBullet"/>
        <w:spacing w:after="60" w:line="276" w:lineRule="auto"/>
      </w:pPr>
      <w:r>
        <w:rPr>
          <w:rFonts w:ascii="Times New Roman" w:hAnsi="Times New Roman"/>
          <w:b/>
          <w:color w:val="000000"/>
          <w:sz w:val="22"/>
        </w:rPr>
        <w:t xml:space="preserve">Precision (Defaulters): </w:t>
      </w:r>
      <w:r>
        <w:rPr>
          <w:rFonts w:ascii="Times New Roman" w:hAnsi="Times New Roman"/>
          <w:color w:val="000000"/>
          <w:sz w:val="22"/>
        </w:rPr>
        <w:t>50.0% (43 True Positives vs. 43 False Positives).</w:t>
      </w:r>
    </w:p>
    <w:p>
      <w:pPr>
        <w:pStyle w:val="ListBullet"/>
        <w:spacing w:after="60" w:line="276" w:lineRule="auto"/>
      </w:pPr>
      <w:r>
        <w:rPr>
          <w:rFonts w:ascii="Times New Roman" w:hAnsi="Times New Roman"/>
          <w:b/>
          <w:color w:val="000000"/>
          <w:sz w:val="22"/>
        </w:rPr>
        <w:t xml:space="preserve">F1-Score: </w:t>
      </w:r>
      <w:r>
        <w:rPr>
          <w:rFonts w:ascii="Times New Roman" w:hAnsi="Times New Roman"/>
          <w:color w:val="000000"/>
          <w:sz w:val="22"/>
        </w:rPr>
        <w:t>0.589.</w:t>
      </w:r>
    </w:p>
    <w:p>
      <w:pPr>
        <w:pStyle w:val="ListBullet"/>
        <w:spacing w:after="60" w:line="276" w:lineRule="auto"/>
      </w:pPr>
      <w:r>
        <w:rPr>
          <w:rFonts w:ascii="Times New Roman" w:hAnsi="Times New Roman"/>
          <w:b/>
          <w:color w:val="000000"/>
          <w:sz w:val="22"/>
        </w:rPr>
        <w:t xml:space="preserve">Confusion Matrix: </w:t>
      </w:r>
      <w:r>
        <w:rPr>
          <w:rFonts w:ascii="Times New Roman" w:hAnsi="Times New Roman"/>
          <w:color w:val="000000"/>
          <w:sz w:val="22"/>
        </w:rPr>
        <w:t>97 True Negatives, 43 False Positives, 17 False Negatives, and 43 True Positives.</w:t>
      </w:r>
    </w:p>
    <w:p>
      <w:pPr>
        <w:spacing w:after="120" w:line="276" w:lineRule="auto"/>
      </w:pPr>
      <w:r>
        <w:rPr>
          <w:rFonts w:ascii="Times New Roman" w:hAnsi="Times New Roman"/>
          <w:color w:val="000000"/>
          <w:sz w:val="22"/>
        </w:rPr>
        <w:t>Importantly, False Negatives were limited to only 17 cases out of 60, successfully averting over 71% of potential credit default losses.</w:t>
      </w:r>
    </w:p>
    <w:p>
      <w:pPr>
        <w:spacing w:before="280" w:after="80"/>
      </w:pPr>
      <w:r>
        <w:rPr>
          <w:rFonts w:ascii="Times New Roman" w:hAnsi="Times New Roman"/>
          <w:b/>
          <w:color w:val="000000"/>
          <w:sz w:val="26"/>
        </w:rPr>
        <w:t>8. Streamlit Application Architecture</w:t>
      </w:r>
    </w:p>
    <w:p>
      <w:pPr>
        <w:spacing w:after="120" w:line="276" w:lineRule="auto"/>
      </w:pPr>
      <w:r>
        <w:rPr>
          <w:rFonts w:ascii="Times New Roman" w:hAnsi="Times New Roman"/>
          <w:color w:val="000000"/>
          <w:sz w:val="22"/>
        </w:rPr>
        <w:t>The trained pipeline was serialized into model.pkl using joblib and deployed as a 3-page interactive Streamlit platform:</w:t>
      </w:r>
    </w:p>
    <w:p>
      <w:pPr>
        <w:pStyle w:val="ListBullet"/>
        <w:spacing w:after="60" w:line="276" w:lineRule="auto"/>
      </w:pPr>
      <w:r>
        <w:rPr>
          <w:rFonts w:ascii="Times New Roman" w:hAnsi="Times New Roman"/>
          <w:b/>
          <w:color w:val="000000"/>
          <w:sz w:val="22"/>
        </w:rPr>
        <w:t xml:space="preserve">Page 1: Executive Overview: </w:t>
      </w:r>
      <w:r>
        <w:rPr>
          <w:rFonts w:ascii="Times New Roman" w:hAnsi="Times New Roman"/>
          <w:color w:val="000000"/>
          <w:sz w:val="22"/>
        </w:rPr>
        <w:t>Outlines institutional background, asymmetric cost matrix, and portfolio KPIs.</w:t>
      </w:r>
    </w:p>
    <w:p>
      <w:pPr>
        <w:pStyle w:val="ListBullet"/>
        <w:spacing w:after="60" w:line="276" w:lineRule="auto"/>
      </w:pPr>
      <w:r>
        <w:rPr>
          <w:rFonts w:ascii="Times New Roman" w:hAnsi="Times New Roman"/>
          <w:b/>
          <w:color w:val="000000"/>
          <w:sz w:val="22"/>
        </w:rPr>
        <w:t xml:space="preserve">Page 2: Portfolio Analytics: </w:t>
      </w:r>
      <w:r>
        <w:rPr>
          <w:rFonts w:ascii="Times New Roman" w:hAnsi="Times New Roman"/>
          <w:color w:val="000000"/>
          <w:sz w:val="22"/>
        </w:rPr>
        <w:t>Presents empirical charts illustrating checking balance default curves, loan duration boxplots, and class distributions.</w:t>
      </w:r>
    </w:p>
    <w:p>
      <w:pPr>
        <w:pStyle w:val="ListBullet"/>
        <w:spacing w:after="60" w:line="276" w:lineRule="auto"/>
      </w:pPr>
      <w:r>
        <w:rPr>
          <w:rFonts w:ascii="Times New Roman" w:hAnsi="Times New Roman"/>
          <w:b/>
          <w:color w:val="000000"/>
          <w:sz w:val="22"/>
        </w:rPr>
        <w:t xml:space="preserve">Page 3: Underwriting Decision Engine: </w:t>
      </w:r>
      <w:r>
        <w:rPr>
          <w:rFonts w:ascii="Times New Roman" w:hAnsi="Times New Roman"/>
          <w:color w:val="000000"/>
          <w:sz w:val="22"/>
        </w:rPr>
        <w:t>Allows underwriters to input applicant details and receive real-time probability estimates and actionable policy recommendations.</w:t>
      </w:r>
    </w:p>
    <w:p>
      <w:pPr>
        <w:spacing w:before="280" w:after="80"/>
      </w:pPr>
      <w:r>
        <w:rPr>
          <w:rFonts w:ascii="Times New Roman" w:hAnsi="Times New Roman"/>
          <w:b/>
          <w:color w:val="000000"/>
          <w:sz w:val="26"/>
        </w:rPr>
        <w:t>9. Cloud Deployment</w:t>
      </w:r>
    </w:p>
    <w:p>
      <w:pPr>
        <w:spacing w:after="120" w:line="276" w:lineRule="auto"/>
      </w:pPr>
      <w:r>
        <w:rPr>
          <w:rFonts w:ascii="Times New Roman" w:hAnsi="Times New Roman"/>
          <w:color w:val="000000"/>
          <w:sz w:val="22"/>
        </w:rPr>
        <w:t>The application is version-controlled on GitHub and deployed live via Streamlit Community Cloud:</w:t>
      </w:r>
    </w:p>
    <w:p>
      <w:pPr>
        <w:pStyle w:val="ListBullet"/>
        <w:spacing w:after="60" w:line="276" w:lineRule="auto"/>
      </w:pPr>
      <w:r>
        <w:rPr>
          <w:rFonts w:ascii="Times New Roman" w:hAnsi="Times New Roman"/>
          <w:b/>
          <w:color w:val="000000"/>
          <w:sz w:val="22"/>
        </w:rPr>
        <w:t xml:space="preserve">Continuous Integration: </w:t>
      </w:r>
      <w:r>
        <w:rPr>
          <w:rFonts w:ascii="Times New Roman" w:hAnsi="Times New Roman"/>
          <w:color w:val="000000"/>
          <w:sz w:val="22"/>
        </w:rPr>
        <w:t>New commits to the main branch automatically trigger cloud container updates.</w:t>
      </w:r>
    </w:p>
    <w:p>
      <w:pPr>
        <w:pStyle w:val="ListBullet"/>
        <w:spacing w:after="60" w:line="276" w:lineRule="auto"/>
      </w:pPr>
      <w:r>
        <w:rPr>
          <w:rFonts w:ascii="Times New Roman" w:hAnsi="Times New Roman"/>
          <w:b/>
          <w:color w:val="000000"/>
          <w:sz w:val="22"/>
        </w:rPr>
        <w:t xml:space="preserve">Reproducibility: </w:t>
      </w:r>
      <w:r>
        <w:rPr>
          <w:rFonts w:ascii="Times New Roman" w:hAnsi="Times New Roman"/>
          <w:color w:val="000000"/>
          <w:sz w:val="22"/>
        </w:rPr>
        <w:t>Dependencies are locked in requirements.txt for cross-environment stability.</w:t>
      </w:r>
    </w:p>
    <w:p>
      <w:pPr>
        <w:spacing w:before="280" w:after="80"/>
      </w:pPr>
      <w:r>
        <w:rPr>
          <w:rFonts w:ascii="Times New Roman" w:hAnsi="Times New Roman"/>
          <w:b/>
          <w:color w:val="000000"/>
          <w:sz w:val="26"/>
        </w:rPr>
        <w:t>10. Key Business Insights</w:t>
      </w:r>
    </w:p>
    <w:p>
      <w:pPr>
        <w:pStyle w:val="ListBullet"/>
        <w:spacing w:after="60" w:line="276" w:lineRule="auto"/>
      </w:pPr>
      <w:r>
        <w:rPr>
          <w:rFonts w:ascii="Times New Roman" w:hAnsi="Times New Roman"/>
          <w:b/>
          <w:color w:val="000000"/>
          <w:sz w:val="22"/>
        </w:rPr>
        <w:t xml:space="preserve">Liquidity Dominance: </w:t>
      </w:r>
      <w:r>
        <w:rPr>
          <w:rFonts w:ascii="Times New Roman" w:hAnsi="Times New Roman"/>
          <w:color w:val="000000"/>
          <w:sz w:val="22"/>
        </w:rPr>
        <w:t>Liquid checking and savings balances are significantly more predictive of creditworthiness than age or loan purpose.</w:t>
      </w:r>
    </w:p>
    <w:p>
      <w:pPr>
        <w:pStyle w:val="ListBullet"/>
        <w:spacing w:after="60" w:line="276" w:lineRule="auto"/>
      </w:pPr>
      <w:r>
        <w:rPr>
          <w:rFonts w:ascii="Times New Roman" w:hAnsi="Times New Roman"/>
          <w:b/>
          <w:color w:val="000000"/>
          <w:sz w:val="22"/>
        </w:rPr>
        <w:t xml:space="preserve">Tenure Exposure: </w:t>
      </w:r>
      <w:r>
        <w:rPr>
          <w:rFonts w:ascii="Times New Roman" w:hAnsi="Times New Roman"/>
          <w:color w:val="000000"/>
          <w:sz w:val="22"/>
        </w:rPr>
        <w:t>Restricting unsecured consumer loan tenures to under 24 months reduces default susceptibility substantially.</w:t>
      </w:r>
    </w:p>
    <w:p>
      <w:pPr>
        <w:pStyle w:val="ListBullet"/>
        <w:spacing w:after="60" w:line="276" w:lineRule="auto"/>
      </w:pPr>
      <w:r>
        <w:rPr>
          <w:rFonts w:ascii="Times New Roman" w:hAnsi="Times New Roman"/>
          <w:b/>
          <w:color w:val="000000"/>
          <w:sz w:val="22"/>
        </w:rPr>
        <w:t xml:space="preserve">Threshold Flexibility: </w:t>
      </w:r>
      <w:r>
        <w:rPr>
          <w:rFonts w:ascii="Times New Roman" w:hAnsi="Times New Roman"/>
          <w:color w:val="000000"/>
          <w:sz w:val="22"/>
        </w:rPr>
        <w:t>Threshold tuning allows credit risk committees to tighten or loosen approval bands based on prevailing macroeconomic liquidity.</w:t>
      </w:r>
    </w:p>
    <w:p>
      <w:pPr>
        <w:spacing w:before="280" w:after="80"/>
      </w:pPr>
      <w:r>
        <w:rPr>
          <w:rFonts w:ascii="Times New Roman" w:hAnsi="Times New Roman"/>
          <w:b/>
          <w:color w:val="000000"/>
          <w:sz w:val="26"/>
        </w:rPr>
        <w:t>11. Limitations</w:t>
      </w:r>
    </w:p>
    <w:p>
      <w:pPr>
        <w:pStyle w:val="ListBullet"/>
        <w:spacing w:after="60" w:line="276" w:lineRule="auto"/>
      </w:pPr>
      <w:r>
        <w:rPr>
          <w:rFonts w:ascii="Times New Roman" w:hAnsi="Times New Roman"/>
          <w:b/>
          <w:color w:val="000000"/>
          <w:sz w:val="22"/>
        </w:rPr>
        <w:t xml:space="preserve">Sample Size: </w:t>
      </w:r>
      <w:r>
        <w:rPr>
          <w:rFonts w:ascii="Times New Roman" w:hAnsi="Times New Roman"/>
          <w:color w:val="000000"/>
          <w:sz w:val="22"/>
        </w:rPr>
        <w:t>The model is trained on 1,000 historical records; commercial bank scorecards typically utilize millions of bureau records.</w:t>
      </w:r>
    </w:p>
    <w:p>
      <w:pPr>
        <w:pStyle w:val="ListBullet"/>
        <w:spacing w:after="60" w:line="276" w:lineRule="auto"/>
      </w:pPr>
      <w:r>
        <w:rPr>
          <w:rFonts w:ascii="Times New Roman" w:hAnsi="Times New Roman"/>
          <w:b/>
          <w:color w:val="000000"/>
          <w:sz w:val="22"/>
        </w:rPr>
        <w:t xml:space="preserve">Macroeconomic Blindspots: </w:t>
      </w:r>
      <w:r>
        <w:rPr>
          <w:rFonts w:ascii="Times New Roman" w:hAnsi="Times New Roman"/>
          <w:color w:val="000000"/>
          <w:sz w:val="22"/>
        </w:rPr>
        <w:t>The dataset omits systemic macroeconomic variables (inflation rates, benchmark interest rates, regional employment).</w:t>
      </w:r>
    </w:p>
    <w:p>
      <w:pPr>
        <w:pStyle w:val="ListBullet"/>
        <w:spacing w:after="60" w:line="276" w:lineRule="auto"/>
      </w:pPr>
      <w:r>
        <w:rPr>
          <w:rFonts w:ascii="Times New Roman" w:hAnsi="Times New Roman"/>
          <w:b/>
          <w:color w:val="000000"/>
          <w:sz w:val="22"/>
        </w:rPr>
        <w:t xml:space="preserve">Temporal Concept Drift: </w:t>
      </w:r>
      <w:r>
        <w:rPr>
          <w:rFonts w:ascii="Times New Roman" w:hAnsi="Times New Roman"/>
          <w:color w:val="000000"/>
          <w:sz w:val="22"/>
        </w:rPr>
        <w:t>Borrower behavior changes over time, requiring quarterly retraining and monitoring.</w:t>
      </w:r>
    </w:p>
    <w:p>
      <w:pPr>
        <w:spacing w:before="280" w:after="80"/>
      </w:pPr>
      <w:r>
        <w:rPr>
          <w:rFonts w:ascii="Times New Roman" w:hAnsi="Times New Roman"/>
          <w:b/>
          <w:color w:val="000000"/>
          <w:sz w:val="26"/>
        </w:rPr>
        <w:t>12. Recommendations for Implementation</w:t>
      </w:r>
    </w:p>
    <w:p>
      <w:pPr>
        <w:pStyle w:val="ListBullet"/>
        <w:spacing w:after="60" w:line="276" w:lineRule="auto"/>
      </w:pPr>
      <w:r>
        <w:rPr>
          <w:rFonts w:ascii="Times New Roman" w:hAnsi="Times New Roman"/>
          <w:b/>
          <w:color w:val="000000"/>
          <w:sz w:val="22"/>
        </w:rPr>
        <w:t xml:space="preserve">Decision-Support Architecture: </w:t>
      </w:r>
      <w:r>
        <w:rPr>
          <w:rFonts w:ascii="Times New Roman" w:hAnsi="Times New Roman"/>
          <w:color w:val="000000"/>
          <w:sz w:val="22"/>
        </w:rPr>
        <w:t>Deploy as an advisory tool with human-in-the-loop oversight.</w:t>
      </w:r>
    </w:p>
    <w:p>
      <w:pPr>
        <w:pStyle w:val="ListBullet"/>
        <w:spacing w:after="60" w:line="276" w:lineRule="auto"/>
      </w:pPr>
      <w:r>
        <w:rPr>
          <w:rFonts w:ascii="Times New Roman" w:hAnsi="Times New Roman"/>
          <w:b/>
          <w:color w:val="000000"/>
          <w:sz w:val="22"/>
        </w:rPr>
        <w:t xml:space="preserve">Triaged Workflow: </w:t>
      </w:r>
      <w:r>
        <w:rPr>
          <w:rFonts w:ascii="Times New Roman" w:hAnsi="Times New Roman"/>
          <w:color w:val="000000"/>
          <w:sz w:val="22"/>
        </w:rPr>
        <w:t>Automate approvals for low-risk applicants (&lt;35% risk), route borderline applicants (35%-55%) for collateral/co-signer review, and decline high-risk applications (&gt;55%).</w:t>
      </w:r>
    </w:p>
    <w:p>
      <w:pPr>
        <w:pStyle w:val="ListBullet"/>
        <w:spacing w:after="60" w:line="276" w:lineRule="auto"/>
      </w:pPr>
      <w:r>
        <w:rPr>
          <w:rFonts w:ascii="Times New Roman" w:hAnsi="Times New Roman"/>
          <w:b/>
          <w:color w:val="000000"/>
          <w:sz w:val="22"/>
        </w:rPr>
        <w:t xml:space="preserve">Risk-Based Pricing: </w:t>
      </w:r>
      <w:r>
        <w:rPr>
          <w:rFonts w:ascii="Times New Roman" w:hAnsi="Times New Roman"/>
          <w:color w:val="000000"/>
          <w:sz w:val="22"/>
        </w:rPr>
        <w:t>Apply interest rate spreads on borderline approvals to compensate for incremental risk.</w:t>
      </w:r>
    </w:p>
    <w:p>
      <w:pPr>
        <w:spacing w:before="280" w:after="80"/>
      </w:pPr>
      <w:r>
        <w:rPr>
          <w:rFonts w:ascii="Times New Roman" w:hAnsi="Times New Roman"/>
          <w:b/>
          <w:color w:val="000000"/>
          <w:sz w:val="26"/>
        </w:rPr>
        <w:t>13. Conclusion</w:t>
      </w:r>
    </w:p>
    <w:p>
      <w:pPr>
        <w:spacing w:after="120" w:line="276" w:lineRule="auto"/>
      </w:pPr>
      <w:r>
        <w:rPr>
          <w:rFonts w:ascii="Times New Roman" w:hAnsi="Times New Roman"/>
          <w:color w:val="000000"/>
          <w:sz w:val="22"/>
        </w:rPr>
        <w:t>This project demonstrates the complete lifecycle of a business analytics solution: translating a business problem into a calibrated machine learning pipeline and deploying an interactive decision support tool. By applying balanced class weights within a Random Forest classifier, the system captures 71.7% of high-risk defaulters, balancing balance-sheet protection with customer acquisition margin.</w:t>
      </w:r>
    </w:p>
    <w:p>
      <w:pPr>
        <w:spacing w:before="280" w:after="80"/>
      </w:pPr>
      <w:r>
        <w:rPr>
          <w:rFonts w:ascii="Times New Roman" w:hAnsi="Times New Roman"/>
          <w:b/>
          <w:color w:val="000000"/>
          <w:sz w:val="26"/>
        </w:rPr>
        <w:t>14. Project Repository &amp; Deployment Links</w:t>
      </w:r>
    </w:p>
    <w:p>
      <w:pPr>
        <w:pStyle w:val="ListBullet"/>
        <w:spacing w:after="60" w:line="276" w:lineRule="auto"/>
      </w:pPr>
      <w:r>
        <w:rPr>
          <w:rFonts w:ascii="Times New Roman" w:hAnsi="Times New Roman"/>
          <w:b/>
          <w:color w:val="000000"/>
          <w:sz w:val="22"/>
        </w:rPr>
        <w:t xml:space="preserve">GitHub Repository: </w:t>
      </w:r>
      <w:r>
        <w:rPr>
          <w:rFonts w:ascii="Times New Roman" w:hAnsi="Times New Roman"/>
          <w:color w:val="000000"/>
          <w:sz w:val="22"/>
        </w:rPr>
        <w:t>https://github.com/Akshit226/streamlit-app-MLBA-02-</w:t>
      </w:r>
    </w:p>
    <w:p>
      <w:pPr>
        <w:pStyle w:val="ListBullet"/>
        <w:spacing w:after="60" w:line="276" w:lineRule="auto"/>
      </w:pPr>
      <w:r>
        <w:rPr>
          <w:rFonts w:ascii="Times New Roman" w:hAnsi="Times New Roman"/>
          <w:b/>
          <w:color w:val="000000"/>
          <w:sz w:val="22"/>
        </w:rPr>
        <w:t xml:space="preserve">Live Application URL: </w:t>
      </w:r>
      <w:r>
        <w:rPr>
          <w:rFonts w:ascii="Times New Roman" w:hAnsi="Times New Roman"/>
          <w:color w:val="000000"/>
          <w:sz w:val="22"/>
        </w:rPr>
        <w:t>https://streamlit-app-mlba-02.streamlit.app</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