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3A8A"/>
          <w:sz w:val="48"/>
        </w:rPr>
        <w:t>MLBA Assignment 2: Project Report</w:t>
      </w:r>
    </w:p>
    <w:p>
      <w:pPr>
        <w:spacing w:after="240"/>
      </w:pPr>
      <w:r>
        <w:rPr>
          <w:rFonts w:ascii="Calibri" w:hAnsi="Calibri"/>
          <w:i/>
          <w:color w:val="64748B"/>
          <w:sz w:val="28"/>
        </w:rPr>
        <w:t>AI-Driven Credit Default Risk Analyzer: Decision Support System for Retail Underwriting</w:t>
      </w:r>
    </w:p>
    <w:p>
      <w:pPr>
        <w:spacing w:after="360"/>
      </w:pPr>
      <w:r>
        <w:rPr>
          <w:rFonts w:ascii="Calibri" w:hAnsi="Calibri"/>
          <w:color w:val="475569"/>
          <w:sz w:val="20"/>
        </w:rPr>
        <w:t>Course: Machine Learning for Business Applications (MLBA) | Program: MBA – Business Analytics</w:t>
        <w:br/>
        <w:t>GitHub Repository: https://github.com/Akshit226/streamlit-app-MLBA-02-</w:t>
        <w:br/>
        <w:t>Live Application: https://streamlit-app-mlba-02.streamlit.app</w:t>
      </w:r>
    </w:p>
    <w:p>
      <w:pPr>
        <w:spacing w:before="280" w:after="80"/>
      </w:pPr>
      <w:r>
        <w:rPr>
          <w:rFonts w:ascii="Calibri" w:hAnsi="Calibri"/>
          <w:b/>
          <w:color w:val="1E3A8A"/>
          <w:sz w:val="28"/>
        </w:rPr>
        <w:t>1. Introduction</w:t>
      </w:r>
    </w:p>
    <w:p>
      <w:pPr>
        <w:spacing w:after="120" w:line="276" w:lineRule="auto"/>
      </w:pPr>
      <w:r>
        <w:rPr>
          <w:rFonts w:ascii="Calibri" w:hAnsi="Calibri"/>
          <w:sz w:val="22"/>
        </w:rPr>
        <w:t>Retail and commercial lending constitutes the primary revenue generator for banking institutions, operating on net interest margins. However, lending involves intrinsic credit default risk. When borrowers fail to fulfill contractual debt service obligations, banks accumulate Non-Performing Assets (NPAs), which directly impair Tier-1 regulatory capital reserves. This project develops an end-to-end Machine Learning Decision Support System, titled "Apex Underwrite", deployed via Streamlit to empower loan underwriters with real-time risk stratification and prescriptive credit decisions.</w:t>
      </w:r>
    </w:p>
    <w:p>
      <w:pPr>
        <w:spacing w:before="280" w:after="80"/>
      </w:pPr>
      <w:r>
        <w:rPr>
          <w:rFonts w:ascii="Calibri" w:hAnsi="Calibri"/>
          <w:b/>
          <w:color w:val="1E3A8A"/>
          <w:sz w:val="28"/>
        </w:rPr>
        <w:t>2. Business Problem &amp; The Asymmetric Cost of Errors</w:t>
      </w:r>
    </w:p>
    <w:p>
      <w:pPr>
        <w:spacing w:after="120" w:line="276" w:lineRule="auto"/>
      </w:pPr>
      <w:r>
        <w:rPr>
          <w:rFonts w:ascii="Calibri" w:hAnsi="Calibri"/>
          <w:sz w:val="22"/>
        </w:rPr>
        <w:t>Commercial credit underwriting presents an asymmetric cost matrix between false predictions:</w:t>
      </w:r>
    </w:p>
    <w:p>
      <w:pPr>
        <w:pStyle w:val="ListBullet"/>
        <w:spacing w:after="60" w:line="276" w:lineRule="auto"/>
      </w:pPr>
      <w:r>
        <w:rPr>
          <w:rFonts w:ascii="Calibri" w:hAnsi="Calibri"/>
          <w:b/>
          <w:sz w:val="22"/>
        </w:rPr>
        <w:t xml:space="preserve">False Negative (Type II Error - Severe Capital Loss): </w:t>
      </w:r>
      <w:r>
        <w:rPr>
          <w:rFonts w:ascii="Calibri" w:hAnsi="Calibri"/>
          <w:sz w:val="22"/>
        </w:rPr>
        <w:t>Approving a loan to a borrower who defaults. The bank loses 100% of unrecovered principal plus collection and legal recovery costs ($5,000 to $10,000+ per occurrence).</w:t>
      </w:r>
    </w:p>
    <w:p>
      <w:pPr>
        <w:pStyle w:val="ListBullet"/>
        <w:spacing w:after="60" w:line="276" w:lineRule="auto"/>
      </w:pPr>
      <w:r>
        <w:rPr>
          <w:rFonts w:ascii="Calibri" w:hAnsi="Calibri"/>
          <w:b/>
          <w:sz w:val="22"/>
        </w:rPr>
        <w:t xml:space="preserve">False Positive (Type I Error - Opportunity Cost): </w:t>
      </w:r>
      <w:r>
        <w:rPr>
          <w:rFonts w:ascii="Calibri" w:hAnsi="Calibri"/>
          <w:sz w:val="22"/>
        </w:rPr>
        <w:t>Rejecting a creditworthy borrower. The bank forfeits the net interest margin (e.g., 6% to 10%) and risks customer churn.</w:t>
      </w:r>
    </w:p>
    <w:p>
      <w:pPr>
        <w:spacing w:after="120" w:line="276" w:lineRule="auto"/>
      </w:pPr>
      <w:r>
        <w:rPr>
          <w:rFonts w:ascii="Calibri" w:hAnsi="Calibri"/>
          <w:sz w:val="22"/>
        </w:rPr>
        <w:t>Analytics Objective: Build a binary classification system calibrated to maximize Recall on Defaulters, catching high-risk applicants before funds are disbursed, while maintaining viable business approval rates.</w:t>
      </w:r>
    </w:p>
    <w:p>
      <w:pPr>
        <w:spacing w:before="280" w:after="80"/>
      </w:pPr>
      <w:r>
        <w:rPr>
          <w:rFonts w:ascii="Calibri" w:hAnsi="Calibri"/>
          <w:b/>
          <w:color w:val="1E3A8A"/>
          <w:sz w:val="28"/>
        </w:rPr>
        <w:t>3. Dataset Description</w:t>
      </w:r>
    </w:p>
    <w:p>
      <w:pPr>
        <w:spacing w:after="120" w:line="276" w:lineRule="auto"/>
      </w:pPr>
      <w:r>
        <w:rPr>
          <w:rFonts w:ascii="Calibri" w:hAnsi="Calibri"/>
          <w:sz w:val="22"/>
        </w:rPr>
        <w:t>The project leverages the benchmark Statlog German Credit Dataset from the UCI Machine Learning Repository / OpenML:</w:t>
      </w:r>
    </w:p>
    <w:p>
      <w:pPr>
        <w:pStyle w:val="ListBullet"/>
        <w:spacing w:after="60" w:line="276" w:lineRule="auto"/>
      </w:pPr>
      <w:r>
        <w:rPr>
          <w:rFonts w:ascii="Calibri" w:hAnsi="Calibri"/>
          <w:b/>
          <w:sz w:val="22"/>
        </w:rPr>
        <w:t xml:space="preserve">Dataset Size: </w:t>
      </w:r>
      <w:r>
        <w:rPr>
          <w:rFonts w:ascii="Calibri" w:hAnsi="Calibri"/>
          <w:sz w:val="22"/>
        </w:rPr>
        <w:t>1,000 historical bank credit applicant records.</w:t>
      </w:r>
    </w:p>
    <w:p>
      <w:pPr>
        <w:pStyle w:val="ListBullet"/>
        <w:spacing w:after="60" w:line="276" w:lineRule="auto"/>
      </w:pPr>
      <w:r>
        <w:rPr>
          <w:rFonts w:ascii="Calibri" w:hAnsi="Calibri"/>
          <w:b/>
          <w:sz w:val="22"/>
        </w:rPr>
        <w:t xml:space="preserve">Feature Dimensionality: </w:t>
      </w:r>
      <w:r>
        <w:rPr>
          <w:rFonts w:ascii="Calibri" w:hAnsi="Calibri"/>
          <w:sz w:val="22"/>
        </w:rPr>
        <w:t>20 original attributes encompassing financial liquidity, credit history, loan terms, and demographic indicators.</w:t>
      </w:r>
    </w:p>
    <w:p>
      <w:pPr>
        <w:pStyle w:val="ListBullet"/>
        <w:spacing w:after="60" w:line="276" w:lineRule="auto"/>
      </w:pPr>
      <w:r>
        <w:rPr>
          <w:rFonts w:ascii="Calibri" w:hAnsi="Calibri"/>
          <w:b/>
          <w:sz w:val="22"/>
        </w:rPr>
        <w:t xml:space="preserve">Target Variable: </w:t>
      </w:r>
      <w:r>
        <w:rPr>
          <w:rFonts w:ascii="Calibri" w:hAnsi="Calibri"/>
          <w:sz w:val="22"/>
        </w:rPr>
        <w:t>class — 700 Good repayers (70.0%, encoded as 0) and 300 Bad defaulters (30.0%, encoded as 1).</w:t>
      </w:r>
    </w:p>
    <w:p>
      <w:pPr>
        <w:pStyle w:val="ListBullet"/>
        <w:spacing w:after="60" w:line="276" w:lineRule="auto"/>
      </w:pPr>
      <w:r>
        <w:rPr>
          <w:rFonts w:ascii="Calibri" w:hAnsi="Calibri"/>
          <w:b/>
          <w:sz w:val="22"/>
        </w:rPr>
        <w:t xml:space="preserve">Selected Features: </w:t>
      </w:r>
      <w:r>
        <w:rPr>
          <w:rFonts w:ascii="Calibri" w:hAnsi="Calibri"/>
          <w:sz w:val="22"/>
        </w:rPr>
        <w:t>8 high-signal, operationally verifiable predictors: checking_status, duration, credit_amount, savings_status, employment, age, housing, and purpose.</w:t>
      </w:r>
    </w:p>
    <w:p>
      <w:pPr>
        <w:spacing w:before="280" w:after="80"/>
      </w:pPr>
      <w:r>
        <w:rPr>
          <w:rFonts w:ascii="Calibri" w:hAnsi="Calibri"/>
          <w:b/>
          <w:color w:val="1E3A8A"/>
          <w:sz w:val="28"/>
        </w:rPr>
        <w:t>4. Data Preparation &amp; Cleaning</w:t>
      </w:r>
    </w:p>
    <w:p>
      <w:pPr>
        <w:spacing w:after="120" w:line="276" w:lineRule="auto"/>
      </w:pPr>
      <w:r>
        <w:rPr>
          <w:rFonts w:ascii="Calibri" w:hAnsi="Calibri"/>
          <w:sz w:val="22"/>
        </w:rPr>
        <w:t>Raw data was ingested and preprocessed using a leak-free Scikit-Learn ColumnTransformer pipeline:</w:t>
      </w:r>
    </w:p>
    <w:p>
      <w:pPr>
        <w:pStyle w:val="ListBullet"/>
        <w:spacing w:after="60" w:line="276" w:lineRule="auto"/>
      </w:pPr>
      <w:r>
        <w:rPr>
          <w:rFonts w:ascii="Calibri" w:hAnsi="Calibri"/>
          <w:b/>
          <w:sz w:val="22"/>
        </w:rPr>
        <w:t xml:space="preserve">Handling Class Imbalance: </w:t>
      </w:r>
      <w:r>
        <w:rPr>
          <w:rFonts w:ascii="Calibri" w:hAnsi="Calibri"/>
          <w:sz w:val="22"/>
        </w:rPr>
        <w:t>Class distribution shows a 70/30 split. Stratified sampling was applied during train/test partitioning to preserve identical class ratios.</w:t>
      </w:r>
    </w:p>
    <w:p>
      <w:pPr>
        <w:pStyle w:val="ListBullet"/>
        <w:spacing w:after="60" w:line="276" w:lineRule="auto"/>
      </w:pPr>
      <w:r>
        <w:rPr>
          <w:rFonts w:ascii="Calibri" w:hAnsi="Calibri"/>
          <w:b/>
          <w:sz w:val="22"/>
        </w:rPr>
        <w:t xml:space="preserve">Continuous Feature Scaling: </w:t>
      </w:r>
      <w:r>
        <w:rPr>
          <w:rFonts w:ascii="Calibri" w:hAnsi="Calibri"/>
          <w:sz w:val="22"/>
        </w:rPr>
        <w:t>duration, credit_amount, and age were scaled via StandardScaler to prevent large numerical ranges from dominating gradient updates.</w:t>
      </w:r>
    </w:p>
    <w:p>
      <w:pPr>
        <w:pStyle w:val="ListBullet"/>
        <w:spacing w:after="60" w:line="276" w:lineRule="auto"/>
      </w:pPr>
      <w:r>
        <w:rPr>
          <w:rFonts w:ascii="Calibri" w:hAnsi="Calibri"/>
          <w:b/>
          <w:sz w:val="22"/>
        </w:rPr>
        <w:t xml:space="preserve">Categorical Encoding: </w:t>
      </w:r>
      <w:r>
        <w:rPr>
          <w:rFonts w:ascii="Calibri" w:hAnsi="Calibri"/>
          <w:sz w:val="22"/>
        </w:rPr>
        <w:t>Categorical features (checking status, savings status, employment, housing, purpose) were transformed via OneHotEncoder with handle_unknown="ignore" to ensure production robustness.</w:t>
      </w:r>
    </w:p>
    <w:p>
      <w:pPr>
        <w:pStyle w:val="ListBullet"/>
        <w:spacing w:after="60" w:line="276" w:lineRule="auto"/>
      </w:pPr>
      <w:r>
        <w:rPr>
          <w:rFonts w:ascii="Calibri" w:hAnsi="Calibri"/>
          <w:b/>
          <w:sz w:val="22"/>
        </w:rPr>
        <w:t xml:space="preserve">Validation Split: </w:t>
      </w:r>
      <w:r>
        <w:rPr>
          <w:rFonts w:ascii="Calibri" w:hAnsi="Calibri"/>
          <w:sz w:val="22"/>
        </w:rPr>
        <w:t>An 80/20 stratified split partitioned 800 training applicants and 200 holdout test records.</w:t>
      </w:r>
    </w:p>
    <w:p>
      <w:pPr>
        <w:spacing w:before="280" w:after="80"/>
      </w:pPr>
      <w:r>
        <w:rPr>
          <w:rFonts w:ascii="Calibri" w:hAnsi="Calibri"/>
          <w:b/>
          <w:color w:val="1E3A8A"/>
          <w:sz w:val="28"/>
        </w:rPr>
        <w:t>5. Exploratory Data Analysis (EDA)</w:t>
      </w:r>
    </w:p>
    <w:p>
      <w:pPr>
        <w:spacing w:after="120" w:line="276" w:lineRule="auto"/>
      </w:pPr>
      <w:r>
        <w:rPr>
          <w:rFonts w:ascii="Calibri" w:hAnsi="Calibri"/>
          <w:sz w:val="22"/>
        </w:rPr>
        <w:t>Empirical analysis of historical data revealed three primary solvency signals:</w:t>
      </w:r>
    </w:p>
    <w:p>
      <w:pPr>
        <w:pStyle w:val="ListBullet"/>
        <w:spacing w:after="60" w:line="276" w:lineRule="auto"/>
      </w:pPr>
      <w:r>
        <w:rPr>
          <w:rFonts w:ascii="Calibri" w:hAnsi="Calibri"/>
          <w:b/>
          <w:sz w:val="22"/>
        </w:rPr>
        <w:t xml:space="preserve">Signal 1: Checking Account Liquidity (#1 Risk Factor): </w:t>
      </w:r>
      <w:r>
        <w:rPr>
          <w:rFonts w:ascii="Calibri" w:hAnsi="Calibri"/>
          <w:sz w:val="22"/>
        </w:rPr>
        <w:t>Applicants with negative or overdrawn checking balances (&lt; 0 DM) experienced default rates approaching 49.3%, whereas applicants maintaining &gt;= 200 DM defaulted at under 14.5%.</w:t>
      </w:r>
    </w:p>
    <w:p>
      <w:pPr>
        <w:pStyle w:val="ListBullet"/>
        <w:spacing w:after="60" w:line="276" w:lineRule="auto"/>
      </w:pPr>
      <w:r>
        <w:rPr>
          <w:rFonts w:ascii="Calibri" w:hAnsi="Calibri"/>
          <w:b/>
          <w:sz w:val="22"/>
        </w:rPr>
        <w:t xml:space="preserve">Signal 2: Amortization Horizon: </w:t>
      </w:r>
      <w:r>
        <w:rPr>
          <w:rFonts w:ascii="Calibri" w:hAnsi="Calibri"/>
          <w:sz w:val="22"/>
        </w:rPr>
        <w:t>Median loan duration for defaulters was 30 months compared to 18 months for repayers. Extended tenure compounds exposure to life shocks (unemployment, illness).</w:t>
      </w:r>
    </w:p>
    <w:p>
      <w:pPr>
        <w:pStyle w:val="ListBullet"/>
        <w:spacing w:after="60" w:line="276" w:lineRule="auto"/>
      </w:pPr>
      <w:r>
        <w:rPr>
          <w:rFonts w:ascii="Calibri" w:hAnsi="Calibri"/>
          <w:b/>
          <w:sz w:val="22"/>
        </w:rPr>
        <w:t xml:space="preserve">Signal 3: Savings Buffer Resilience: </w:t>
      </w:r>
      <w:r>
        <w:rPr>
          <w:rFonts w:ascii="Calibri" w:hAnsi="Calibri"/>
          <w:sz w:val="22"/>
        </w:rPr>
        <w:t>Applicants with savings &gt;= 1,000 DM maintained robust repayment even when requesting large credit amounts.</w:t>
      </w:r>
    </w:p>
    <w:p>
      <w:pPr>
        <w:spacing w:before="280" w:after="80"/>
      </w:pPr>
      <w:r>
        <w:rPr>
          <w:rFonts w:ascii="Calibri" w:hAnsi="Calibri"/>
          <w:b/>
          <w:color w:val="1E3A8A"/>
          <w:sz w:val="28"/>
        </w:rPr>
        <w:t>6. Machine Learning Methodology</w:t>
      </w:r>
    </w:p>
    <w:p>
      <w:pPr>
        <w:spacing w:after="120" w:line="276" w:lineRule="auto"/>
      </w:pPr>
      <w:r>
        <w:rPr>
          <w:rFonts w:ascii="Calibri" w:hAnsi="Calibri"/>
          <w:sz w:val="22"/>
        </w:rPr>
        <w:t>We evaluated multiple classifiers and selected Random Forest Classifier (n_estimators=100, max_depth=6) as the production estimator for several core reasons:</w:t>
      </w:r>
    </w:p>
    <w:p>
      <w:pPr>
        <w:pStyle w:val="ListBullet"/>
        <w:spacing w:after="60" w:line="276" w:lineRule="auto"/>
      </w:pPr>
      <w:r>
        <w:rPr>
          <w:rFonts w:ascii="Calibri" w:hAnsi="Calibri"/>
          <w:b/>
          <w:sz w:val="22"/>
        </w:rPr>
        <w:t xml:space="preserve">Non-Linearity &amp; Interactions: </w:t>
      </w:r>
      <w:r>
        <w:rPr>
          <w:rFonts w:ascii="Calibri" w:hAnsi="Calibri"/>
          <w:sz w:val="22"/>
        </w:rPr>
        <w:t>Credit risk involves complex multi-way interactions (e.g., high loan amount coupled with low savings). Tree ensembles naturally capture non-linear relationships without manual feature polynomialization.</w:t>
      </w:r>
    </w:p>
    <w:p>
      <w:pPr>
        <w:pStyle w:val="ListBullet"/>
        <w:spacing w:after="60" w:line="276" w:lineRule="auto"/>
      </w:pPr>
      <w:r>
        <w:rPr>
          <w:rFonts w:ascii="Calibri" w:hAnsi="Calibri"/>
          <w:b/>
          <w:sz w:val="22"/>
        </w:rPr>
        <w:t xml:space="preserve">Robustness to Outliers: </w:t>
      </w:r>
      <w:r>
        <w:rPr>
          <w:rFonts w:ascii="Calibri" w:hAnsi="Calibri"/>
          <w:sz w:val="22"/>
        </w:rPr>
        <w:t>Tree partitioning is invariant to monotonic transformations, preventing extreme loan amounts from skewing decision boundaries.</w:t>
      </w:r>
    </w:p>
    <w:p>
      <w:pPr>
        <w:pStyle w:val="ListBullet"/>
        <w:spacing w:after="60" w:line="276" w:lineRule="auto"/>
      </w:pPr>
      <w:r>
        <w:rPr>
          <w:rFonts w:ascii="Calibri" w:hAnsi="Calibri"/>
          <w:b/>
          <w:sz w:val="22"/>
        </w:rPr>
        <w:t xml:space="preserve">Balanced Class Weighting: </w:t>
      </w:r>
      <w:r>
        <w:rPr>
          <w:rFonts w:ascii="Calibri" w:hAnsi="Calibri"/>
          <w:sz w:val="22"/>
        </w:rPr>
        <w:t>Configured with class_weight="balanced", assigning dynamic loss penalties (w_bad ≈ 1.67 vs w_good ≈ 0.71). This penalizes misclassified defaulters 2.35x more heavily than false alarms.</w:t>
      </w:r>
    </w:p>
    <w:p>
      <w:pPr>
        <w:spacing w:before="280" w:after="80"/>
      </w:pPr>
      <w:r>
        <w:rPr>
          <w:rFonts w:ascii="Calibri" w:hAnsi="Calibri"/>
          <w:b/>
          <w:color w:val="1E3A8A"/>
          <w:sz w:val="28"/>
        </w:rPr>
        <w:t>7. Model Evaluation &amp; Performance</w:t>
      </w:r>
    </w:p>
    <w:p>
      <w:pPr>
        <w:spacing w:after="120" w:line="276" w:lineRule="auto"/>
      </w:pPr>
      <w:r>
        <w:rPr>
          <w:rFonts w:ascii="Calibri" w:hAnsi="Calibri"/>
          <w:sz w:val="22"/>
        </w:rPr>
        <w:t>The model was evaluated on the 200 unseen holdout applicants (140 Good, 60 Bad):</w:t>
      </w:r>
    </w:p>
    <w:p>
      <w:pPr>
        <w:pStyle w:val="ListBullet"/>
        <w:spacing w:after="60" w:line="276" w:lineRule="auto"/>
      </w:pPr>
      <w:r>
        <w:rPr>
          <w:rFonts w:ascii="Calibri" w:hAnsi="Calibri"/>
          <w:b/>
          <w:sz w:val="22"/>
        </w:rPr>
        <w:t xml:space="preserve">Defaulter Recall (Primary KPI): </w:t>
      </w:r>
      <w:r>
        <w:rPr>
          <w:rFonts w:ascii="Calibri" w:hAnsi="Calibri"/>
          <w:sz w:val="22"/>
        </w:rPr>
        <w:t>71.7% (Successfully flagged 43 out of 60 actual defaulters).</w:t>
      </w:r>
    </w:p>
    <w:p>
      <w:pPr>
        <w:pStyle w:val="ListBullet"/>
        <w:spacing w:after="60" w:line="276" w:lineRule="auto"/>
      </w:pPr>
      <w:r>
        <w:rPr>
          <w:rFonts w:ascii="Calibri" w:hAnsi="Calibri"/>
          <w:b/>
          <w:sz w:val="22"/>
        </w:rPr>
        <w:t xml:space="preserve">Overall Accuracy: </w:t>
      </w:r>
      <w:r>
        <w:rPr>
          <w:rFonts w:ascii="Calibri" w:hAnsi="Calibri"/>
          <w:sz w:val="22"/>
        </w:rPr>
        <w:t>70.0% (140 correct classifications out of 200).</w:t>
      </w:r>
    </w:p>
    <w:p>
      <w:pPr>
        <w:pStyle w:val="ListBullet"/>
        <w:spacing w:after="60" w:line="276" w:lineRule="auto"/>
      </w:pPr>
      <w:r>
        <w:rPr>
          <w:rFonts w:ascii="Calibri" w:hAnsi="Calibri"/>
          <w:b/>
          <w:sz w:val="22"/>
        </w:rPr>
        <w:t xml:space="preserve">Defaulter Precision: </w:t>
      </w:r>
      <w:r>
        <w:rPr>
          <w:rFonts w:ascii="Calibri" w:hAnsi="Calibri"/>
          <w:sz w:val="22"/>
        </w:rPr>
        <w:t>50.0% (43 True Positives vs. 43 False Positives).</w:t>
      </w:r>
    </w:p>
    <w:p>
      <w:pPr>
        <w:pStyle w:val="ListBullet"/>
        <w:spacing w:after="60" w:line="276" w:lineRule="auto"/>
      </w:pPr>
      <w:r>
        <w:rPr>
          <w:rFonts w:ascii="Calibri" w:hAnsi="Calibri"/>
          <w:b/>
          <w:sz w:val="22"/>
        </w:rPr>
        <w:t xml:space="preserve">F1-Score: </w:t>
      </w:r>
      <w:r>
        <w:rPr>
          <w:rFonts w:ascii="Calibri" w:hAnsi="Calibri"/>
          <w:sz w:val="22"/>
        </w:rPr>
        <w:t>0.589.</w:t>
      </w:r>
    </w:p>
    <w:p>
      <w:pPr>
        <w:pStyle w:val="ListBullet"/>
        <w:spacing w:after="60" w:line="276" w:lineRule="auto"/>
      </w:pPr>
      <w:r>
        <w:rPr>
          <w:rFonts w:ascii="Calibri" w:hAnsi="Calibri"/>
          <w:b/>
          <w:sz w:val="22"/>
        </w:rPr>
        <w:t xml:space="preserve">Confusion Matrix Breakdown: </w:t>
      </w:r>
      <w:r>
        <w:rPr>
          <w:rFonts w:ascii="Calibri" w:hAnsi="Calibri"/>
          <w:sz w:val="22"/>
        </w:rPr>
        <w:t>True Negatives: 97 | False Positives: 43 | False Negatives: 17 | True Positives: 43.</w:t>
      </w:r>
    </w:p>
    <w:p>
      <w:pPr>
        <w:spacing w:after="120" w:line="276" w:lineRule="auto"/>
      </w:pPr>
      <w:r>
        <w:rPr>
          <w:rFonts w:ascii="Calibri" w:hAnsi="Calibri"/>
          <w:sz w:val="22"/>
        </w:rPr>
        <w:t>Crucially, False Negatives were restricted to only 17 cases out of 60, successfully preventing over 71% of potential credit losses.</w:t>
      </w:r>
    </w:p>
    <w:p>
      <w:pPr>
        <w:spacing w:before="280" w:after="80"/>
      </w:pPr>
      <w:r>
        <w:rPr>
          <w:rFonts w:ascii="Calibri" w:hAnsi="Calibri"/>
          <w:b/>
          <w:color w:val="1E3A8A"/>
          <w:sz w:val="28"/>
        </w:rPr>
        <w:t>8. Streamlit Application Architecture</w:t>
      </w:r>
    </w:p>
    <w:p>
      <w:pPr>
        <w:spacing w:after="120" w:line="276" w:lineRule="auto"/>
      </w:pPr>
      <w:r>
        <w:rPr>
          <w:rFonts w:ascii="Calibri" w:hAnsi="Calibri"/>
          <w:sz w:val="22"/>
        </w:rPr>
        <w:t>The fitted pipeline was serialized into model.pkl via joblib and embedded within a modern 3-page Streamlit web platform:</w:t>
      </w:r>
    </w:p>
    <w:p>
      <w:pPr>
        <w:pStyle w:val="ListBullet"/>
        <w:spacing w:after="60" w:line="276" w:lineRule="auto"/>
      </w:pPr>
      <w:r>
        <w:rPr>
          <w:rFonts w:ascii="Calibri" w:hAnsi="Calibri"/>
          <w:b/>
          <w:sz w:val="22"/>
        </w:rPr>
        <w:t xml:space="preserve">Page 1: Executive Overview: </w:t>
      </w:r>
      <w:r>
        <w:rPr>
          <w:rFonts w:ascii="Calibri" w:hAnsi="Calibri"/>
          <w:sz w:val="22"/>
        </w:rPr>
        <w:t>Presents the business context, asymmetric cost rationale, and high-level KPI cards.</w:t>
      </w:r>
    </w:p>
    <w:p>
      <w:pPr>
        <w:pStyle w:val="ListBullet"/>
        <w:spacing w:after="60" w:line="276" w:lineRule="auto"/>
      </w:pPr>
      <w:r>
        <w:rPr>
          <w:rFonts w:ascii="Calibri" w:hAnsi="Calibri"/>
          <w:b/>
          <w:sz w:val="22"/>
        </w:rPr>
        <w:t xml:space="preserve">Page 2: Portfolio Analytics: </w:t>
      </w:r>
      <w:r>
        <w:rPr>
          <w:rFonts w:ascii="Calibri" w:hAnsi="Calibri"/>
          <w:sz w:val="22"/>
        </w:rPr>
        <w:t>Interactive data exploration visualizing checking account solvency curves, tenure boxplots, and class distributions.</w:t>
      </w:r>
    </w:p>
    <w:p>
      <w:pPr>
        <w:pStyle w:val="ListBullet"/>
        <w:spacing w:after="60" w:line="276" w:lineRule="auto"/>
      </w:pPr>
      <w:r>
        <w:rPr>
          <w:rFonts w:ascii="Calibri" w:hAnsi="Calibri"/>
          <w:b/>
          <w:sz w:val="22"/>
        </w:rPr>
        <w:t xml:space="preserve">Page 3: Underwriting Decision Engine: </w:t>
      </w:r>
      <w:r>
        <w:rPr>
          <w:rFonts w:ascii="Calibri" w:hAnsi="Calibri"/>
          <w:sz w:val="22"/>
        </w:rPr>
        <w:t>Point-of-sale portal where loan officers input borrower credentials and receive real-time probability scores and triaged directives.</w:t>
      </w:r>
    </w:p>
    <w:p>
      <w:pPr>
        <w:spacing w:before="280" w:after="80"/>
      </w:pPr>
      <w:r>
        <w:rPr>
          <w:rFonts w:ascii="Calibri" w:hAnsi="Calibri"/>
          <w:b/>
          <w:color w:val="1E3A8A"/>
          <w:sz w:val="28"/>
        </w:rPr>
        <w:t>9. Cloud Deployment</w:t>
      </w:r>
    </w:p>
    <w:p>
      <w:pPr>
        <w:spacing w:after="120" w:line="276" w:lineRule="auto"/>
      </w:pPr>
      <w:r>
        <w:rPr>
          <w:rFonts w:ascii="Calibri" w:hAnsi="Calibri"/>
          <w:sz w:val="22"/>
        </w:rPr>
        <w:t>The application is version-controlled on GitHub and deployed on Streamlit Community Cloud:</w:t>
      </w:r>
    </w:p>
    <w:p>
      <w:pPr>
        <w:pStyle w:val="ListBullet"/>
        <w:spacing w:after="60" w:line="276" w:lineRule="auto"/>
      </w:pPr>
      <w:r>
        <w:rPr>
          <w:rFonts w:ascii="Calibri" w:hAnsi="Calibri"/>
          <w:b/>
          <w:sz w:val="22"/>
        </w:rPr>
        <w:t xml:space="preserve">CI/CD Integration: </w:t>
      </w:r>
      <w:r>
        <w:rPr>
          <w:rFonts w:ascii="Calibri" w:hAnsi="Calibri"/>
          <w:sz w:val="22"/>
        </w:rPr>
        <w:t>Any commit pushed to the main branch automatically triggers container rebuilding and zero-downtime redeployment.</w:t>
      </w:r>
    </w:p>
    <w:p>
      <w:pPr>
        <w:pStyle w:val="ListBullet"/>
        <w:spacing w:after="60" w:line="276" w:lineRule="auto"/>
      </w:pPr>
      <w:r>
        <w:rPr>
          <w:rFonts w:ascii="Calibri" w:hAnsi="Calibri"/>
          <w:b/>
          <w:sz w:val="22"/>
        </w:rPr>
        <w:t xml:space="preserve">Environment Reproducibility: </w:t>
      </w:r>
      <w:r>
        <w:rPr>
          <w:rFonts w:ascii="Calibri" w:hAnsi="Calibri"/>
          <w:sz w:val="22"/>
        </w:rPr>
        <w:t>dependencies are locked via requirements.txt, ensuring identical execution across cloud runtime environments.</w:t>
      </w:r>
    </w:p>
    <w:p>
      <w:pPr>
        <w:spacing w:before="280" w:after="80"/>
      </w:pPr>
      <w:r>
        <w:rPr>
          <w:rFonts w:ascii="Calibri" w:hAnsi="Calibri"/>
          <w:b/>
          <w:color w:val="1E3A8A"/>
          <w:sz w:val="28"/>
        </w:rPr>
        <w:t>10. Key Business Insights</w:t>
      </w:r>
    </w:p>
    <w:p>
      <w:pPr>
        <w:pStyle w:val="ListBullet"/>
        <w:spacing w:after="60" w:line="276" w:lineRule="auto"/>
      </w:pPr>
      <w:r>
        <w:rPr>
          <w:rFonts w:ascii="Calibri" w:hAnsi="Calibri"/>
          <w:b/>
          <w:sz w:val="22"/>
        </w:rPr>
        <w:t xml:space="preserve">Insight 1: </w:t>
      </w:r>
      <w:r>
        <w:rPr>
          <w:rFonts w:ascii="Calibri" w:hAnsi="Calibri"/>
          <w:sz w:val="22"/>
        </w:rPr>
        <w:t>Liquid cash buffers (checking and savings) are far more predictive of short-term credit solvency than demographic age.</w:t>
      </w:r>
    </w:p>
    <w:p>
      <w:pPr>
        <w:pStyle w:val="ListBullet"/>
        <w:spacing w:after="60" w:line="276" w:lineRule="auto"/>
      </w:pPr>
      <w:r>
        <w:rPr>
          <w:rFonts w:ascii="Calibri" w:hAnsi="Calibri"/>
          <w:b/>
          <w:sz w:val="22"/>
        </w:rPr>
        <w:t xml:space="preserve">Insight 2: </w:t>
      </w:r>
      <w:r>
        <w:rPr>
          <w:rFonts w:ascii="Calibri" w:hAnsi="Calibri"/>
          <w:sz w:val="22"/>
        </w:rPr>
        <w:t>Loan tenure is a risk multiplier. Restricting loan horizons to under 24 months reduces default exposure substantially.</w:t>
      </w:r>
    </w:p>
    <w:p>
      <w:pPr>
        <w:pStyle w:val="ListBullet"/>
        <w:spacing w:after="60" w:line="276" w:lineRule="auto"/>
      </w:pPr>
      <w:r>
        <w:rPr>
          <w:rFonts w:ascii="Calibri" w:hAnsi="Calibri"/>
          <w:b/>
          <w:sz w:val="22"/>
        </w:rPr>
        <w:t xml:space="preserve">Insight 3: </w:t>
      </w:r>
      <w:r>
        <w:rPr>
          <w:rFonts w:ascii="Calibri" w:hAnsi="Calibri"/>
          <w:sz w:val="22"/>
        </w:rPr>
        <w:t>Threshold tuning enables banks to adapt to shifting macroeconomic cycles: tightening approval thresholds during recessions and expanding them during expansionary phases.</w:t>
      </w:r>
    </w:p>
    <w:p>
      <w:pPr>
        <w:spacing w:before="280" w:after="80"/>
      </w:pPr>
      <w:r>
        <w:rPr>
          <w:rFonts w:ascii="Calibri" w:hAnsi="Calibri"/>
          <w:b/>
          <w:color w:val="1E3A8A"/>
          <w:sz w:val="28"/>
        </w:rPr>
        <w:t>11. Limitations</w:t>
      </w:r>
    </w:p>
    <w:p>
      <w:pPr>
        <w:pStyle w:val="ListBullet"/>
        <w:spacing w:after="60" w:line="276" w:lineRule="auto"/>
      </w:pPr>
      <w:r>
        <w:rPr>
          <w:rFonts w:ascii="Calibri" w:hAnsi="Calibri"/>
          <w:b/>
          <w:sz w:val="22"/>
        </w:rPr>
        <w:t xml:space="preserve">Sample Size: </w:t>
      </w:r>
      <w:r>
        <w:rPr>
          <w:rFonts w:ascii="Calibri" w:hAnsi="Calibri"/>
          <w:sz w:val="22"/>
        </w:rPr>
        <w:t>The model is trained on 1,000 historical records; commercial enterprise scorecards typically utilize millions of bureau records.</w:t>
      </w:r>
    </w:p>
    <w:p>
      <w:pPr>
        <w:pStyle w:val="ListBullet"/>
        <w:spacing w:after="60" w:line="276" w:lineRule="auto"/>
      </w:pPr>
      <w:r>
        <w:rPr>
          <w:rFonts w:ascii="Calibri" w:hAnsi="Calibri"/>
          <w:b/>
          <w:sz w:val="22"/>
        </w:rPr>
        <w:t xml:space="preserve">Macroeconomic Omission: </w:t>
      </w:r>
      <w:r>
        <w:rPr>
          <w:rFonts w:ascii="Calibri" w:hAnsi="Calibri"/>
          <w:sz w:val="22"/>
        </w:rPr>
        <w:t>The dataset lacks external macro factors (inflation rate, central bank prime lending rate, regional unemployment rates).</w:t>
      </w:r>
    </w:p>
    <w:p>
      <w:pPr>
        <w:pStyle w:val="ListBullet"/>
        <w:spacing w:after="60" w:line="276" w:lineRule="auto"/>
      </w:pPr>
      <w:r>
        <w:rPr>
          <w:rFonts w:ascii="Calibri" w:hAnsi="Calibri"/>
          <w:b/>
          <w:sz w:val="22"/>
        </w:rPr>
        <w:t xml:space="preserve">Temporal Drift: </w:t>
      </w:r>
      <w:r>
        <w:rPr>
          <w:rFonts w:ascii="Calibri" w:hAnsi="Calibri"/>
          <w:sz w:val="22"/>
        </w:rPr>
        <w:t>Consumer repayment behaviors shift over time; the model requires quarterly performance re-validation.</w:t>
      </w:r>
    </w:p>
    <w:p>
      <w:pPr>
        <w:spacing w:before="280" w:after="80"/>
      </w:pPr>
      <w:r>
        <w:rPr>
          <w:rFonts w:ascii="Calibri" w:hAnsi="Calibri"/>
          <w:b/>
          <w:color w:val="1E3A8A"/>
          <w:sz w:val="28"/>
        </w:rPr>
        <w:t>12. Recommendations for Implementation</w:t>
      </w:r>
    </w:p>
    <w:p>
      <w:pPr>
        <w:pStyle w:val="ListBullet"/>
        <w:spacing w:after="60" w:line="276" w:lineRule="auto"/>
      </w:pPr>
      <w:r>
        <w:rPr>
          <w:rFonts w:ascii="Calibri" w:hAnsi="Calibri"/>
          <w:b/>
          <w:sz w:val="22"/>
        </w:rPr>
        <w:t xml:space="preserve">Human-in-the-Loop Framework: </w:t>
      </w:r>
      <w:r>
        <w:rPr>
          <w:rFonts w:ascii="Calibri" w:hAnsi="Calibri"/>
          <w:sz w:val="22"/>
        </w:rPr>
        <w:t>Deploy as a decision-support tool rather than an autonomous decision-maker.</w:t>
      </w:r>
    </w:p>
    <w:p>
      <w:pPr>
        <w:pStyle w:val="ListBullet"/>
        <w:spacing w:after="60" w:line="276" w:lineRule="auto"/>
      </w:pPr>
      <w:r>
        <w:rPr>
          <w:rFonts w:ascii="Calibri" w:hAnsi="Calibri"/>
          <w:b/>
          <w:sz w:val="22"/>
        </w:rPr>
        <w:t xml:space="preserve">Triaged Workflow: </w:t>
      </w:r>
      <w:r>
        <w:rPr>
          <w:rFonts w:ascii="Calibri" w:hAnsi="Calibri"/>
          <w:sz w:val="22"/>
        </w:rPr>
        <w:t>Automate straight-through processing for Green Tier applicants (&lt;35% risk), while routing Yellow Tier applicants (35%-55%) to senior underwriters for co-signer or collateral verification.</w:t>
      </w:r>
    </w:p>
    <w:p>
      <w:pPr>
        <w:pStyle w:val="ListBullet"/>
        <w:spacing w:after="60" w:line="276" w:lineRule="auto"/>
      </w:pPr>
      <w:r>
        <w:rPr>
          <w:rFonts w:ascii="Calibri" w:hAnsi="Calibri"/>
          <w:b/>
          <w:sz w:val="22"/>
        </w:rPr>
        <w:t xml:space="preserve">Dynamic Pricing: </w:t>
      </w:r>
      <w:r>
        <w:rPr>
          <w:rFonts w:ascii="Calibri" w:hAnsi="Calibri"/>
          <w:sz w:val="22"/>
        </w:rPr>
        <w:t>Incorporate risk-based pricing, adding interest rate spreads (e.g., +200 bps) to borderline approvals to compensate for residual credit risk.</w:t>
      </w:r>
    </w:p>
    <w:p>
      <w:pPr>
        <w:spacing w:before="280" w:after="80"/>
      </w:pPr>
      <w:r>
        <w:rPr>
          <w:rFonts w:ascii="Calibri" w:hAnsi="Calibri"/>
          <w:b/>
          <w:color w:val="1E3A8A"/>
          <w:sz w:val="28"/>
        </w:rPr>
        <w:t>13. Conclusion</w:t>
      </w:r>
    </w:p>
    <w:p>
      <w:pPr>
        <w:spacing w:after="120" w:line="276" w:lineRule="auto"/>
      </w:pPr>
      <w:r>
        <w:rPr>
          <w:rFonts w:ascii="Calibri" w:hAnsi="Calibri"/>
          <w:sz w:val="22"/>
        </w:rPr>
        <w:t>This project demonstrates the full lifecycle of a business analytics solution: translating a strategic banking dilemma into an empirical machine learning pipeline and deploying an interactive decision tool. By calibrating Random Forest with balanced class weights, the system catches 71.7% of high-risk defaulters, balancing balance-sheet protection with customer acquisition margin.</w:t>
      </w:r>
    </w:p>
    <w:p>
      <w:pPr>
        <w:spacing w:before="280" w:after="80"/>
      </w:pPr>
      <w:r>
        <w:rPr>
          <w:rFonts w:ascii="Calibri" w:hAnsi="Calibri"/>
          <w:b/>
          <w:color w:val="1E3A8A"/>
          <w:sz w:val="28"/>
        </w:rPr>
        <w:t>14. Project Repository &amp; Deployment Links</w:t>
      </w:r>
    </w:p>
    <w:p>
      <w:pPr>
        <w:pStyle w:val="ListBullet"/>
        <w:spacing w:after="60" w:line="276" w:lineRule="auto"/>
      </w:pPr>
      <w:r>
        <w:rPr>
          <w:rFonts w:ascii="Calibri" w:hAnsi="Calibri"/>
          <w:b/>
          <w:sz w:val="22"/>
        </w:rPr>
        <w:t xml:space="preserve">GitHub Repository: </w:t>
      </w:r>
      <w:r>
        <w:rPr>
          <w:rFonts w:ascii="Calibri" w:hAnsi="Calibri"/>
          <w:sz w:val="22"/>
        </w:rPr>
        <w:t>https://github.com/Akshit226/streamlit-app-MLBA-02-</w:t>
      </w:r>
    </w:p>
    <w:p>
      <w:pPr>
        <w:pStyle w:val="ListBullet"/>
        <w:spacing w:after="60" w:line="276" w:lineRule="auto"/>
      </w:pPr>
      <w:r>
        <w:rPr>
          <w:rFonts w:ascii="Calibri" w:hAnsi="Calibri"/>
          <w:b/>
          <w:sz w:val="22"/>
        </w:rPr>
        <w:t xml:space="preserve">Live Application URL: </w:t>
      </w:r>
      <w:r>
        <w:rPr>
          <w:rFonts w:ascii="Calibri" w:hAnsi="Calibri"/>
          <w:sz w:val="22"/>
        </w:rPr>
        <w:t>https://streamlit-app-mlba-02.streamlit.app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