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F6082" w14:textId="77777777" w:rsidR="00EA1E48" w:rsidRDefault="00ED7484">
      <w:pPr>
        <w:pStyle w:val="Title"/>
        <w:jc w:val="center"/>
      </w:pPr>
      <w:r>
        <w:t>Week 6 Task: End-to-End Data Analysis Project and Report Compilation</w:t>
      </w:r>
    </w:p>
    <w:p w14:paraId="41060D81" w14:textId="77777777" w:rsidR="00EA1E48" w:rsidRDefault="00ED7484">
      <w:pPr>
        <w:pStyle w:val="Heading1"/>
      </w:pPr>
      <w:r>
        <w:t>Executive Summary</w:t>
      </w:r>
    </w:p>
    <w:p w14:paraId="2040E322" w14:textId="77777777" w:rsidR="00EA1E48" w:rsidRDefault="00ED7484">
      <w:r>
        <w:t>This capstone project presents a comprehensive, end-to-end data analytics workflow applied to the 'Telco Customer Churn' dataset. The primary objective was to identify the key drivers of customer attrition and develop a predictive framework to assist retention efforts. Through rigorous data cleaning, exploratory visualization, statistical hypothesis testing, and the deployment of a fine-tuned Random Forest Machine Learning model, the analysis revealed that short-term (month-to-month) contracts and high init</w:t>
      </w:r>
      <w:r>
        <w:t>ial monthly charges are the most significant predictors of churn. The final predictive model achieved robust performance, providing a highly actionable tool for the business to preemptively flag at-risk customers.</w:t>
      </w:r>
    </w:p>
    <w:p w14:paraId="74565DF3" w14:textId="77777777" w:rsidR="00EA1E48" w:rsidRDefault="00ED7484">
      <w:pPr>
        <w:pStyle w:val="Heading1"/>
      </w:pPr>
      <w:r>
        <w:t>1. Introduction and Data Exploration (Week 1)</w:t>
      </w:r>
    </w:p>
    <w:p w14:paraId="305F21DF" w14:textId="77777777" w:rsidR="00EA1E48" w:rsidRDefault="00ED7484">
      <w:r>
        <w:t>The project began with importing the dataset (7,043 observations, 21 variables) using Pandas. Initial Exploratory Data Analysis (EDA) highlighted a baseline churn rate of 26.5%. The core business problem was defined: identifying predictive factors of churn to minimize recurring revenue leakage.</w:t>
      </w:r>
    </w:p>
    <w:p w14:paraId="4CA345BF" w14:textId="77777777" w:rsidR="00EA1E48" w:rsidRDefault="00ED7484">
      <w:pPr>
        <w:pStyle w:val="Heading1"/>
      </w:pPr>
      <w:r>
        <w:t>2. Data Cleaning and Pre-processing (Week 2)</w:t>
      </w:r>
    </w:p>
    <w:p w14:paraId="2EB79325" w14:textId="77777777" w:rsidR="00EA1E48" w:rsidRDefault="00ED7484">
      <w:r>
        <w:t>Data integrity was established by resolving structural anomalies. Hidden blank spaces in the 'TotalCharges' column were coerced to NaN and addressed via median imputation to preserve data distribution. The 'customerID' column was dropped to prevent model noise. Feature engineering involved mapping binary variables to 0/1, applying One-Hot Encoding to multi-class variables, and standardizing continuous numerical features using Scikit-Learn's StandardScaler.</w:t>
      </w:r>
    </w:p>
    <w:p w14:paraId="5394B55A" w14:textId="77777777" w:rsidR="00EA1E48" w:rsidRDefault="00ED7484">
      <w:pPr>
        <w:pStyle w:val="Heading1"/>
      </w:pPr>
      <w:r>
        <w:t>3. Data Visualization (Week 3)</w:t>
      </w:r>
    </w:p>
    <w:p w14:paraId="0AFE1F68" w14:textId="77777777" w:rsidR="00EA1E48" w:rsidRDefault="00ED7484">
      <w:r>
        <w:t>Visual narratives were constructed using Matplotlib and Seaborn:</w:t>
      </w:r>
    </w:p>
    <w:p w14:paraId="520786DD" w14:textId="77777777" w:rsidR="00EA1E48" w:rsidRDefault="00ED7484">
      <w:pPr>
        <w:pStyle w:val="ListBullet"/>
      </w:pPr>
      <w:r>
        <w:t>Bar Charts revealed a disproportionately high churn rate among month-to-month contract holders compared to long-term subscribers.</w:t>
      </w:r>
    </w:p>
    <w:p w14:paraId="05CD9AF7" w14:textId="77777777" w:rsidR="00EA1E48" w:rsidRDefault="00ED7484">
      <w:pPr>
        <w:pStyle w:val="ListBullet"/>
      </w:pPr>
      <w:r>
        <w:t>Scatter Plots indicated that customers experiencing high initial Monthly Charges (relative to their Total Charges) are highly susceptible to early attrition.</w:t>
      </w:r>
    </w:p>
    <w:p w14:paraId="3BBE9E91" w14:textId="77777777" w:rsidR="00EA1E48" w:rsidRDefault="00ED7484">
      <w:pPr>
        <w:pStyle w:val="ListBullet"/>
      </w:pPr>
      <w:r>
        <w:t>A Correlation Heatmap confirmed the expected multicollinearity between tenure and total charges, guiding feature selection.</w:t>
      </w:r>
    </w:p>
    <w:p w14:paraId="1AD5FA4B" w14:textId="77777777" w:rsidR="00EA1E48" w:rsidRDefault="00ED7484">
      <w:pPr>
        <w:pStyle w:val="Heading1"/>
      </w:pPr>
      <w:r>
        <w:t>4. Statistical Analysis and Hypothesis Testing (Week 4)</w:t>
      </w:r>
    </w:p>
    <w:p w14:paraId="1DEFCC04" w14:textId="77777777" w:rsidR="00EA1E48" w:rsidRDefault="00ED7484">
      <w:r>
        <w:t>Exploratory insights were subjected to rigorous mathematical validation using SciPy:</w:t>
      </w:r>
    </w:p>
    <w:p w14:paraId="137274D8" w14:textId="77777777" w:rsidR="00EA1E48" w:rsidRDefault="00ED7484">
      <w:pPr>
        <w:pStyle w:val="ListBullet"/>
      </w:pPr>
      <w:r>
        <w:t>An Independent T-Test confirmed (p-value &lt; 0.05) that churned customers face statistically significantly higher average monthly charges than retained ones.</w:t>
      </w:r>
    </w:p>
    <w:p w14:paraId="28F94F92" w14:textId="77777777" w:rsidR="00EA1E48" w:rsidRDefault="00ED7484">
      <w:pPr>
        <w:pStyle w:val="ListBullet"/>
      </w:pPr>
      <w:r>
        <w:t>A Chi-Square Test validated a highly significant dependency between Contract Type and Churn status, rejecting the null hypothesis of independence.</w:t>
      </w:r>
    </w:p>
    <w:p w14:paraId="7F6E6A5A" w14:textId="77777777" w:rsidR="00EA1E48" w:rsidRDefault="00ED7484">
      <w:pPr>
        <w:pStyle w:val="Heading1"/>
      </w:pPr>
      <w:r>
        <w:t>5. Machine Learning Implementation (Week 5)</w:t>
      </w:r>
    </w:p>
    <w:p w14:paraId="49F3087D" w14:textId="77777777" w:rsidR="00EA1E48" w:rsidRDefault="00ED7484">
      <w:r>
        <w:t>A Random Forest Classifier was selected for its robustness and ability to output feature importance. The data was split 80/20. GridSearchCV was utilized for hyperparameter tuning (optimizing 'n_estimators' and 'max_depth'), targeting the F1-score to account for class imbalance. The model was evaluated using a Confusion Matrix (to monitor false negatives) and an ROC Curve, yielding a strong AUC score that confirmed the model's diagnostic capability.</w:t>
      </w:r>
    </w:p>
    <w:p w14:paraId="0B997EC0" w14:textId="77777777" w:rsidR="00EA1E48" w:rsidRDefault="00ED7484">
      <w:pPr>
        <w:pStyle w:val="Heading1"/>
      </w:pPr>
      <w:r>
        <w:t>6. Conclusion and Final Recommendations</w:t>
      </w:r>
    </w:p>
    <w:p w14:paraId="1AA04F57" w14:textId="77777777" w:rsidR="00EA1E48" w:rsidRDefault="00ED7484">
      <w:r>
        <w:t>Based on the synthesized findings, the following strategic recommendations are proposed:</w:t>
      </w:r>
    </w:p>
    <w:p w14:paraId="131069F1" w14:textId="77777777" w:rsidR="00EA1E48" w:rsidRDefault="00ED7484">
      <w:pPr>
        <w:pStyle w:val="ListBullet"/>
      </w:pPr>
      <w:r>
        <w:t>Incentivize Long-Term Contracts: The data conclusively shows that month-to-month contracts are the highest risk factor. The business should offer targeted discounts or premium service upgrades to transition these customers to one-year or two-year commitments.</w:t>
      </w:r>
    </w:p>
    <w:p w14:paraId="77BCF1E7" w14:textId="77777777" w:rsidR="00EA1E48" w:rsidRDefault="00ED7484">
      <w:pPr>
        <w:pStyle w:val="ListBullet"/>
      </w:pPr>
      <w:r>
        <w:t>Review Pricing for New Customers: High monthly charges early in the customer lifecycle drive rapid churn. Implementing a phased billing approach or introductory promotional pricing could improve early-stage retention.</w:t>
      </w:r>
    </w:p>
    <w:p w14:paraId="26992354" w14:textId="77777777" w:rsidR="00EA1E48" w:rsidRDefault="00ED7484">
      <w:pPr>
        <w:pStyle w:val="ListBullet"/>
      </w:pPr>
      <w:r>
        <w:t>Deploy the Predictive Model: The Random Forest model should be integrated into the CRM system to automatically flag customers exhibiting high-risk profiles, allowing the retention team to intervene proactively before the customer cancels their service.</w:t>
      </w:r>
    </w:p>
    <w:sectPr w:rsidR="00EA1E4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0603753">
    <w:abstractNumId w:val="8"/>
  </w:num>
  <w:num w:numId="2" w16cid:durableId="1349718512">
    <w:abstractNumId w:val="6"/>
  </w:num>
  <w:num w:numId="3" w16cid:durableId="1788966977">
    <w:abstractNumId w:val="5"/>
  </w:num>
  <w:num w:numId="4" w16cid:durableId="1140659642">
    <w:abstractNumId w:val="4"/>
  </w:num>
  <w:num w:numId="5" w16cid:durableId="2111509402">
    <w:abstractNumId w:val="7"/>
  </w:num>
  <w:num w:numId="6" w16cid:durableId="506140479">
    <w:abstractNumId w:val="3"/>
  </w:num>
  <w:num w:numId="7" w16cid:durableId="1124428165">
    <w:abstractNumId w:val="2"/>
  </w:num>
  <w:num w:numId="8" w16cid:durableId="297345703">
    <w:abstractNumId w:val="1"/>
  </w:num>
  <w:num w:numId="9" w16cid:durableId="1233494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5B7B"/>
    <w:rsid w:val="0029639D"/>
    <w:rsid w:val="00326F90"/>
    <w:rsid w:val="00AA1D8D"/>
    <w:rsid w:val="00B47730"/>
    <w:rsid w:val="00CB0664"/>
    <w:rsid w:val="00EA1E48"/>
    <w:rsid w:val="00ED74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08A7F9"/>
  <w14:defaultImageDpi w14:val="300"/>
  <w15:docId w15:val="{032E0DD9-7F8F-5647-A1B6-FD2708711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592</Words>
  <Characters>3378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akshit3791@gmail.com</cp:lastModifiedBy>
  <cp:revision>2</cp:revision>
  <dcterms:created xsi:type="dcterms:W3CDTF">2026-07-18T10:58:00Z</dcterms:created>
  <dcterms:modified xsi:type="dcterms:W3CDTF">2026-07-18T10:58:00Z</dcterms:modified>
  <cp:category/>
</cp:coreProperties>
</file>