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b w:val="1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Historial de Cambios</w:t>
      </w:r>
    </w:p>
    <w:p w:rsidR="00000000" w:rsidDel="00000000" w:rsidP="00000000" w:rsidRDefault="00000000" w:rsidRPr="00000000" w14:paraId="00000003">
      <w:pPr>
        <w:pStyle w:val="Title"/>
        <w:jc w:val="left"/>
        <w:rPr>
          <w:sz w:val="20"/>
          <w:szCs w:val="20"/>
        </w:rPr>
      </w:pPr>
      <w:bookmarkStart w:colFirst="0" w:colLast="0" w:name="_heading=h.vqon9kxb3694" w:id="1"/>
      <w:bookmarkEnd w:id="1"/>
      <w:r w:rsidDel="00000000" w:rsidR="00000000" w:rsidRPr="00000000">
        <w:rPr>
          <w:rtl w:val="0"/>
        </w:rPr>
      </w:r>
    </w:p>
    <w:tbl>
      <w:tblPr>
        <w:tblStyle w:val="Table1"/>
        <w:tblW w:w="107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1440"/>
        <w:gridCol w:w="3555"/>
        <w:gridCol w:w="1785"/>
        <w:gridCol w:w="1230"/>
        <w:gridCol w:w="1545"/>
        <w:tblGridChange w:id="0">
          <w:tblGrid>
            <w:gridCol w:w="1200"/>
            <w:gridCol w:w="1440"/>
            <w:gridCol w:w="3555"/>
            <w:gridCol w:w="1785"/>
            <w:gridCol w:w="1230"/>
            <w:gridCol w:w="154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ind w:left="72" w:right="72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ind w:left="72" w:right="72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ind w:left="72" w:right="72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ind w:left="72" w:right="72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ind w:left="72" w:right="72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Aprobó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ind w:left="72" w:right="72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de Aprobación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ind w:left="72" w:right="7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ind w:left="72" w:right="7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26/02/2024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ind w:left="72" w:right="7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Creación de documento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ind w:right="7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Ernesto Aguilar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ind w:left="72" w:right="72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ind w:left="72" w:right="7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ind w:left="72" w:right="7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ind w:left="72" w:right="7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27/03/2024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ind w:left="72" w:right="7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Modificaciones a documento se hace como procedimientos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ind w:left="72" w:right="7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Ernesto Aguilar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ind w:left="72" w:right="72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ind w:left="72" w:right="7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ind w:left="72" w:right="7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ind w:left="72" w:right="7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18/04/2024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ind w:left="72" w:right="7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agregan los roles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ind w:left="72" w:right="7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Ernesto Aguilar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ind w:left="72" w:right="72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ind w:left="72" w:right="7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ind w:left="72" w:right="7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ind w:left="72" w:right="7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16/05/2024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ind w:left="72" w:right="7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aplican correcciones al documento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ind w:left="72" w:right="7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Ernesto Aguilar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ind w:left="72" w:right="72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ind w:left="72" w:right="7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ind w:left="72" w:right="7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ind w:left="72" w:right="7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20/05/2024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ind w:left="72" w:right="7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agrega el diseño, control de cambios  y roles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ind w:left="72" w:right="7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Ernesto Aguilar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ind w:left="72" w:right="72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ind w:left="1095" w:right="5235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ind w:left="72" w:right="7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ind w:left="72" w:right="7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2024/08/29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ind w:left="72" w:right="7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Corrección de textos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ind w:left="72" w:right="7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Ernesto Aguilar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ind w:left="72" w:right="72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ind w:left="72" w:right="7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ind w:left="72" w:right="72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ind w:left="72" w:right="72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ind w:left="72" w:right="7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ind w:left="72" w:right="7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ind w:left="72" w:right="72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ind w:left="72" w:right="7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ind w:left="72" w:right="72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ind w:left="72" w:right="72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ind w:left="72" w:right="7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ind w:left="72" w:right="7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ind w:left="72" w:right="72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ind w:left="72" w:right="7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ind w:left="72" w:right="72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ind w:left="72" w:right="72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ind w:left="72" w:right="7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ind w:left="72" w:right="7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ind w:left="72" w:right="72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ind w:left="72" w:right="7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ind w:left="72" w:right="72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ind w:left="72" w:right="7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ind w:left="72" w:right="7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ind w:left="72" w:right="7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ind w:left="72" w:right="72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ind w:left="72" w:right="7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ind w:left="72" w:right="72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ind w:left="72" w:right="7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ind w:left="72" w:right="7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ind w:left="72" w:right="7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ind w:left="72" w:right="72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ind w:left="72" w:right="7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ind w:left="72" w:right="72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ind w:left="72" w:right="7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ind w:left="72" w:right="7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ind w:left="72" w:right="7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ind w:left="72" w:right="72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ind w:left="72" w:right="7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ind w:left="72" w:right="72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ind w:left="72" w:right="7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ind w:left="72" w:right="7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ind w:left="72" w:right="7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ind w:left="72" w:right="72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ind w:left="72" w:right="7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Style w:val="Title"/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Mantener los componentes del sistema, procesos y desarrollos a la medida, con pruebas de forma periódica que puedan garantizar que los controles de seguridad continúen reflejando un entorno cambiante. </w:t>
      </w:r>
    </w:p>
    <w:p w:rsidR="00000000" w:rsidDel="00000000" w:rsidP="00000000" w:rsidRDefault="00000000" w:rsidRPr="00000000" w14:paraId="0000005B">
      <w:pPr>
        <w:tabs>
          <w:tab w:val="left" w:leader="none" w:pos="9705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Responsabilidades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"/>
            <w:tblW w:w="10980.0" w:type="dxa"/>
            <w:jc w:val="left"/>
            <w:tblLayout w:type="fixed"/>
            <w:tblLook w:val="0400"/>
          </w:tblPr>
          <w:tblGrid>
            <w:gridCol w:w="1980"/>
            <w:gridCol w:w="4080"/>
            <w:gridCol w:w="4920"/>
            <w:tblGridChange w:id="0">
              <w:tblGrid>
                <w:gridCol w:w="1980"/>
                <w:gridCol w:w="4080"/>
                <w:gridCol w:w="492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4472c4" w:val="clear"/>
                <w:vAlign w:val="center"/>
              </w:tcPr>
              <w:p w:rsidR="00000000" w:rsidDel="00000000" w:rsidP="00000000" w:rsidRDefault="00000000" w:rsidRPr="00000000" w14:paraId="0000005E">
                <w:pPr>
                  <w:jc w:val="center"/>
                  <w:rPr>
                    <w:rFonts w:ascii="Calibri" w:cs="Calibri" w:eastAsia="Calibri" w:hAnsi="Calibri"/>
                    <w:b w:val="1"/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color w:val="ffffff"/>
                    <w:sz w:val="22"/>
                    <w:szCs w:val="22"/>
                    <w:rtl w:val="0"/>
                  </w:rPr>
                  <w:t xml:space="preserve">Concepto/Rol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4472c4" w:val="clear"/>
                <w:vAlign w:val="center"/>
              </w:tcPr>
              <w:p w:rsidR="00000000" w:rsidDel="00000000" w:rsidP="00000000" w:rsidRDefault="00000000" w:rsidRPr="00000000" w14:paraId="0000005F">
                <w:pPr>
                  <w:jc w:val="center"/>
                  <w:rPr>
                    <w:rFonts w:ascii="Calibri" w:cs="Calibri" w:eastAsia="Calibri" w:hAnsi="Calibri"/>
                    <w:b w:val="1"/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color w:val="ffffff"/>
                    <w:sz w:val="22"/>
                    <w:szCs w:val="22"/>
                    <w:rtl w:val="0"/>
                  </w:rPr>
                  <w:t xml:space="preserve">Responsabilidad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4472c4" w:val="clear"/>
                <w:vAlign w:val="center"/>
              </w:tcPr>
              <w:p w:rsidR="00000000" w:rsidDel="00000000" w:rsidP="00000000" w:rsidRDefault="00000000" w:rsidRPr="00000000" w14:paraId="00000060">
                <w:pPr>
                  <w:jc w:val="center"/>
                  <w:rPr>
                    <w:rFonts w:ascii="Calibri" w:cs="Calibri" w:eastAsia="Calibri" w:hAnsi="Calibri"/>
                    <w:b w:val="1"/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color w:val="ffffff"/>
                    <w:sz w:val="22"/>
                    <w:szCs w:val="22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vMerge w:val="restart"/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061">
                <w:pPr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infraestructura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d9e1f2" w:val="clear"/>
                <w:vAlign w:val="center"/>
              </w:tcPr>
              <w:p w:rsidR="00000000" w:rsidDel="00000000" w:rsidP="00000000" w:rsidRDefault="00000000" w:rsidRPr="00000000" w14:paraId="00000062">
                <w:pPr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Resguardar y revisar los servicios de redes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d9e1f2" w:val="clear"/>
                <w:vAlign w:val="center"/>
              </w:tcPr>
              <w:p w:rsidR="00000000" w:rsidDel="00000000" w:rsidP="00000000" w:rsidRDefault="00000000" w:rsidRPr="00000000" w14:paraId="00000063">
                <w:pPr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Monitorear las redes y dispositivos conectados a la red interna 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064">
                <w:pPr>
                  <w:widowControl w:val="0"/>
                  <w:spacing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065">
                <w:pPr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Solicitar escaneos y atender incidencias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066">
                <w:pPr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solicitar y realizar los escaneos de seguridad,</w:t>
                </w:r>
              </w:p>
              <w:p w:rsidR="00000000" w:rsidDel="00000000" w:rsidP="00000000" w:rsidRDefault="00000000" w:rsidRPr="00000000" w14:paraId="00000067">
                <w:pPr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Catalogar las incidencias encontradas </w:t>
                </w:r>
              </w:p>
              <w:p w:rsidR="00000000" w:rsidDel="00000000" w:rsidP="00000000" w:rsidRDefault="00000000" w:rsidRPr="00000000" w14:paraId="00000068">
                <w:pPr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Dar seguimiento a cada una de las incidencias encontradas hasta su solución. </w:t>
                </w:r>
              </w:p>
            </w:tc>
          </w:tr>
          <w:tr>
            <w:trPr>
              <w:cantSplit w:val="0"/>
              <w:trHeight w:val="765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069">
                <w:pPr>
                  <w:widowControl w:val="0"/>
                  <w:spacing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d9e1f2" w:val="clear"/>
                <w:vAlign w:val="center"/>
              </w:tcPr>
              <w:p w:rsidR="00000000" w:rsidDel="00000000" w:rsidP="00000000" w:rsidRDefault="00000000" w:rsidRPr="00000000" w14:paraId="0000006A">
                <w:pPr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Administración de servicios de monitoreo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d9e1f2" w:val="clear"/>
                <w:vAlign w:val="center"/>
              </w:tcPr>
              <w:p w:rsidR="00000000" w:rsidDel="00000000" w:rsidP="00000000" w:rsidRDefault="00000000" w:rsidRPr="00000000" w14:paraId="0000006B">
                <w:pPr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Mediante el uso de las herramientas de MS Azure, monitorear y atender de forma inmediata las alertas implementadas 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e1f2" w:val="clear"/>
                <w:vAlign w:val="center"/>
              </w:tcPr>
              <w:p w:rsidR="00000000" w:rsidDel="00000000" w:rsidP="00000000" w:rsidRDefault="00000000" w:rsidRPr="00000000" w14:paraId="0000006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MS Azure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06D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administración de alto nivel de los componentes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06E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Probar periódicamente los sistemas y procesos de seguridad.</w:t>
                </w:r>
              </w:p>
              <w:p w:rsidR="00000000" w:rsidDel="00000000" w:rsidP="00000000" w:rsidRDefault="00000000" w:rsidRPr="00000000" w14:paraId="0000006F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E-Soluciones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Infraestructura mantiene un control de los dispositivos inalámbricos dentro de las instalaciones de E-soluciones.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Infraestructura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Revisa de forma periódica que no existan dispositivos inalámbricos no autorizados.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Revisa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 identifica los dispositivos conectados a la red inalámbrica garantizando que solo aquellos dispositivos permitidos </w:t>
      </w:r>
      <w:r w:rsidDel="00000000" w:rsidR="00000000" w:rsidRPr="00000000">
        <w:rPr>
          <w:rtl w:val="0"/>
        </w:rPr>
        <w:t xml:space="preserve">tengan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acceso.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Se realiza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una revisión de estos equipos y dispositivos de forma trimestral.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servicios de e-soluciones son escaneados de manera trimestral, estos se revisan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Realiza un escaneo de vulnerabilidades de manera trimestral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resultados de cada escaneo son compartidos </w:t>
      </w:r>
      <w:r w:rsidDel="00000000" w:rsidR="00000000" w:rsidRPr="00000000">
        <w:rPr>
          <w:rtl w:val="0"/>
        </w:rPr>
        <w:t xml:space="preserve">sólo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 las personas necesarias para su atención y solución.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 vulnerabilidades no catalogadas como “</w:t>
      </w:r>
      <w:r w:rsidDel="00000000" w:rsidR="00000000" w:rsidRPr="00000000">
        <w:rPr>
          <w:rtl w:val="0"/>
        </w:rPr>
        <w:t xml:space="preserve">críticas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” o “alto riesgo” serán clasificadas de acuerdo con el requerimiento 6.3.1 mismas que serán evaluadas y se programa su remediación a la brevedad posible.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Realiza tantos scans como sean necesarios hasta tener todas las vulnerabilidades resueltas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realiza un escaneo de forma externa realizado por personal calificado, de forma semestral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utiliza Nessus como herramienta de evaluadora de vulnerabilidades, este escaneo se realiza después de cada cambio y/o cada 6 meses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Todos lo componentes del sistema se encuentran bajo “Microsoft Defender Cloud” y se encuentran configurados bajo el Cumplimiento normativo de PCI DSS 4 y contemplan las siguientes alertas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Cambios en las configuraciones de los componentes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Cambios en los NSG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Cambios en los archivos de sistema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Actualizaciones de Sistema Necesarias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Los componentes del sistema de forma adicional se configuran con alertas sobre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Disponibilidad del Servidor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Uso de CPU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Escritura en disco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Uso de red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Espacio en disco</w:t>
      </w:r>
    </w:p>
    <w:p w:rsidR="00000000" w:rsidDel="00000000" w:rsidP="00000000" w:rsidRDefault="00000000" w:rsidRPr="00000000" w14:paraId="0000008E">
      <w:pPr>
        <w:pStyle w:val="Heading3"/>
        <w:rPr/>
      </w:pPr>
      <w:r w:rsidDel="00000000" w:rsidR="00000000" w:rsidRPr="00000000">
        <w:rPr>
          <w:rtl w:val="0"/>
        </w:rPr>
        <w:t xml:space="preserve">MS Azure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se permiten conexiones inalámbricas en el entorno de red de Azure.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equipos de seguridad internos escanean periódicamente en busca de señales inalámbricas no autorizadas trimestralmente y las señales no autorizadas se investigan y eliminan, los clientes no pueden implementar tecnología inalámbrica en el entorno de Azure.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Realiza análisis de vulnerabilidades </w:t>
      </w:r>
      <w:r w:rsidDel="00000000" w:rsidR="00000000" w:rsidRPr="00000000">
        <w:rPr>
          <w:rtl w:val="0"/>
        </w:rPr>
        <w:t xml:space="preserve">internas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tl w:val="0"/>
        </w:rPr>
        <w:t xml:space="preserve">externas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trimestralmente. Los escaneos son realizados por personal calificado. MS Azure realiza análisis en busca de vulnerabilidades en la infraestructura subyacente dentro del alcance.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Implementa análisis de vulnerabilidades en sistemas operativos de servidores, base de datos y dispositivos de red con las herramientas de análisis de vulnerabilidades adecuadas. Las aplicaciones web de Azure se analizan con soluciones de análisis industriales apropiadas y se realizan trimestralmente.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nuevos análisis se realizan según sea necesario en todos los sistemas, hasta que se resuelvan todas las vulnerabilidades de “alto riesgo”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Realiza análisis externos en busca de vulnerabilidades en la infraestructura subyacente dentro del alcance a la que se puede acceder externamente. Los análisis los realiza un proveedor de análisis aprobado (ASV)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Está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suscrito a notificaciones de parches mensuales de MSRC/OSSC y analiza vulnerabilidades al menos cada tres </w:t>
      </w:r>
      <w:r w:rsidDel="00000000" w:rsidR="00000000" w:rsidRPr="00000000">
        <w:rPr>
          <w:rtl w:val="0"/>
        </w:rPr>
        <w:t xml:space="preserve">meses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Las </w:t>
      </w:r>
      <w:r w:rsidDel="00000000" w:rsidR="00000000" w:rsidRPr="00000000">
        <w:rPr>
          <w:rtl w:val="0"/>
        </w:rPr>
        <w:t xml:space="preserve">vulnerables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identificadas se evalúan y remedian.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Cada trimestre se realiza un escaneo integral de vulnerabilidades de seguridad dirigido a componentes priorizados del entorno de MS Azure para identificar vulnerabilidades de seguridad.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resultados se informan a las partes interesadas y el equipo de seguridad de Azure realiza un seguimiento de la corrección hasta el cierre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 </w:t>
      </w:r>
      <w:r w:rsidDel="00000000" w:rsidR="00000000" w:rsidRPr="00000000">
        <w:rPr>
          <w:rtl w:val="0"/>
        </w:rPr>
        <w:t xml:space="preserve">los servicios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utilizando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pruebas de penetración de terceros basadas en el top de OWASP( Open Web Application Security Project) utilizando probadores certificados por CREST. Los resultados de las pruebas se rastrean a través de un registro de riesgos, que se audita y revisa periódicamente para garantizar el cumplimiento de las </w:t>
      </w:r>
      <w:r w:rsidDel="00000000" w:rsidR="00000000" w:rsidRPr="00000000">
        <w:rPr>
          <w:rtl w:val="0"/>
        </w:rPr>
        <w:t xml:space="preserve">prácticas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 seguridad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También se utiliza RED Teaming contra la infraestructura, los servicios y las aplicaciones </w:t>
      </w:r>
      <w:r w:rsidDel="00000000" w:rsidR="00000000" w:rsidRPr="00000000">
        <w:rPr>
          <w:rtl w:val="0"/>
        </w:rPr>
        <w:t xml:space="preserve">administradas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 MS. No se selecciona deliberadamente ningún dato del cliente final durante el RED Teaming y las pruebas de penetración del sitio en vivo. Las pruebas se realizan en infraestructura y plataformas de MS Azure, así como en aplicaciones y datos propios.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contratado un evaluador independiente para desarrollar un plan de evaluación del sistema y </w:t>
      </w:r>
      <w:r w:rsidDel="00000000" w:rsidR="00000000" w:rsidRPr="00000000">
        <w:rPr>
          <w:rtl w:val="0"/>
        </w:rPr>
        <w:t xml:space="preserve">realizar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una evaluación de los controles. Las evaluaciones de los controles se realizan anualmente y los resultados se informan a las partes pertinentes; se contratan asesores independientes para realizar pruebas de penetración del límite de MS Azure. También se realizan ejercicios de Red-Team de forma rutinaria y los resultados se utilizan para realizar mejoras de seguridad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han establecido procedimientos para monitorear los componentes de la plataforma MS Azure en busca de vulnerabilidades de seguridad conocidas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Contrata a una organización de seguridad externa calificada para realizar pruebas de penetración al menos semestralmente para validar que los controles de segmentación sean operativos y efectivos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Realiza análisis en tiempo real de eventos dentro de su entorno operativo y los sistemas IDS generan alertas casi en tiempo real </w:t>
      </w:r>
      <w:r w:rsidDel="00000000" w:rsidR="00000000" w:rsidRPr="00000000">
        <w:rPr>
          <w:rtl w:val="0"/>
        </w:rPr>
        <w:t xml:space="preserve">sobre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eventos que potencialmente podrían dañar el sistema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Mantiene y notifica a los clientes </w:t>
      </w:r>
      <w:r w:rsidDel="00000000" w:rsidR="00000000" w:rsidRPr="00000000">
        <w:rPr>
          <w:rtl w:val="0"/>
        </w:rPr>
        <w:t xml:space="preserve">sobre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posibles cambios y eventos que pueden afectar la seguridad o la disponibilidad de los servicios a </w:t>
      </w:r>
      <w:r w:rsidDel="00000000" w:rsidR="00000000" w:rsidRPr="00000000">
        <w:rPr>
          <w:rtl w:val="0"/>
        </w:rPr>
        <w:t xml:space="preserve">Través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 un panel de servicios en línea. Los cambios en los compromisos y obligaciones de seguridad de los clientes de MS Azure se actualizan en el sitio web de MS Azure de manera oportuna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instalación o los cambios de software en el entorno de producción de Ms Azure están restringidos al personal de administración autorizado y siguen los procedimientos de gestión de cambios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 reglas de eventos de supervisión de Azure proporcionan un mayor nivel de supervisión para las </w:t>
      </w:r>
      <w:r w:rsidDel="00000000" w:rsidR="00000000" w:rsidRPr="00000000">
        <w:rPr>
          <w:rtl w:val="0"/>
        </w:rPr>
        <w:t xml:space="preserve">operaciones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 activos de alto riesgo. Los dispositivos de red administrados por Azure se supervisan para comprobar que cumplan con los estándares de seguridad establecidos </w:t>
      </w:r>
    </w:p>
    <w:sectPr>
      <w:headerReference r:id="rId7" w:type="default"/>
      <w:pgSz w:h="15840" w:w="12240" w:orient="portrait"/>
      <w:pgMar w:bottom="1418" w:top="1418" w:left="851" w:right="476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910.0" w:type="dxa"/>
      <w:jc w:val="left"/>
      <w:tblBorders>
        <w:top w:color="000000" w:space="0" w:sz="0" w:val="nil"/>
        <w:left w:color="000000" w:space="0" w:sz="0" w:val="nil"/>
        <w:bottom w:color="aeaaaa" w:space="0" w:sz="12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972"/>
      <w:gridCol w:w="5812"/>
      <w:gridCol w:w="2126"/>
      <w:tblGridChange w:id="0">
        <w:tblGrid>
          <w:gridCol w:w="2972"/>
          <w:gridCol w:w="5812"/>
          <w:gridCol w:w="2126"/>
        </w:tblGrid>
      </w:tblGridChange>
    </w:tblGrid>
    <w:tr>
      <w:trPr>
        <w:cantSplit w:val="0"/>
        <w:trHeight w:val="836" w:hRule="atLeast"/>
        <w:tblHeader w:val="0"/>
      </w:trPr>
      <w:tc>
        <w:tcPr>
          <w:tcBorders>
            <w:bottom w:color="767171" w:space="0" w:sz="18" w:val="single"/>
            <w:right w:color="000000" w:space="0" w:sz="0" w:val="nil"/>
          </w:tcBorders>
        </w:tcPr>
        <w:p w:rsidR="00000000" w:rsidDel="00000000" w:rsidP="00000000" w:rsidRDefault="00000000" w:rsidRPr="00000000" w14:paraId="000000A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bookmarkStart w:colFirst="0" w:colLast="0" w:name="_heading=h.gjdgxs" w:id="0"/>
          <w:bookmarkEnd w:id="0"/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0" w:val="nil"/>
            <w:bottom w:color="767171" w:space="0" w:sz="18" w:val="single"/>
            <w:right w:color="767171" w:space="0" w:sz="18" w:val="single"/>
          </w:tcBorders>
          <w:vAlign w:val="center"/>
        </w:tcPr>
        <w:p w:rsidR="00000000" w:rsidDel="00000000" w:rsidP="00000000" w:rsidRDefault="00000000" w:rsidRPr="00000000" w14:paraId="000000A3">
          <w:pPr>
            <w:pStyle w:val="Title"/>
            <w:spacing w:after="0" w:before="0" w:lineRule="auto"/>
            <w:rPr/>
          </w:pPr>
          <w:r w:rsidDel="00000000" w:rsidR="00000000" w:rsidRPr="00000000">
            <w:rPr>
              <w:rtl w:val="0"/>
            </w:rPr>
            <w:t xml:space="preserve">R11.- Pruebas de seguridad de los sistemas y redes</w:t>
          </w:r>
        </w:p>
        <w:p w:rsidR="00000000" w:rsidDel="00000000" w:rsidP="00000000" w:rsidRDefault="00000000" w:rsidRPr="00000000" w14:paraId="000000A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767171" w:space="0" w:sz="18" w:val="single"/>
            <w:bottom w:color="767171" w:space="0" w:sz="18" w:val="single"/>
          </w:tcBorders>
          <w:vAlign w:val="center"/>
        </w:tcPr>
        <w:p w:rsidR="00000000" w:rsidDel="00000000" w:rsidP="00000000" w:rsidRDefault="00000000" w:rsidRPr="00000000" w14:paraId="000000A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4472c4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Abril,2024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327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173355</wp:posOffset>
          </wp:positionH>
          <wp:positionV relativeFrom="paragraph">
            <wp:posOffset>-597534</wp:posOffset>
          </wp:positionV>
          <wp:extent cx="1495425" cy="615315"/>
          <wp:effectExtent b="0" l="0" r="0" t="0"/>
          <wp:wrapNone/>
          <wp:docPr id="2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95425" cy="61531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MX"/>
      </w:rPr>
    </w:rPrDefault>
    <w:pPrDefault>
      <w:pPr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b w:val="1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i w:val="1"/>
    </w:rPr>
  </w:style>
  <w:style w:type="paragraph" w:styleId="Heading5">
    <w:name w:val="heading 5"/>
    <w:basedOn w:val="Normal"/>
    <w:next w:val="Normal"/>
    <w:pPr>
      <w:spacing w:after="60" w:before="240" w:lineRule="auto"/>
    </w:pPr>
    <w:rPr/>
  </w:style>
  <w:style w:type="paragraph" w:styleId="Heading6">
    <w:name w:val="heading 6"/>
    <w:basedOn w:val="Normal"/>
    <w:next w:val="Normal"/>
    <w:pPr>
      <w:spacing w:after="60" w:before="240" w:lineRule="auto"/>
    </w:pPr>
    <w:rPr/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b w:val="1"/>
      <w:sz w:val="28"/>
      <w:szCs w:val="28"/>
    </w:rPr>
  </w:style>
  <w:style w:type="paragraph" w:styleId="Normal" w:default="1">
    <w:name w:val="Normal"/>
    <w:qFormat w:val="1"/>
    <w:rsid w:val="00682C5B"/>
    <w:pPr>
      <w:jc w:val="both"/>
    </w:pPr>
    <w:rPr>
      <w:rFonts w:ascii="Arial" w:hAnsi="Arial"/>
      <w:kern w:val="0"/>
      <w:szCs w:val="24"/>
    </w:rPr>
  </w:style>
  <w:style w:type="paragraph" w:styleId="Ttulo1">
    <w:name w:val="heading 1"/>
    <w:basedOn w:val="Normal"/>
    <w:next w:val="Normal"/>
    <w:link w:val="Ttulo1Car"/>
    <w:qFormat w:val="1"/>
    <w:rsid w:val="00682C5B"/>
    <w:pPr>
      <w:keepNext w:val="1"/>
      <w:spacing w:after="60" w:before="240"/>
      <w:outlineLvl w:val="0"/>
    </w:pPr>
    <w:rPr>
      <w:rFonts w:cs="Arial"/>
      <w:b w:val="1"/>
      <w:bCs w:val="1"/>
      <w:kern w:val="32"/>
      <w:sz w:val="28"/>
      <w:szCs w:val="32"/>
    </w:rPr>
  </w:style>
  <w:style w:type="paragraph" w:styleId="Ttulo2">
    <w:name w:val="heading 2"/>
    <w:basedOn w:val="Normal"/>
    <w:next w:val="Normal"/>
    <w:link w:val="Ttulo2Car"/>
    <w:qFormat w:val="1"/>
    <w:rsid w:val="00682C5B"/>
    <w:pPr>
      <w:keepNext w:val="1"/>
      <w:spacing w:after="60" w:before="240"/>
      <w:outlineLvl w:val="1"/>
    </w:pPr>
    <w:rPr>
      <w:rFonts w:cs="Arial"/>
      <w:b w:val="1"/>
      <w:bCs w:val="1"/>
      <w:iCs w:val="1"/>
      <w:sz w:val="24"/>
      <w:szCs w:val="28"/>
    </w:rPr>
  </w:style>
  <w:style w:type="paragraph" w:styleId="Ttulo3">
    <w:name w:val="heading 3"/>
    <w:basedOn w:val="Normal"/>
    <w:next w:val="Normal"/>
    <w:link w:val="Ttulo3Car"/>
    <w:qFormat w:val="1"/>
    <w:rsid w:val="00682C5B"/>
    <w:pPr>
      <w:keepNext w:val="1"/>
      <w:spacing w:after="60" w:before="240"/>
      <w:outlineLvl w:val="2"/>
    </w:pPr>
    <w:rPr>
      <w:b w:val="1"/>
      <w:bCs w:val="1"/>
      <w:szCs w:val="26"/>
    </w:rPr>
  </w:style>
  <w:style w:type="paragraph" w:styleId="Ttulo4">
    <w:name w:val="heading 4"/>
    <w:basedOn w:val="Normal"/>
    <w:next w:val="Normal"/>
    <w:link w:val="Ttulo4Car"/>
    <w:qFormat w:val="1"/>
    <w:rsid w:val="00682C5B"/>
    <w:pPr>
      <w:keepNext w:val="1"/>
      <w:spacing w:after="60" w:before="240"/>
      <w:outlineLvl w:val="3"/>
    </w:pPr>
    <w:rPr>
      <w:bCs w:val="1"/>
      <w:i w:val="1"/>
      <w:szCs w:val="28"/>
    </w:rPr>
  </w:style>
  <w:style w:type="paragraph" w:styleId="Ttulo5">
    <w:name w:val="heading 5"/>
    <w:basedOn w:val="Normal"/>
    <w:next w:val="Normal"/>
    <w:link w:val="Ttulo5Car"/>
    <w:qFormat w:val="1"/>
    <w:rsid w:val="00682C5B"/>
    <w:pPr>
      <w:spacing w:after="60" w:before="240"/>
      <w:outlineLvl w:val="4"/>
    </w:pPr>
    <w:rPr>
      <w:bCs w:val="1"/>
      <w:iCs w:val="1"/>
      <w:szCs w:val="26"/>
    </w:rPr>
  </w:style>
  <w:style w:type="paragraph" w:styleId="Ttulo6">
    <w:name w:val="heading 6"/>
    <w:basedOn w:val="Normal"/>
    <w:next w:val="Normal"/>
    <w:link w:val="Ttulo6Car"/>
    <w:qFormat w:val="1"/>
    <w:rsid w:val="00682C5B"/>
    <w:pPr>
      <w:spacing w:after="60" w:before="240"/>
      <w:outlineLvl w:val="5"/>
    </w:pPr>
    <w:rPr>
      <w:bCs w:val="1"/>
      <w:szCs w:val="22"/>
    </w:rPr>
  </w:style>
  <w:style w:type="paragraph" w:styleId="Ttulo7">
    <w:name w:val="heading 7"/>
    <w:basedOn w:val="Normal"/>
    <w:next w:val="Normal"/>
    <w:link w:val="Ttulo7Car"/>
    <w:qFormat w:val="1"/>
    <w:rsid w:val="00682C5B"/>
    <w:pPr>
      <w:spacing w:after="60" w:before="240"/>
      <w:outlineLvl w:val="6"/>
    </w:pPr>
  </w:style>
  <w:style w:type="paragraph" w:styleId="Ttulo8">
    <w:name w:val="heading 8"/>
    <w:basedOn w:val="Normal"/>
    <w:next w:val="Normal"/>
    <w:link w:val="Ttulo8Car"/>
    <w:qFormat w:val="1"/>
    <w:rsid w:val="00682C5B"/>
    <w:pPr>
      <w:spacing w:after="60" w:before="240"/>
      <w:outlineLvl w:val="7"/>
    </w:pPr>
    <w:rPr>
      <w:iCs w:val="1"/>
    </w:rPr>
  </w:style>
  <w:style w:type="paragraph" w:styleId="Ttulo9">
    <w:name w:val="heading 9"/>
    <w:basedOn w:val="Normal"/>
    <w:next w:val="Normal"/>
    <w:link w:val="Ttulo9Car"/>
    <w:qFormat w:val="1"/>
    <w:rsid w:val="00682C5B"/>
    <w:pPr>
      <w:spacing w:after="60" w:before="240"/>
      <w:outlineLvl w:val="8"/>
    </w:pPr>
    <w:rPr>
      <w:rFonts w:cs="Arial"/>
      <w:szCs w:val="2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link w:val="Ttulo1"/>
    <w:rsid w:val="00682C5B"/>
    <w:rPr>
      <w:rFonts w:ascii="Arial" w:cs="Arial" w:hAnsi="Arial"/>
      <w:b w:val="1"/>
      <w:bCs w:val="1"/>
      <w:kern w:val="32"/>
      <w:sz w:val="28"/>
      <w:szCs w:val="32"/>
    </w:rPr>
  </w:style>
  <w:style w:type="character" w:styleId="Ttulo2Car" w:customStyle="1">
    <w:name w:val="Título 2 Car"/>
    <w:basedOn w:val="Fuentedeprrafopredeter"/>
    <w:link w:val="Ttulo2"/>
    <w:rsid w:val="00682C5B"/>
    <w:rPr>
      <w:rFonts w:ascii="Arial" w:cs="Arial" w:hAnsi="Arial"/>
      <w:b w:val="1"/>
      <w:bCs w:val="1"/>
      <w:iCs w:val="1"/>
      <w:sz w:val="24"/>
      <w:szCs w:val="28"/>
    </w:rPr>
  </w:style>
  <w:style w:type="character" w:styleId="Ttulo3Car" w:customStyle="1">
    <w:name w:val="Título 3 Car"/>
    <w:link w:val="Ttulo3"/>
    <w:rsid w:val="00682C5B"/>
    <w:rPr>
      <w:rFonts w:ascii="Arial" w:hAnsi="Arial"/>
      <w:b w:val="1"/>
      <w:bCs w:val="1"/>
      <w:szCs w:val="26"/>
    </w:rPr>
  </w:style>
  <w:style w:type="character" w:styleId="Ttulo4Car" w:customStyle="1">
    <w:name w:val="Título 4 Car"/>
    <w:basedOn w:val="Fuentedeprrafopredeter"/>
    <w:link w:val="Ttulo4"/>
    <w:rsid w:val="00682C5B"/>
    <w:rPr>
      <w:rFonts w:ascii="Arial" w:hAnsi="Arial"/>
      <w:bCs w:val="1"/>
      <w:i w:val="1"/>
      <w:szCs w:val="28"/>
    </w:rPr>
  </w:style>
  <w:style w:type="character" w:styleId="Ttulo5Car" w:customStyle="1">
    <w:name w:val="Título 5 Car"/>
    <w:basedOn w:val="Fuentedeprrafopredeter"/>
    <w:link w:val="Ttulo5"/>
    <w:rsid w:val="00682C5B"/>
    <w:rPr>
      <w:rFonts w:ascii="Arial" w:hAnsi="Arial"/>
      <w:bCs w:val="1"/>
      <w:iCs w:val="1"/>
      <w:szCs w:val="26"/>
    </w:rPr>
  </w:style>
  <w:style w:type="character" w:styleId="Ttulo6Car" w:customStyle="1">
    <w:name w:val="Título 6 Car"/>
    <w:basedOn w:val="Fuentedeprrafopredeter"/>
    <w:link w:val="Ttulo6"/>
    <w:rsid w:val="00682C5B"/>
    <w:rPr>
      <w:rFonts w:ascii="Arial" w:hAnsi="Arial"/>
      <w:bCs w:val="1"/>
      <w:szCs w:val="22"/>
    </w:rPr>
  </w:style>
  <w:style w:type="character" w:styleId="Ttulo7Car" w:customStyle="1">
    <w:name w:val="Título 7 Car"/>
    <w:basedOn w:val="Fuentedeprrafopredeter"/>
    <w:link w:val="Ttulo7"/>
    <w:rsid w:val="00682C5B"/>
    <w:rPr>
      <w:rFonts w:ascii="Arial" w:hAnsi="Arial"/>
      <w:szCs w:val="24"/>
    </w:rPr>
  </w:style>
  <w:style w:type="character" w:styleId="Ttulo8Car" w:customStyle="1">
    <w:name w:val="Título 8 Car"/>
    <w:basedOn w:val="Fuentedeprrafopredeter"/>
    <w:link w:val="Ttulo8"/>
    <w:rsid w:val="00682C5B"/>
    <w:rPr>
      <w:rFonts w:ascii="Arial" w:hAnsi="Arial"/>
      <w:iCs w:val="1"/>
      <w:szCs w:val="24"/>
    </w:rPr>
  </w:style>
  <w:style w:type="character" w:styleId="Ttulo9Car" w:customStyle="1">
    <w:name w:val="Título 9 Car"/>
    <w:basedOn w:val="Fuentedeprrafopredeter"/>
    <w:link w:val="Ttulo9"/>
    <w:rsid w:val="00682C5B"/>
    <w:rPr>
      <w:rFonts w:ascii="Arial" w:cs="Arial" w:hAnsi="Arial"/>
      <w:szCs w:val="22"/>
    </w:rPr>
  </w:style>
  <w:style w:type="paragraph" w:styleId="Ttulo">
    <w:name w:val="Title"/>
    <w:basedOn w:val="Normal"/>
    <w:next w:val="Normal"/>
    <w:link w:val="TtuloCar"/>
    <w:qFormat w:val="1"/>
    <w:rsid w:val="00682C5B"/>
    <w:pPr>
      <w:spacing w:after="60" w:before="240"/>
      <w:jc w:val="center"/>
      <w:outlineLvl w:val="0"/>
    </w:pPr>
    <w:rPr>
      <w:rFonts w:cs="Arial"/>
      <w:b w:val="1"/>
      <w:bCs w:val="1"/>
      <w:kern w:val="28"/>
      <w:sz w:val="28"/>
      <w:szCs w:val="32"/>
    </w:rPr>
  </w:style>
  <w:style w:type="character" w:styleId="TtuloCar" w:customStyle="1">
    <w:name w:val="Título Car"/>
    <w:basedOn w:val="Fuentedeprrafopredeter"/>
    <w:link w:val="Ttulo"/>
    <w:rsid w:val="00682C5B"/>
    <w:rPr>
      <w:rFonts w:ascii="Arial" w:cs="Arial" w:hAnsi="Arial"/>
      <w:b w:val="1"/>
      <w:bCs w:val="1"/>
      <w:kern w:val="28"/>
      <w:sz w:val="28"/>
      <w:szCs w:val="32"/>
    </w:rPr>
  </w:style>
  <w:style w:type="paragraph" w:styleId="Subttulo">
    <w:name w:val="Subtitle"/>
    <w:basedOn w:val="Normal"/>
    <w:next w:val="Normal"/>
    <w:link w:val="SubttuloCar"/>
    <w:qFormat w:val="1"/>
    <w:rsid w:val="00682C5B"/>
    <w:pPr>
      <w:spacing w:after="60"/>
      <w:outlineLvl w:val="1"/>
    </w:pPr>
    <w:rPr>
      <w:rFonts w:cs="Arial"/>
      <w:b w:val="1"/>
    </w:rPr>
  </w:style>
  <w:style w:type="character" w:styleId="SubttuloCar" w:customStyle="1">
    <w:name w:val="Subtítulo Car"/>
    <w:basedOn w:val="Fuentedeprrafopredeter"/>
    <w:link w:val="Subttulo"/>
    <w:rsid w:val="00682C5B"/>
    <w:rPr>
      <w:rFonts w:ascii="Arial" w:cs="Arial" w:hAnsi="Arial"/>
      <w:b w:val="1"/>
      <w:szCs w:val="24"/>
    </w:rPr>
  </w:style>
  <w:style w:type="character" w:styleId="Textoennegrita">
    <w:name w:val="Strong"/>
    <w:uiPriority w:val="22"/>
    <w:qFormat w:val="1"/>
    <w:rsid w:val="00682C5B"/>
    <w:rPr>
      <w:b w:val="1"/>
      <w:bCs w:val="1"/>
    </w:rPr>
  </w:style>
  <w:style w:type="paragraph" w:styleId="Prrafodelista">
    <w:name w:val="List Paragraph"/>
    <w:basedOn w:val="Normal"/>
    <w:uiPriority w:val="34"/>
    <w:qFormat w:val="1"/>
    <w:rsid w:val="00682C5B"/>
    <w:pPr>
      <w:ind w:left="720"/>
      <w:contextualSpacing w:val="1"/>
    </w:pPr>
  </w:style>
  <w:style w:type="paragraph" w:styleId="TtuloTDC">
    <w:name w:val="TOC Heading"/>
    <w:basedOn w:val="Ttulo1"/>
    <w:next w:val="Normal"/>
    <w:uiPriority w:val="39"/>
    <w:unhideWhenUsed w:val="1"/>
    <w:qFormat w:val="1"/>
    <w:rsid w:val="00682C5B"/>
    <w:pPr>
      <w:keepLines w:val="1"/>
      <w:spacing w:after="0" w:line="259" w:lineRule="auto"/>
      <w:jc w:val="left"/>
      <w:outlineLvl w:val="9"/>
    </w:pPr>
    <w:rPr>
      <w:rFonts w:ascii="Calibri Light" w:cs="Times New Roman" w:hAnsi="Calibri Light"/>
      <w:b w:val="0"/>
      <w:bCs w:val="0"/>
      <w:color w:val="2f5496"/>
      <w:kern w:val="0"/>
      <w:sz w:val="32"/>
      <w:lang w:eastAsia="es-MX"/>
    </w:rPr>
  </w:style>
  <w:style w:type="paragraph" w:styleId="Encabezado">
    <w:name w:val="header"/>
    <w:basedOn w:val="Normal"/>
    <w:link w:val="EncabezadoCar"/>
    <w:unhideWhenUsed w:val="1"/>
    <w:rsid w:val="008E09C5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rsid w:val="008E09C5"/>
    <w:rPr>
      <w:rFonts w:ascii="Arial" w:hAnsi="Arial"/>
      <w:kern w:val="0"/>
      <w:szCs w:val="24"/>
    </w:rPr>
  </w:style>
  <w:style w:type="paragraph" w:styleId="Piedepgina">
    <w:name w:val="footer"/>
    <w:basedOn w:val="Normal"/>
    <w:link w:val="PiedepginaCar"/>
    <w:uiPriority w:val="99"/>
    <w:unhideWhenUsed w:val="1"/>
    <w:rsid w:val="008E09C5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8E09C5"/>
    <w:rPr>
      <w:rFonts w:ascii="Arial" w:hAnsi="Arial"/>
      <w:kern w:val="0"/>
      <w:szCs w:val="24"/>
    </w:rPr>
  </w:style>
  <w:style w:type="table" w:styleId="Tablaconcuadrcula">
    <w:name w:val="Table Grid"/>
    <w:basedOn w:val="Tablanormal"/>
    <w:uiPriority w:val="39"/>
    <w:rsid w:val="00ED3A74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spacing w:after="60" w:lineRule="auto"/>
    </w:pPr>
    <w:rPr>
      <w:b w:val="1"/>
    </w:rPr>
  </w:style>
  <w:style w:type="table" w:styleId="Table1">
    <w:basedOn w:val="TableNormal"/>
    <w:tblPr>
      <w:tblStyleRowBandSize w:val="1"/>
      <w:tblStyleColBandSize w:val="1"/>
      <w:tblCellMar>
        <w:top w:w="14.0" w:type="dxa"/>
        <w:left w:w="115.0" w:type="dxa"/>
        <w:bottom w:w="14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HCLb/cxb7qPLmpYLRq05zdGOUA==">CgMxLjAaHwoBMBIaChgICVIUChJ0YWJsZS5vd3ZocTdobW5jODgyCGguZ2pkZ3hzMg5oLnZxb245a3hiMzY5NDIIaC5namRneHM4AHIhMXZQVXprRUpaRHlJaVBUWEhRV2FyTS1mMEo2WU1uNWdR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2024-04-03T01:00:00Z</dcterms:created>
  <dc:creator>Ernesto Aguilar</dc:creator>
</cp:coreProperties>
</file>