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40"/>
      </w:pPr>
      <w:r>
        <w:rPr>
          <w:b/>
          <w:i w:val="0"/>
          <w:color w:val="1F3864"/>
          <w:sz w:val="68"/>
        </w:rPr>
        <w:t>NexAI OTC</w:t>
      </w:r>
    </w:p>
    <w:p>
      <w:pPr>
        <w:spacing w:after="520"/>
      </w:pPr>
      <w:r>
        <w:rPr>
          <w:b w:val="0"/>
          <w:i w:val="0"/>
          <w:color w:val="5A6470"/>
          <w:sz w:val="40"/>
        </w:rPr>
        <w:t>User Manual</w:t>
      </w:r>
    </w:p>
    <w:p>
      <w:pPr>
        <w:spacing w:after="680"/>
      </w:pPr>
      <w:r>
        <w:rPr>
          <w:b w:val="0"/>
          <w:i/>
          <w:color w:val="5A6470"/>
          <w:sz w:val="23"/>
        </w:rPr>
        <w:t>OTC settlement email processing, extraction and matching</w:t>
      </w:r>
    </w:p>
    <w:tbl>
      <w:tblPr>
        <w:tblStyle w:val="TableGrid"/>
        <w:tblW w:type="auto" w:w="0"/>
        <w:jc w:val="left"/>
        <w:tblLook w:firstColumn="1" w:firstRow="1" w:lastColumn="0" w:lastRow="0" w:noHBand="0" w:noVBand="1" w:val="04A0"/>
      </w:tblPr>
      <w:tblGrid>
        <w:gridCol w:w="4752"/>
        <w:gridCol w:w="4752"/>
      </w:tblGrid>
      <w:tr>
        <w:tc>
          <w:tcPr>
            <w:tcW w:type="dxa" w:w="2448"/>
            <w:shd w:val="clear" w:fill="1F3864"/>
          </w:tcPr>
          <w:p>
            <w:pPr>
              <w:spacing w:after="40"/>
            </w:pPr>
            <w:r/>
            <w:r>
              <w:rPr>
                <w:b/>
                <w:color w:val="FFFFFF"/>
                <w:sz w:val="19"/>
              </w:rPr>
            </w:r>
          </w:p>
        </w:tc>
        <w:tc>
          <w:tcPr>
            <w:tcW w:type="dxa" w:w="6048"/>
            <w:shd w:val="clear" w:fill="1F3864"/>
          </w:tcPr>
          <w:p>
            <w:pPr>
              <w:spacing w:after="40"/>
            </w:pPr>
            <w:r/>
            <w:r>
              <w:rPr>
                <w:b/>
                <w:color w:val="FFFFFF"/>
                <w:sz w:val="19"/>
              </w:rPr>
            </w:r>
          </w:p>
        </w:tc>
      </w:tr>
      <w:tr>
        <w:tc>
          <w:tcPr>
            <w:tcW w:type="dxa" w:w="2448"/>
          </w:tcPr>
          <w:p>
            <w:pPr>
              <w:spacing w:after="40"/>
            </w:pPr>
            <w:r/>
            <w:r>
              <w:rPr>
                <w:sz w:val="19"/>
              </w:rPr>
              <w:t>Application</w:t>
            </w:r>
          </w:p>
        </w:tc>
        <w:tc>
          <w:tcPr>
            <w:tcW w:type="dxa" w:w="6048"/>
          </w:tcPr>
          <w:p>
            <w:pPr>
              <w:spacing w:after="40"/>
            </w:pPr>
            <w:r/>
            <w:r>
              <w:rPr>
                <w:sz w:val="19"/>
              </w:rPr>
              <w:t>NexAI OTC BSM</w:t>
            </w:r>
          </w:p>
        </w:tc>
      </w:tr>
      <w:tr>
        <w:tc>
          <w:tcPr>
            <w:tcW w:type="dxa" w:w="2448"/>
          </w:tcPr>
          <w:p>
            <w:pPr>
              <w:spacing w:after="40"/>
            </w:pPr>
            <w:r/>
            <w:r>
              <w:rPr>
                <w:sz w:val="19"/>
              </w:rPr>
              <w:t>Portal address</w:t>
            </w:r>
          </w:p>
        </w:tc>
        <w:tc>
          <w:tcPr>
            <w:tcW w:type="dxa" w:w="6048"/>
          </w:tcPr>
          <w:p>
            <w:pPr>
              <w:spacing w:after="40"/>
            </w:pPr>
            <w:r/>
            <w:r>
              <w:rPr>
                <w:sz w:val="19"/>
              </w:rPr>
              <w:t>https://nomurabsmdev.service-now.com/nexai</w:t>
            </w:r>
          </w:p>
        </w:tc>
      </w:tr>
      <w:tr>
        <w:tc>
          <w:tcPr>
            <w:tcW w:type="dxa" w:w="2448"/>
          </w:tcPr>
          <w:p>
            <w:pPr>
              <w:spacing w:after="40"/>
            </w:pPr>
            <w:r/>
            <w:r>
              <w:rPr>
                <w:sz w:val="19"/>
              </w:rPr>
              <w:t>Audience</w:t>
            </w:r>
          </w:p>
        </w:tc>
        <w:tc>
          <w:tcPr>
            <w:tcW w:type="dxa" w:w="6048"/>
          </w:tcPr>
          <w:p>
            <w:pPr>
              <w:spacing w:after="40"/>
            </w:pPr>
            <w:r/>
            <w:r>
              <w:rPr>
                <w:sz w:val="19"/>
              </w:rPr>
              <w:t>Settlement analysts and settlement managers</w:t>
            </w:r>
          </w:p>
        </w:tc>
      </w:tr>
      <w:tr>
        <w:tc>
          <w:tcPr>
            <w:tcW w:type="dxa" w:w="2448"/>
          </w:tcPr>
          <w:p>
            <w:pPr>
              <w:spacing w:after="40"/>
            </w:pPr>
            <w:r/>
            <w:r>
              <w:rPr>
                <w:sz w:val="19"/>
              </w:rPr>
              <w:t>Document version</w:t>
            </w:r>
          </w:p>
        </w:tc>
        <w:tc>
          <w:tcPr>
            <w:tcW w:type="dxa" w:w="6048"/>
          </w:tcPr>
          <w:p>
            <w:pPr>
              <w:spacing w:after="40"/>
            </w:pPr>
            <w:r/>
            <w:r>
              <w:rPr>
                <w:sz w:val="19"/>
              </w:rPr>
              <w:t>1.0</w:t>
            </w:r>
          </w:p>
        </w:tc>
      </w:tr>
      <w:tr>
        <w:tc>
          <w:tcPr>
            <w:tcW w:type="dxa" w:w="2448"/>
          </w:tcPr>
          <w:p>
            <w:pPr>
              <w:spacing w:after="40"/>
            </w:pPr>
            <w:r/>
            <w:r>
              <w:rPr>
                <w:sz w:val="19"/>
              </w:rPr>
              <w:t>Date</w:t>
            </w:r>
          </w:p>
        </w:tc>
        <w:tc>
          <w:tcPr>
            <w:tcW w:type="dxa" w:w="6048"/>
          </w:tcPr>
          <w:p>
            <w:pPr>
              <w:spacing w:after="40"/>
            </w:pPr>
            <w:r/>
            <w:r>
              <w:rPr>
                <w:sz w:val="19"/>
              </w:rPr>
              <w:t>29 September 2026</w:t>
            </w:r>
          </w:p>
        </w:tc>
      </w:tr>
    </w:tbl>
    <w:p>
      <w:pPr>
        <w:spacing w:after="80"/>
      </w:pPr>
    </w:p>
    <w:p>
      <w:pPr>
        <w:spacing w:after="600"/>
      </w:pPr>
    </w:p>
    <w:tbl>
      <w:tblPr>
        <w:tblStyle w:val="TableGrid"/>
        <w:tblW w:type="auto" w:w="0"/>
        <w:tblLook w:firstColumn="1" w:firstRow="1" w:lastColumn="0" w:lastRow="0" w:noHBand="0" w:noVBand="1" w:val="04A0"/>
      </w:tblPr>
      <w:tblGrid>
        <w:gridCol w:w="9504"/>
      </w:tblGrid>
      <w:tr>
        <w:tc>
          <w:tcPr>
            <w:tcW w:type="dxa" w:w="9504"/>
            <w:shd w:val="clear" w:fill="F2F5F9"/>
          </w:tcPr>
          <w:p>
            <w:pPr>
              <w:spacing w:after="40"/>
            </w:pPr>
            <w:r/>
            <w:r>
              <w:rPr>
                <w:b/>
                <w:color w:val="1F3864"/>
                <w:sz w:val="19"/>
              </w:rPr>
              <w:t xml:space="preserve">Before you begin  </w:t>
            </w:r>
            <w:r>
              <w:rPr>
                <w:sz w:val="19"/>
              </w:rPr>
              <w:t>Nothing in this application settles or sends anything on its own. Every cashflow it reads waits for a person to confirm it. If you do nothing, nothing happens.</w:t>
            </w:r>
          </w:p>
        </w:tc>
      </w:tr>
    </w:tbl>
    <w:p>
      <w:pPr>
        <w:spacing w:after="80"/>
      </w:pPr>
    </w:p>
    <w:p>
      <w:r>
        <w:br w:type="page"/>
      </w:r>
    </w:p>
    <w:p>
      <w:pPr>
        <w:pStyle w:val="Heading1"/>
      </w:pPr>
      <w:r>
        <w:rPr>
          <w:b w:val="0"/>
          <w:i w:val="0"/>
        </w:rPr>
        <w:t>Contents</w:t>
      </w:r>
    </w:p>
    <w:p>
      <w:pPr>
        <w:spacing w:after="80"/>
      </w:pPr>
      <w:r>
        <w:rPr>
          <w:b/>
          <w:color w:val="1F3864"/>
        </w:rPr>
        <w:t xml:space="preserve">1.  </w:t>
      </w:r>
      <w:r>
        <w:t>About this application</w:t>
      </w:r>
    </w:p>
    <w:p>
      <w:pPr>
        <w:spacing w:after="80"/>
      </w:pPr>
      <w:r>
        <w:rPr>
          <w:b/>
          <w:color w:val="1F3864"/>
        </w:rPr>
        <w:t xml:space="preserve">2.  </w:t>
      </w:r>
      <w:r>
        <w:t>Getting started</w:t>
      </w:r>
    </w:p>
    <w:p>
      <w:pPr>
        <w:spacing w:after="80"/>
      </w:pPr>
      <w:r>
        <w:rPr>
          <w:b/>
          <w:color w:val="1F3864"/>
        </w:rPr>
        <w:t xml:space="preserve">3.  </w:t>
      </w:r>
      <w:r>
        <w:t>The settlement board</w:t>
      </w:r>
    </w:p>
    <w:p>
      <w:pPr>
        <w:spacing w:after="80"/>
      </w:pPr>
      <w:r>
        <w:rPr>
          <w:b/>
          <w:color w:val="1F3864"/>
        </w:rPr>
        <w:t xml:space="preserve">4.  </w:t>
      </w:r>
      <w:r>
        <w:t>Reviewing a mail</w:t>
      </w:r>
    </w:p>
    <w:p>
      <w:pPr>
        <w:spacing w:after="80"/>
      </w:pPr>
      <w:r>
        <w:rPr>
          <w:b/>
          <w:color w:val="1F3864"/>
        </w:rPr>
        <w:t xml:space="preserve">5.  </w:t>
      </w:r>
      <w:r>
        <w:t>Correcting and confirming</w:t>
      </w:r>
    </w:p>
    <w:p>
      <w:pPr>
        <w:spacing w:after="80"/>
      </w:pPr>
      <w:r>
        <w:rPr>
          <w:b/>
          <w:color w:val="1F3864"/>
        </w:rPr>
        <w:t xml:space="preserve">6.  </w:t>
      </w:r>
      <w:r>
        <w:t>Compare and Match</w:t>
      </w:r>
    </w:p>
    <w:p>
      <w:pPr>
        <w:spacing w:after="80"/>
      </w:pPr>
      <w:r>
        <w:rPr>
          <w:b/>
          <w:color w:val="1F3864"/>
        </w:rPr>
        <w:t xml:space="preserve">7.  </w:t>
      </w:r>
      <w:r>
        <w:t>Resolving a cashflow</w:t>
      </w:r>
    </w:p>
    <w:p>
      <w:pPr>
        <w:spacing w:after="80"/>
      </w:pPr>
      <w:r>
        <w:rPr>
          <w:b/>
          <w:color w:val="1F3864"/>
        </w:rPr>
        <w:t xml:space="preserve">8.  </w:t>
      </w:r>
      <w:r>
        <w:t>The audit trail</w:t>
      </w:r>
    </w:p>
    <w:p>
      <w:pPr>
        <w:spacing w:after="80"/>
      </w:pPr>
      <w:r>
        <w:rPr>
          <w:b/>
          <w:color w:val="1F3864"/>
        </w:rPr>
        <w:t xml:space="preserve">9.  </w:t>
      </w:r>
      <w:r>
        <w:t>Dashboards</w:t>
      </w:r>
    </w:p>
    <w:p>
      <w:pPr>
        <w:spacing w:after="80"/>
      </w:pPr>
      <w:r>
        <w:rPr>
          <w:b/>
          <w:color w:val="1F3864"/>
        </w:rPr>
        <w:t xml:space="preserve">10.  </w:t>
      </w:r>
      <w:r>
        <w:t>For managers: work drivers</w:t>
      </w:r>
    </w:p>
    <w:p>
      <w:pPr>
        <w:spacing w:after="80"/>
      </w:pPr>
      <w:r>
        <w:rPr>
          <w:b/>
          <w:color w:val="1F3864"/>
        </w:rPr>
        <w:t xml:space="preserve">11.  </w:t>
      </w:r>
      <w:r>
        <w:t>When something looks wrong</w:t>
      </w:r>
    </w:p>
    <w:p>
      <w:pPr>
        <w:spacing w:after="80"/>
      </w:pPr>
      <w:r>
        <w:rPr>
          <w:b/>
          <w:color w:val="1F3864"/>
        </w:rPr>
        <w:t xml:space="preserve">12.  </w:t>
      </w:r>
      <w:r>
        <w:t>Glossary</w:t>
      </w:r>
    </w:p>
    <w:p>
      <w:r>
        <w:br w:type="page"/>
      </w:r>
    </w:p>
    <w:p>
      <w:pPr>
        <w:pStyle w:val="Heading1"/>
      </w:pPr>
      <w:r>
        <w:rPr>
          <w:b w:val="0"/>
          <w:i w:val="0"/>
        </w:rPr>
        <w:t>1. About this application</w:t>
      </w:r>
    </w:p>
    <w:p>
      <w:r>
        <w:rPr>
          <w:b w:val="0"/>
          <w:i w:val="0"/>
        </w:rPr>
        <w:t>NexAI OTC reads the settlement emails your counterparties send, pulls the cashflows out of them, and compares those cashflows against the bank’s own records. It then presents the result to you so that you can confirm it, correct it, or raise it with the counterparty.</w:t>
      </w:r>
    </w:p>
    <w:p>
      <w:pPr>
        <w:pStyle w:val="Heading2"/>
      </w:pPr>
      <w:r>
        <w:rPr>
          <w:b w:val="0"/>
          <w:i w:val="0"/>
        </w:rPr>
        <w:t>What it does, in order</w:t>
      </w:r>
    </w:p>
    <w:p>
      <w:pPr>
        <w:pStyle w:val="ListNumber"/>
        <w:spacing w:after="60"/>
        <w:ind w:left="461"/>
      </w:pPr>
      <w:r>
        <w:t>Takes the email in and decodes it — body, attachments, and any encoding the mail gateway applied.</w:t>
      </w:r>
    </w:p>
    <w:p>
      <w:pPr>
        <w:pStyle w:val="ListNumber"/>
        <w:spacing w:after="60"/>
        <w:ind w:left="461"/>
      </w:pPr>
      <w:r>
        <w:t>Decides whether the mail is relevant to your desk, and records why either way.</w:t>
      </w:r>
    </w:p>
    <w:p>
      <w:pPr>
        <w:pStyle w:val="ListNumber"/>
        <w:spacing w:after="60"/>
        <w:ind w:left="461"/>
      </w:pPr>
      <w:r>
        <w:t>Reads the cashflows out of it — from the message body, from a spreadsheet attachment, or from a PDF.</w:t>
      </w:r>
    </w:p>
    <w:p>
      <w:pPr>
        <w:pStyle w:val="ListNumber"/>
        <w:spacing w:after="60"/>
        <w:ind w:left="461"/>
      </w:pPr>
      <w:r>
        <w:t>Compares each cashflow against the bank’s bookings on a three-tier cascade.</w:t>
      </w:r>
    </w:p>
    <w:p>
      <w:pPr>
        <w:pStyle w:val="ListNumber"/>
        <w:spacing w:after="60"/>
        <w:ind w:left="461"/>
      </w:pPr>
      <w:r>
        <w:t>Presents the result to you for confirmation.</w:t>
      </w:r>
    </w:p>
    <w:p>
      <w:pPr>
        <w:pStyle w:val="ListNumber"/>
        <w:spacing w:after="60"/>
        <w:ind w:left="461"/>
      </w:pPr>
      <w:r>
        <w:t>Records every decision — the system’s and yours — in a trail that cannot be edited afterwards.</w:t>
      </w:r>
    </w:p>
    <w:p>
      <w:pPr>
        <w:pStyle w:val="Heading2"/>
      </w:pPr>
      <w:r>
        <w:rPr>
          <w:b w:val="0"/>
          <w:i w:val="0"/>
        </w:rPr>
        <w:t>What it does not do</w:t>
      </w:r>
    </w:p>
    <w:p>
      <w:pPr>
        <w:pStyle w:val="ListBullet"/>
        <w:spacing w:after="60"/>
        <w:ind w:left="403"/>
      </w:pPr>
      <w:r>
        <w:t>It never settles anything automatically. Every cashflow waits at Awaiting Confirmation.</w:t>
      </w:r>
    </w:p>
    <w:p>
      <w:pPr>
        <w:pStyle w:val="ListBullet"/>
        <w:spacing w:after="60"/>
        <w:ind w:left="403"/>
      </w:pPr>
      <w:r>
        <w:t>It never invents a counterparty. The counterparty is looked up from the sender’s address; if the sender is not in the directory the field is left blank rather than guessed.</w:t>
      </w:r>
    </w:p>
    <w:p>
      <w:pPr>
        <w:pStyle w:val="ListBullet"/>
        <w:spacing w:after="60"/>
        <w:ind w:left="403"/>
      </w:pPr>
      <w:r>
        <w:t>It does not decide a match for you. It proposes, records its reasoning, and waits.</w:t>
      </w:r>
    </w:p>
    <w:p>
      <w:pPr>
        <w:pStyle w:val="Heading2"/>
      </w:pPr>
      <w:r>
        <w:rPr>
          <w:b w:val="0"/>
          <w:i w:val="0"/>
        </w:rPr>
        <w:t>Who does what</w:t>
      </w:r>
    </w:p>
    <w:tbl>
      <w:tblPr>
        <w:tblStyle w:val="TableGrid"/>
        <w:tblW w:type="auto" w:w="0"/>
        <w:jc w:val="left"/>
        <w:tblLook w:firstColumn="1" w:firstRow="1" w:lastColumn="0" w:lastRow="0" w:noHBand="0" w:noVBand="1" w:val="04A0"/>
      </w:tblPr>
      <w:tblGrid>
        <w:gridCol w:w="4752"/>
        <w:gridCol w:w="4752"/>
      </w:tblGrid>
      <w:tr>
        <w:tc>
          <w:tcPr>
            <w:tcW w:type="dxa" w:w="1872"/>
            <w:shd w:val="clear" w:fill="1F3864"/>
          </w:tcPr>
          <w:p>
            <w:pPr>
              <w:spacing w:after="40"/>
            </w:pPr>
            <w:r/>
            <w:r>
              <w:rPr>
                <w:b/>
                <w:color w:val="FFFFFF"/>
                <w:sz w:val="19"/>
              </w:rPr>
              <w:t>Role</w:t>
            </w:r>
          </w:p>
        </w:tc>
        <w:tc>
          <w:tcPr>
            <w:tcW w:type="dxa" w:w="6624"/>
            <w:shd w:val="clear" w:fill="1F3864"/>
          </w:tcPr>
          <w:p>
            <w:pPr>
              <w:spacing w:after="40"/>
            </w:pPr>
            <w:r/>
            <w:r>
              <w:rPr>
                <w:b/>
                <w:color w:val="FFFFFF"/>
                <w:sz w:val="19"/>
              </w:rPr>
              <w:t>What you can do</w:t>
            </w:r>
          </w:p>
        </w:tc>
      </w:tr>
      <w:tr>
        <w:tc>
          <w:tcPr>
            <w:tcW w:type="dxa" w:w="1872"/>
          </w:tcPr>
          <w:p>
            <w:pPr>
              <w:spacing w:after="40"/>
            </w:pPr>
            <w:r/>
            <w:r>
              <w:rPr>
                <w:b/>
                <w:sz w:val="19"/>
              </w:rPr>
              <w:t>Analyst</w:t>
            </w:r>
          </w:p>
        </w:tc>
        <w:tc>
          <w:tcPr>
            <w:tcW w:type="dxa" w:w="6624"/>
          </w:tcPr>
          <w:p>
            <w:pPr>
              <w:spacing w:after="40"/>
            </w:pPr>
            <w:r/>
            <w:r>
              <w:rPr>
                <w:sz w:val="19"/>
              </w:rPr>
              <w:t>Run a published work driver, review extracted cashflows, correct values, confirm, select a match, allege, and request write-back.</w:t>
            </w:r>
          </w:p>
        </w:tc>
      </w:tr>
      <w:tr>
        <w:tc>
          <w:tcPr>
            <w:tcW w:type="dxa" w:w="1872"/>
          </w:tcPr>
          <w:p>
            <w:pPr>
              <w:spacing w:after="40"/>
            </w:pPr>
            <w:r/>
            <w:r>
              <w:rPr>
                <w:b/>
                <w:sz w:val="19"/>
              </w:rPr>
              <w:t>Manager</w:t>
            </w:r>
          </w:p>
        </w:tc>
        <w:tc>
          <w:tcPr>
            <w:tcW w:type="dxa" w:w="6624"/>
          </w:tcPr>
          <w:p>
            <w:pPr>
              <w:spacing w:after="40"/>
            </w:pPr>
            <w:r/>
            <w:r>
              <w:rPr>
                <w:sz w:val="19"/>
              </w:rPr>
              <w:t>Everything an analyst can do, plus build and configure work drivers, set the email identification rules and field instructions, and assign analysts.</w:t>
            </w:r>
          </w:p>
        </w:tc>
      </w:tr>
    </w:tbl>
    <w:p>
      <w:pPr>
        <w:spacing w:after="80"/>
      </w:pPr>
    </w:p>
    <w:tbl>
      <w:tblPr>
        <w:tblStyle w:val="TableGrid"/>
        <w:tblW w:type="auto" w:w="0"/>
        <w:tblLook w:firstColumn="1" w:firstRow="1" w:lastColumn="0" w:lastRow="0" w:noHBand="0" w:noVBand="1" w:val="04A0"/>
      </w:tblPr>
      <w:tblGrid>
        <w:gridCol w:w="9504"/>
      </w:tblGrid>
      <w:tr>
        <w:tc>
          <w:tcPr>
            <w:tcW w:type="dxa" w:w="9504"/>
            <w:shd w:val="clear" w:fill="F2F5F9"/>
          </w:tcPr>
          <w:p>
            <w:pPr>
              <w:spacing w:after="40"/>
            </w:pPr>
            <w:r/>
            <w:r>
              <w:rPr>
                <w:b/>
                <w:color w:val="1F3864"/>
                <w:sz w:val="19"/>
              </w:rPr>
              <w:t xml:space="preserve">If the board is empty  </w:t>
            </w:r>
            <w:r>
              <w:rPr>
                <w:sz w:val="19"/>
              </w:rPr>
              <w:t>Holding the role is not enough on its own — you also have to be assigned to a work driver. Your manager does this on the work driver record. Until then you will sign in successfully and see nothing.</w:t>
            </w:r>
          </w:p>
        </w:tc>
      </w:tr>
    </w:tbl>
    <w:p>
      <w:pPr>
        <w:spacing w:after="80"/>
      </w:pPr>
    </w:p>
    <w:p>
      <w:r>
        <w:br w:type="page"/>
      </w:r>
    </w:p>
    <w:p>
      <w:pPr>
        <w:pStyle w:val="Heading1"/>
      </w:pPr>
      <w:r>
        <w:rPr>
          <w:b w:val="0"/>
          <w:i w:val="0"/>
        </w:rPr>
        <w:t>2. Getting started</w:t>
      </w:r>
    </w:p>
    <w:p>
      <w:pPr>
        <w:pStyle w:val="Heading2"/>
      </w:pPr>
      <w:r>
        <w:rPr>
          <w:b w:val="0"/>
          <w:i w:val="0"/>
        </w:rPr>
        <w:t>Signing in</w:t>
      </w:r>
    </w:p>
    <w:p>
      <w:r>
        <w:rPr>
          <w:b w:val="0"/>
          <w:i w:val="0"/>
        </w:rPr>
        <w:t xml:space="preserve">Open </w:t>
      </w:r>
      <w:r>
        <w:rPr>
          <w:rFonts w:ascii="Consolas" w:hAnsi="Consolas"/>
          <w:b w:val="0"/>
          <w:i w:val="0"/>
          <w:sz w:val="19"/>
        </w:rPr>
        <w:t>https://nomurabsmdev.service-now.com/nexai</w:t>
      </w:r>
      <w:r>
        <w:rPr>
          <w:b w:val="0"/>
          <w:i w:val="0"/>
        </w:rPr>
        <w:t xml:space="preserve"> in your browser. Sign-in uses your normal corporate credentials — there is no separate password for this application.</w:t>
      </w:r>
    </w:p>
    <w:p>
      <w:pPr>
        <w:pStyle w:val="Heading2"/>
      </w:pPr>
      <w:r>
        <w:rPr>
          <w:b w:val="0"/>
          <w:i w:val="0"/>
        </w:rPr>
        <w:t>Finding your way around</w:t>
      </w:r>
    </w:p>
    <w:p>
      <w:r>
        <w:rPr>
          <w:b w:val="0"/>
          <w:i w:val="0"/>
        </w:rPr>
        <w:t>Every screen carries the same navigation bar across the top. The pages you will use most:</w:t>
      </w:r>
    </w:p>
    <w:tbl>
      <w:tblPr>
        <w:tblStyle w:val="TableGrid"/>
        <w:tblW w:type="auto" w:w="0"/>
        <w:jc w:val="left"/>
        <w:tblLook w:firstColumn="1" w:firstRow="1" w:lastColumn="0" w:lastRow="0" w:noHBand="0" w:noVBand="1" w:val="04A0"/>
      </w:tblPr>
      <w:tblGrid>
        <w:gridCol w:w="4752"/>
        <w:gridCol w:w="4752"/>
      </w:tblGrid>
      <w:tr>
        <w:tc>
          <w:tcPr>
            <w:tcW w:type="dxa" w:w="2736"/>
            <w:shd w:val="clear" w:fill="1F3864"/>
          </w:tcPr>
          <w:p>
            <w:pPr>
              <w:spacing w:after="40"/>
            </w:pPr>
            <w:r/>
            <w:r>
              <w:rPr>
                <w:b/>
                <w:color w:val="FFFFFF"/>
                <w:sz w:val="19"/>
              </w:rPr>
              <w:t>Screen</w:t>
            </w:r>
          </w:p>
        </w:tc>
        <w:tc>
          <w:tcPr>
            <w:tcW w:type="dxa" w:w="5760"/>
            <w:shd w:val="clear" w:fill="1F3864"/>
          </w:tcPr>
          <w:p>
            <w:pPr>
              <w:spacing w:after="40"/>
            </w:pPr>
            <w:r/>
            <w:r>
              <w:rPr>
                <w:b/>
                <w:color w:val="FFFFFF"/>
                <w:sz w:val="19"/>
              </w:rPr>
              <w:t>What it is for</w:t>
            </w:r>
          </w:p>
        </w:tc>
      </w:tr>
      <w:tr>
        <w:tc>
          <w:tcPr>
            <w:tcW w:type="dxa" w:w="2736"/>
          </w:tcPr>
          <w:p>
            <w:pPr>
              <w:spacing w:after="40"/>
            </w:pPr>
            <w:r/>
            <w:r>
              <w:rPr>
                <w:b/>
                <w:sz w:val="19"/>
              </w:rPr>
              <w:t>OTC Settlements</w:t>
            </w:r>
          </w:p>
        </w:tc>
        <w:tc>
          <w:tcPr>
            <w:tcW w:type="dxa" w:w="5760"/>
          </w:tcPr>
          <w:p>
            <w:pPr>
              <w:spacing w:after="40"/>
            </w:pPr>
            <w:r/>
            <w:r>
              <w:rPr>
                <w:sz w:val="19"/>
              </w:rPr>
              <w:t>The board. Your working list — start here every day.</w:t>
            </w:r>
          </w:p>
        </w:tc>
      </w:tr>
      <w:tr>
        <w:tc>
          <w:tcPr>
            <w:tcW w:type="dxa" w:w="2736"/>
          </w:tcPr>
          <w:p>
            <w:pPr>
              <w:spacing w:after="40"/>
            </w:pPr>
            <w:r/>
            <w:r>
              <w:rPr>
                <w:b/>
                <w:sz w:val="19"/>
              </w:rPr>
              <w:t>OTC AI Extraction</w:t>
            </w:r>
          </w:p>
        </w:tc>
        <w:tc>
          <w:tcPr>
            <w:tcW w:type="dxa" w:w="5760"/>
          </w:tcPr>
          <w:p>
            <w:pPr>
              <w:spacing w:after="40"/>
            </w:pPr>
            <w:r/>
            <w:r>
              <w:rPr>
                <w:sz w:val="19"/>
              </w:rPr>
              <w:t>The case screen for one cashflow: the mail on one side, what was read out of it on the other.</w:t>
            </w:r>
          </w:p>
        </w:tc>
      </w:tr>
      <w:tr>
        <w:tc>
          <w:tcPr>
            <w:tcW w:type="dxa" w:w="2736"/>
          </w:tcPr>
          <w:p>
            <w:pPr>
              <w:spacing w:after="40"/>
            </w:pPr>
            <w:r/>
            <w:r>
              <w:rPr>
                <w:b/>
                <w:sz w:val="19"/>
              </w:rPr>
              <w:t>Compare &amp; Match</w:t>
            </w:r>
          </w:p>
        </w:tc>
        <w:tc>
          <w:tcPr>
            <w:tcW w:type="dxa" w:w="5760"/>
          </w:tcPr>
          <w:p>
            <w:pPr>
              <w:spacing w:after="40"/>
            </w:pPr>
            <w:r/>
            <w:r>
              <w:rPr>
                <w:sz w:val="19"/>
              </w:rPr>
              <w:t>The booking candidates for a cashflow, side by side.</w:t>
            </w:r>
          </w:p>
        </w:tc>
      </w:tr>
      <w:tr>
        <w:tc>
          <w:tcPr>
            <w:tcW w:type="dxa" w:w="2736"/>
          </w:tcPr>
          <w:p>
            <w:pPr>
              <w:spacing w:after="40"/>
            </w:pPr>
            <w:r/>
            <w:r>
              <w:rPr>
                <w:b/>
                <w:sz w:val="19"/>
              </w:rPr>
              <w:t>Audit Trail</w:t>
            </w:r>
          </w:p>
        </w:tc>
        <w:tc>
          <w:tcPr>
            <w:tcW w:type="dxa" w:w="5760"/>
          </w:tcPr>
          <w:p>
            <w:pPr>
              <w:spacing w:after="40"/>
            </w:pPr>
            <w:r/>
            <w:r>
              <w:rPr>
                <w:sz w:val="19"/>
              </w:rPr>
              <w:t>Everything that has happened to a mail or a cashflow, in order.</w:t>
            </w:r>
          </w:p>
        </w:tc>
      </w:tr>
      <w:tr>
        <w:tc>
          <w:tcPr>
            <w:tcW w:type="dxa" w:w="2736"/>
          </w:tcPr>
          <w:p>
            <w:pPr>
              <w:spacing w:after="40"/>
            </w:pPr>
            <w:r/>
            <w:r>
              <w:rPr>
                <w:b/>
                <w:sz w:val="19"/>
              </w:rPr>
              <w:t>Dashboard</w:t>
            </w:r>
          </w:p>
        </w:tc>
        <w:tc>
          <w:tcPr>
            <w:tcW w:type="dxa" w:w="5760"/>
          </w:tcPr>
          <w:p>
            <w:pPr>
              <w:spacing w:after="40"/>
            </w:pPr>
            <w:r/>
            <w:r>
              <w:rPr>
                <w:sz w:val="19"/>
              </w:rPr>
              <w:t>Volumes and progress across your work drivers.</w:t>
            </w:r>
          </w:p>
        </w:tc>
      </w:tr>
      <w:tr>
        <w:tc>
          <w:tcPr>
            <w:tcW w:type="dxa" w:w="2736"/>
          </w:tcPr>
          <w:p>
            <w:pPr>
              <w:spacing w:after="40"/>
            </w:pPr>
            <w:r/>
            <w:r>
              <w:rPr>
                <w:b/>
                <w:sz w:val="19"/>
              </w:rPr>
              <w:t>AI Usage &amp; Cost</w:t>
            </w:r>
          </w:p>
        </w:tc>
        <w:tc>
          <w:tcPr>
            <w:tcW w:type="dxa" w:w="5760"/>
          </w:tcPr>
          <w:p>
            <w:pPr>
              <w:spacing w:after="40"/>
            </w:pPr>
            <w:r/>
            <w:r>
              <w:rPr>
                <w:sz w:val="19"/>
              </w:rPr>
              <w:t>What the extraction is costing and how long it is taking.</w:t>
            </w:r>
          </w:p>
        </w:tc>
      </w:tr>
      <w:tr>
        <w:tc>
          <w:tcPr>
            <w:tcW w:type="dxa" w:w="2736"/>
          </w:tcPr>
          <w:p>
            <w:pPr>
              <w:spacing w:after="40"/>
            </w:pPr>
            <w:r/>
            <w:r>
              <w:rPr>
                <w:b/>
                <w:sz w:val="19"/>
              </w:rPr>
              <w:t>Work Drivers / Wizard Builder</w:t>
            </w:r>
          </w:p>
        </w:tc>
        <w:tc>
          <w:tcPr>
            <w:tcW w:type="dxa" w:w="5760"/>
          </w:tcPr>
          <w:p>
            <w:pPr>
              <w:spacing w:after="40"/>
            </w:pPr>
            <w:r/>
            <w:r>
              <w:rPr>
                <w:sz w:val="19"/>
              </w:rPr>
              <w:t>Manager screens for configuring a pipeline.</w:t>
            </w:r>
          </w:p>
        </w:tc>
      </w:tr>
    </w:tbl>
    <w:p>
      <w:pPr>
        <w:spacing w:after="80"/>
      </w:pPr>
    </w:p>
    <w:p>
      <w:r>
        <w:br w:type="page"/>
      </w:r>
    </w:p>
    <w:p>
      <w:pPr>
        <w:pStyle w:val="Heading1"/>
      </w:pPr>
      <w:r>
        <w:rPr>
          <w:b w:val="0"/>
          <w:i w:val="0"/>
        </w:rPr>
        <w:t>3. The settlement board</w:t>
      </w:r>
    </w:p>
    <w:p>
      <w:r>
        <w:rPr>
          <w:b w:val="0"/>
          <w:i w:val="0"/>
        </w:rPr>
        <w:t>The board is the screen you live on. It shows the mails your work driver has claimed, the cashflows read out of them, and where each one has got to.</w:t>
      </w:r>
    </w:p>
    <w:p>
      <w:pPr>
        <w:pStyle w:val="Heading2"/>
      </w:pPr>
      <w:r>
        <w:rPr>
          <w:b w:val="0"/>
          <w:i w:val="0"/>
        </w:rPr>
        <w:t>The pipeline summary</w:t>
      </w:r>
    </w:p>
    <w:p>
      <w:r>
        <w:rPr>
          <w:b w:val="0"/>
          <w:i w:val="0"/>
        </w:rPr>
        <w:t>Across the top, three numbers tell you what happened to the mailbox:</w:t>
      </w:r>
    </w:p>
    <w:tbl>
      <w:tblPr>
        <w:tblStyle w:val="TableGrid"/>
        <w:tblW w:type="auto" w:w="0"/>
        <w:jc w:val="left"/>
        <w:tblLook w:firstColumn="1" w:firstRow="1" w:lastColumn="0" w:lastRow="0" w:noHBand="0" w:noVBand="1" w:val="04A0"/>
      </w:tblPr>
      <w:tblGrid>
        <w:gridCol w:w="4752"/>
        <w:gridCol w:w="4752"/>
      </w:tblGrid>
      <w:tr>
        <w:tc>
          <w:tcPr>
            <w:tcW w:type="dxa" w:w="2160"/>
            <w:shd w:val="clear" w:fill="1F3864"/>
          </w:tcPr>
          <w:p>
            <w:pPr>
              <w:spacing w:after="40"/>
            </w:pPr>
            <w:r/>
            <w:r>
              <w:rPr>
                <w:b/>
                <w:color w:val="FFFFFF"/>
                <w:sz w:val="19"/>
              </w:rPr>
              <w:t>Figure</w:t>
            </w:r>
          </w:p>
        </w:tc>
        <w:tc>
          <w:tcPr>
            <w:tcW w:type="dxa" w:w="6336"/>
            <w:shd w:val="clear" w:fill="1F3864"/>
          </w:tcPr>
          <w:p>
            <w:pPr>
              <w:spacing w:after="40"/>
            </w:pPr>
            <w:r/>
            <w:r>
              <w:rPr>
                <w:b/>
                <w:color w:val="FFFFFF"/>
                <w:sz w:val="19"/>
              </w:rPr>
              <w:t>Meaning</w:t>
            </w:r>
          </w:p>
        </w:tc>
      </w:tr>
      <w:tr>
        <w:tc>
          <w:tcPr>
            <w:tcW w:type="dxa" w:w="2160"/>
          </w:tcPr>
          <w:p>
            <w:pPr>
              <w:spacing w:after="40"/>
            </w:pPr>
            <w:r/>
            <w:r>
              <w:rPr>
                <w:b/>
                <w:sz w:val="19"/>
              </w:rPr>
              <w:t>Scanned</w:t>
            </w:r>
          </w:p>
        </w:tc>
        <w:tc>
          <w:tcPr>
            <w:tcW w:type="dxa" w:w="6336"/>
          </w:tcPr>
          <w:p>
            <w:pPr>
              <w:spacing w:after="40"/>
            </w:pPr>
            <w:r/>
            <w:r>
              <w:rPr>
                <w:sz w:val="19"/>
              </w:rPr>
              <w:t>How many mails the work driver looked at.</w:t>
            </w:r>
          </w:p>
        </w:tc>
      </w:tr>
      <w:tr>
        <w:tc>
          <w:tcPr>
            <w:tcW w:type="dxa" w:w="2160"/>
          </w:tcPr>
          <w:p>
            <w:pPr>
              <w:spacing w:after="40"/>
            </w:pPr>
            <w:r/>
            <w:r>
              <w:rPr>
                <w:b/>
                <w:sz w:val="19"/>
              </w:rPr>
              <w:t>− n filtered</w:t>
            </w:r>
          </w:p>
        </w:tc>
        <w:tc>
          <w:tcPr>
            <w:tcW w:type="dxa" w:w="6336"/>
          </w:tcPr>
          <w:p>
            <w:pPr>
              <w:spacing w:after="40"/>
            </w:pPr>
            <w:r/>
            <w:r>
              <w:rPr>
                <w:sz w:val="19"/>
              </w:rPr>
              <w:t>How many were set aside as not relevant to this desk — replies and forwards, quoted threads, and senders on the noise list.</w:t>
            </w:r>
          </w:p>
        </w:tc>
      </w:tr>
      <w:tr>
        <w:tc>
          <w:tcPr>
            <w:tcW w:type="dxa" w:w="2160"/>
          </w:tcPr>
          <w:p>
            <w:pPr>
              <w:spacing w:after="40"/>
            </w:pPr>
            <w:r/>
            <w:r>
              <w:rPr>
                <w:b/>
                <w:sz w:val="19"/>
              </w:rPr>
              <w:t>Identified</w:t>
            </w:r>
          </w:p>
        </w:tc>
        <w:tc>
          <w:tcPr>
            <w:tcW w:type="dxa" w:w="6336"/>
          </w:tcPr>
          <w:p>
            <w:pPr>
              <w:spacing w:after="40"/>
            </w:pPr>
            <w:r/>
            <w:r>
              <w:rPr>
                <w:sz w:val="19"/>
              </w:rPr>
              <w:t>How many this work driver claimed and processed.</w:t>
            </w:r>
          </w:p>
        </w:tc>
      </w:tr>
    </w:tbl>
    <w:p>
      <w:pPr>
        <w:spacing w:after="80"/>
      </w:pPr>
    </w:p>
    <w:p>
      <w:r>
        <w:rPr>
          <w:b w:val="0"/>
          <w:i w:val="0"/>
        </w:rPr>
        <w:t>Below them sit the working totals: Total Trades Assigned, Pending Confirmation and Matched.</w:t>
      </w:r>
    </w:p>
    <w:p>
      <w:pPr>
        <w:pStyle w:val="Heading2"/>
      </w:pPr>
      <w:r>
        <w:rPr>
          <w:b w:val="0"/>
          <w:i w:val="0"/>
        </w:rPr>
        <w:t>Running the workflow</w:t>
      </w:r>
    </w:p>
    <w:p>
      <w:r>
        <w:rPr>
          <w:b w:val="0"/>
          <w:i w:val="0"/>
        </w:rPr>
        <w:t xml:space="preserve">Press </w:t>
      </w:r>
      <w:r>
        <w:rPr>
          <w:b/>
          <w:i w:val="0"/>
        </w:rPr>
        <w:t>Sync now</w:t>
      </w:r>
      <w:r>
        <w:rPr>
          <w:b w:val="0"/>
          <w:i w:val="0"/>
        </w:rPr>
        <w:t xml:space="preserve"> to process the mailbox. Each mail is handled independently and in parallel, so the button returns immediately and a progress line updates as the work completes. You do not need to wait on the screen.</w:t>
      </w:r>
    </w:p>
    <w:tbl>
      <w:tblPr>
        <w:tblStyle w:val="TableGrid"/>
        <w:tblW w:type="auto" w:w="0"/>
        <w:tblLook w:firstColumn="1" w:firstRow="1" w:lastColumn="0" w:lastRow="0" w:noHBand="0" w:noVBand="1" w:val="04A0"/>
      </w:tblPr>
      <w:tblGrid>
        <w:gridCol w:w="9504"/>
      </w:tblGrid>
      <w:tr>
        <w:tc>
          <w:tcPr>
            <w:tcW w:type="dxa" w:w="9504"/>
            <w:shd w:val="clear" w:fill="F2F5F9"/>
          </w:tcPr>
          <w:p>
            <w:pPr>
              <w:spacing w:after="40"/>
            </w:pPr>
            <w:r/>
            <w:r>
              <w:rPr>
                <w:b/>
                <w:color w:val="1F3864"/>
                <w:sz w:val="19"/>
              </w:rPr>
              <w:t xml:space="preserve">Sync is safe to repeat  </w:t>
            </w:r>
            <w:r>
              <w:rPr>
                <w:sz w:val="19"/>
              </w:rPr>
              <w:t>A mail that has already been processed is skipped, so pressing Sync now twice does not duplicate anything and does not re-run the extraction.</w:t>
            </w:r>
          </w:p>
        </w:tc>
      </w:tr>
    </w:tbl>
    <w:p>
      <w:pPr>
        <w:spacing w:after="80"/>
      </w:pPr>
    </w:p>
    <w:p>
      <w:pPr>
        <w:pStyle w:val="Heading2"/>
      </w:pPr>
      <w:r>
        <w:rPr>
          <w:b w:val="0"/>
          <w:i w:val="0"/>
        </w:rPr>
        <w:t>Filtering the list</w:t>
      </w:r>
    </w:p>
    <w:p>
      <w:r>
        <w:rPr>
          <w:b w:val="0"/>
          <w:i w:val="0"/>
        </w:rPr>
        <w:t>The tabs along the top of the table follow a cashflow through its life:</w:t>
      </w:r>
    </w:p>
    <w:tbl>
      <w:tblPr>
        <w:tblStyle w:val="TableGrid"/>
        <w:tblW w:type="auto" w:w="0"/>
        <w:jc w:val="left"/>
        <w:tblLook w:firstColumn="1" w:firstRow="1" w:lastColumn="0" w:lastRow="0" w:noHBand="0" w:noVBand="1" w:val="04A0"/>
      </w:tblPr>
      <w:tblGrid>
        <w:gridCol w:w="4752"/>
        <w:gridCol w:w="4752"/>
      </w:tblGrid>
      <w:tr>
        <w:tc>
          <w:tcPr>
            <w:tcW w:type="dxa" w:w="2736"/>
            <w:shd w:val="clear" w:fill="1F3864"/>
          </w:tcPr>
          <w:p>
            <w:pPr>
              <w:spacing w:after="40"/>
            </w:pPr>
            <w:r/>
            <w:r>
              <w:rPr>
                <w:b/>
                <w:color w:val="FFFFFF"/>
                <w:sz w:val="19"/>
              </w:rPr>
              <w:t>Tab</w:t>
            </w:r>
          </w:p>
        </w:tc>
        <w:tc>
          <w:tcPr>
            <w:tcW w:type="dxa" w:w="5760"/>
            <w:shd w:val="clear" w:fill="1F3864"/>
          </w:tcPr>
          <w:p>
            <w:pPr>
              <w:spacing w:after="40"/>
            </w:pPr>
            <w:r/>
            <w:r>
              <w:rPr>
                <w:b/>
                <w:color w:val="FFFFFF"/>
                <w:sz w:val="19"/>
              </w:rPr>
              <w:t>What is in it</w:t>
            </w:r>
          </w:p>
        </w:tc>
      </w:tr>
      <w:tr>
        <w:tc>
          <w:tcPr>
            <w:tcW w:type="dxa" w:w="2736"/>
          </w:tcPr>
          <w:p>
            <w:pPr>
              <w:spacing w:after="40"/>
            </w:pPr>
            <w:r/>
            <w:r>
              <w:rPr>
                <w:b/>
                <w:sz w:val="19"/>
              </w:rPr>
              <w:t>Awaiting Confirmation</w:t>
            </w:r>
          </w:p>
        </w:tc>
        <w:tc>
          <w:tcPr>
            <w:tcW w:type="dxa" w:w="5760"/>
          </w:tcPr>
          <w:p>
            <w:pPr>
              <w:spacing w:after="40"/>
            </w:pPr>
            <w:r/>
            <w:r>
              <w:rPr>
                <w:sz w:val="19"/>
              </w:rPr>
              <w:t>Read but not yet reviewed by anyone. This is your queue.</w:t>
            </w:r>
          </w:p>
        </w:tc>
      </w:tr>
      <w:tr>
        <w:tc>
          <w:tcPr>
            <w:tcW w:type="dxa" w:w="2736"/>
          </w:tcPr>
          <w:p>
            <w:pPr>
              <w:spacing w:after="40"/>
            </w:pPr>
            <w:r/>
            <w:r>
              <w:rPr>
                <w:b/>
                <w:sz w:val="19"/>
              </w:rPr>
              <w:t>Awaiting Review</w:t>
            </w:r>
          </w:p>
        </w:tc>
        <w:tc>
          <w:tcPr>
            <w:tcW w:type="dxa" w:w="5760"/>
          </w:tcPr>
          <w:p>
            <w:pPr>
              <w:spacing w:after="40"/>
            </w:pPr>
            <w:r/>
            <w:r>
              <w:rPr>
                <w:sz w:val="19"/>
              </w:rPr>
              <w:t>You have confirmed the figures; the match outcome is with the next step.</w:t>
            </w:r>
          </w:p>
        </w:tc>
      </w:tr>
      <w:tr>
        <w:tc>
          <w:tcPr>
            <w:tcW w:type="dxa" w:w="2736"/>
          </w:tcPr>
          <w:p>
            <w:pPr>
              <w:spacing w:after="40"/>
            </w:pPr>
            <w:r/>
            <w:r>
              <w:rPr>
                <w:b/>
                <w:sz w:val="19"/>
              </w:rPr>
              <w:t>Resolved — Matched</w:t>
            </w:r>
          </w:p>
        </w:tc>
        <w:tc>
          <w:tcPr>
            <w:tcW w:type="dxa" w:w="5760"/>
          </w:tcPr>
          <w:p>
            <w:pPr>
              <w:spacing w:after="40"/>
            </w:pPr>
            <w:r/>
            <w:r>
              <w:rPr>
                <w:sz w:val="19"/>
              </w:rPr>
              <w:t>Agreed against a booking and closed.</w:t>
            </w:r>
          </w:p>
        </w:tc>
      </w:tr>
      <w:tr>
        <w:tc>
          <w:tcPr>
            <w:tcW w:type="dxa" w:w="2736"/>
          </w:tcPr>
          <w:p>
            <w:pPr>
              <w:spacing w:after="40"/>
            </w:pPr>
            <w:r/>
            <w:r>
              <w:rPr>
                <w:b/>
                <w:sz w:val="19"/>
              </w:rPr>
              <w:t>Resolved — Unmatched</w:t>
            </w:r>
          </w:p>
        </w:tc>
        <w:tc>
          <w:tcPr>
            <w:tcW w:type="dxa" w:w="5760"/>
          </w:tcPr>
          <w:p>
            <w:pPr>
              <w:spacing w:after="40"/>
            </w:pPr>
            <w:r/>
            <w:r>
              <w:rPr>
                <w:sz w:val="19"/>
              </w:rPr>
              <w:t>Closed without a match — alleged, or recorded as no match.</w:t>
            </w:r>
          </w:p>
        </w:tc>
      </w:tr>
    </w:tbl>
    <w:p>
      <w:pPr>
        <w:spacing w:after="80"/>
      </w:pPr>
    </w:p>
    <w:p>
      <w:r>
        <w:rPr>
          <w:b w:val="0"/>
          <w:i w:val="0"/>
        </w:rPr>
        <w:t>Alongside them are filters for Counterparty and Compare and Match Status, and a search box that looks across mail id, counterparty, amount, currency, direction, value date, classification and match status at once.</w:t>
      </w:r>
    </w:p>
    <w:p>
      <w:r>
        <w:br w:type="page"/>
      </w:r>
    </w:p>
    <w:p>
      <w:pPr>
        <w:pStyle w:val="Heading1"/>
      </w:pPr>
      <w:r>
        <w:rPr>
          <w:b w:val="0"/>
          <w:i w:val="0"/>
        </w:rPr>
        <w:t>4. Reviewing a mail</w:t>
      </w:r>
    </w:p>
    <w:p>
      <w:r>
        <w:rPr>
          <w:b w:val="0"/>
          <w:i w:val="0"/>
        </w:rPr>
        <w:t>Click any row on the board to open the case screen. It has two halves, and the point of the layout is that you never have to take the system’s word for anything.</w:t>
      </w:r>
    </w:p>
    <w:tbl>
      <w:tblPr>
        <w:tblStyle w:val="TableGrid"/>
        <w:tblW w:type="auto" w:w="0"/>
        <w:jc w:val="left"/>
        <w:tblLook w:firstColumn="1" w:firstRow="1" w:lastColumn="0" w:lastRow="0" w:noHBand="0" w:noVBand="1" w:val="04A0"/>
      </w:tblPr>
      <w:tblGrid>
        <w:gridCol w:w="4752"/>
        <w:gridCol w:w="4752"/>
      </w:tblGrid>
      <w:tr>
        <w:tc>
          <w:tcPr>
            <w:tcW w:type="dxa" w:w="2304"/>
            <w:shd w:val="clear" w:fill="1F3864"/>
          </w:tcPr>
          <w:p>
            <w:pPr>
              <w:spacing w:after="40"/>
            </w:pPr>
            <w:r/>
            <w:r>
              <w:rPr>
                <w:b/>
                <w:color w:val="FFFFFF"/>
                <w:sz w:val="19"/>
              </w:rPr>
              <w:t>Pane</w:t>
            </w:r>
          </w:p>
        </w:tc>
        <w:tc>
          <w:tcPr>
            <w:tcW w:type="dxa" w:w="6192"/>
            <w:shd w:val="clear" w:fill="1F3864"/>
          </w:tcPr>
          <w:p>
            <w:pPr>
              <w:spacing w:after="40"/>
            </w:pPr>
            <w:r/>
            <w:r>
              <w:rPr>
                <w:b/>
                <w:color w:val="FFFFFF"/>
                <w:sz w:val="19"/>
              </w:rPr>
              <w:t>What it shows</w:t>
            </w:r>
          </w:p>
        </w:tc>
      </w:tr>
      <w:tr>
        <w:tc>
          <w:tcPr>
            <w:tcW w:type="dxa" w:w="2304"/>
          </w:tcPr>
          <w:p>
            <w:pPr>
              <w:spacing w:after="40"/>
            </w:pPr>
            <w:r/>
            <w:r>
              <w:rPr>
                <w:b/>
                <w:sz w:val="19"/>
              </w:rPr>
              <w:t>Mail contents</w:t>
            </w:r>
          </w:p>
        </w:tc>
        <w:tc>
          <w:tcPr>
            <w:tcW w:type="dxa" w:w="6192"/>
          </w:tcPr>
          <w:p>
            <w:pPr>
              <w:spacing w:after="40"/>
            </w:pPr>
            <w:r/>
            <w:r>
              <w:rPr>
                <w:sz w:val="19"/>
              </w:rPr>
              <w:t>The original message as the counterparty sent it, tables intact.</w:t>
            </w:r>
          </w:p>
        </w:tc>
      </w:tr>
      <w:tr>
        <w:tc>
          <w:tcPr>
            <w:tcW w:type="dxa" w:w="2304"/>
          </w:tcPr>
          <w:p>
            <w:pPr>
              <w:spacing w:after="40"/>
            </w:pPr>
            <w:r/>
            <w:r>
              <w:rPr>
                <w:b/>
                <w:sz w:val="19"/>
              </w:rPr>
              <w:t>Extracted fields</w:t>
            </w:r>
          </w:p>
        </w:tc>
        <w:tc>
          <w:tcPr>
            <w:tcW w:type="dxa" w:w="6192"/>
          </w:tcPr>
          <w:p>
            <w:pPr>
              <w:spacing w:after="40"/>
            </w:pPr>
            <w:r/>
            <w:r>
              <w:rPr>
                <w:sz w:val="19"/>
              </w:rPr>
              <w:t>What was read out of it — one block per cashflow.</w:t>
            </w:r>
          </w:p>
        </w:tc>
      </w:tr>
    </w:tbl>
    <w:p>
      <w:pPr>
        <w:spacing w:after="80"/>
      </w:pPr>
    </w:p>
    <w:p>
      <w:pPr>
        <w:pStyle w:val="Heading2"/>
      </w:pPr>
      <w:r>
        <w:rPr>
          <w:b w:val="0"/>
          <w:i w:val="0"/>
        </w:rPr>
        <w:t>Checking a value against the mail</w:t>
      </w:r>
    </w:p>
    <w:p>
      <w:r>
        <w:rPr>
          <w:b w:val="0"/>
          <w:i w:val="0"/>
        </w:rPr>
        <w:t>When a value is shown on the right, the place it came from is highlighted on the left. If a figure is not highlighted, it was not found in the message in that form — which is itself worth a look before you confirm.</w:t>
      </w:r>
    </w:p>
    <w:tbl>
      <w:tblPr>
        <w:tblStyle w:val="TableGrid"/>
        <w:tblW w:type="auto" w:w="0"/>
        <w:tblLook w:firstColumn="1" w:firstRow="1" w:lastColumn="0" w:lastRow="0" w:noHBand="0" w:noVBand="1" w:val="04A0"/>
      </w:tblPr>
      <w:tblGrid>
        <w:gridCol w:w="9504"/>
      </w:tblGrid>
      <w:tr>
        <w:tc>
          <w:tcPr>
            <w:tcW w:type="dxa" w:w="9504"/>
            <w:shd w:val="clear" w:fill="F2F5F9"/>
          </w:tcPr>
          <w:p>
            <w:pPr>
              <w:spacing w:after="40"/>
            </w:pPr>
            <w:r/>
            <w:r>
              <w:rPr>
                <w:b/>
                <w:color w:val="1F3864"/>
                <w:sz w:val="19"/>
              </w:rPr>
              <w:t xml:space="preserve">Why a value is sometimes not highlighted  </w:t>
            </w:r>
            <w:r>
              <w:rPr>
                <w:sz w:val="19"/>
              </w:rPr>
              <w:t>A value is only marked where the system can prove the highlighted text converts back to exactly the value it stored. A near miss is deliberately left unmarked rather than highlighted in the wrong place — on a settlement screen, a confident wrong answer is worse than no answer.</w:t>
            </w:r>
          </w:p>
        </w:tc>
      </w:tr>
    </w:tbl>
    <w:p>
      <w:pPr>
        <w:spacing w:after="80"/>
      </w:pPr>
    </w:p>
    <w:p>
      <w:pPr>
        <w:pStyle w:val="Heading2"/>
      </w:pPr>
      <w:r>
        <w:rPr>
          <w:b w:val="0"/>
          <w:i w:val="0"/>
        </w:rPr>
        <w:t>The fields</w:t>
      </w:r>
    </w:p>
    <w:tbl>
      <w:tblPr>
        <w:tblStyle w:val="TableGrid"/>
        <w:tblW w:type="auto" w:w="0"/>
        <w:jc w:val="left"/>
        <w:tblLook w:firstColumn="1" w:firstRow="1" w:lastColumn="0" w:lastRow="0" w:noHBand="0" w:noVBand="1" w:val="04A0"/>
      </w:tblPr>
      <w:tblGrid>
        <w:gridCol w:w="4752"/>
        <w:gridCol w:w="4752"/>
      </w:tblGrid>
      <w:tr>
        <w:tc>
          <w:tcPr>
            <w:tcW w:type="dxa" w:w="2304"/>
            <w:shd w:val="clear" w:fill="1F3864"/>
          </w:tcPr>
          <w:p>
            <w:pPr>
              <w:spacing w:after="40"/>
            </w:pPr>
            <w:r/>
            <w:r>
              <w:rPr>
                <w:b/>
                <w:color w:val="FFFFFF"/>
                <w:sz w:val="19"/>
              </w:rPr>
              <w:t>Field</w:t>
            </w:r>
          </w:p>
        </w:tc>
        <w:tc>
          <w:tcPr>
            <w:tcW w:type="dxa" w:w="6192"/>
            <w:shd w:val="clear" w:fill="1F3864"/>
          </w:tcPr>
          <w:p>
            <w:pPr>
              <w:spacing w:after="40"/>
            </w:pPr>
            <w:r/>
            <w:r>
              <w:rPr>
                <w:b/>
                <w:color w:val="FFFFFF"/>
                <w:sz w:val="19"/>
              </w:rPr>
              <w:t>Notes</w:t>
            </w:r>
          </w:p>
        </w:tc>
      </w:tr>
      <w:tr>
        <w:tc>
          <w:tcPr>
            <w:tcW w:type="dxa" w:w="2304"/>
          </w:tcPr>
          <w:p>
            <w:pPr>
              <w:spacing w:after="40"/>
            </w:pPr>
            <w:r/>
            <w:r>
              <w:rPr>
                <w:b/>
                <w:sz w:val="19"/>
              </w:rPr>
              <w:t>Counterparty</w:t>
            </w:r>
          </w:p>
        </w:tc>
        <w:tc>
          <w:tcPr>
            <w:tcW w:type="dxa" w:w="6192"/>
          </w:tcPr>
          <w:p>
            <w:pPr>
              <w:spacing w:after="40"/>
            </w:pPr>
            <w:r/>
            <w:r>
              <w:rPr>
                <w:sz w:val="19"/>
              </w:rPr>
              <w:t>Derived from the sender’s address through the counterparty directory. It is never read out of the message text. Blank means the sender is not in the directory.</w:t>
            </w:r>
          </w:p>
        </w:tc>
      </w:tr>
      <w:tr>
        <w:tc>
          <w:tcPr>
            <w:tcW w:type="dxa" w:w="2304"/>
          </w:tcPr>
          <w:p>
            <w:pPr>
              <w:spacing w:after="40"/>
            </w:pPr>
            <w:r/>
            <w:r>
              <w:rPr>
                <w:b/>
                <w:sz w:val="19"/>
              </w:rPr>
              <w:t>Amount</w:t>
            </w:r>
          </w:p>
        </w:tc>
        <w:tc>
          <w:tcPr>
            <w:tcW w:type="dxa" w:w="6192"/>
          </w:tcPr>
          <w:p>
            <w:pPr>
              <w:spacing w:after="40"/>
            </w:pPr>
            <w:r/>
            <w:r>
              <w:rPr>
                <w:sz w:val="19"/>
              </w:rPr>
              <w:t>Carries the sign of Nomura’s side: a receive is positive, a pay is negative.</w:t>
            </w:r>
          </w:p>
        </w:tc>
      </w:tr>
      <w:tr>
        <w:tc>
          <w:tcPr>
            <w:tcW w:type="dxa" w:w="2304"/>
          </w:tcPr>
          <w:p>
            <w:pPr>
              <w:spacing w:after="40"/>
            </w:pPr>
            <w:r/>
            <w:r>
              <w:rPr>
                <w:b/>
                <w:sz w:val="19"/>
              </w:rPr>
              <w:t>Currency</w:t>
            </w:r>
          </w:p>
        </w:tc>
        <w:tc>
          <w:tcPr>
            <w:tcW w:type="dxa" w:w="6192"/>
          </w:tcPr>
          <w:p>
            <w:pPr>
              <w:spacing w:after="40"/>
            </w:pPr>
            <w:r/>
            <w:r>
              <w:rPr>
                <w:sz w:val="19"/>
              </w:rPr>
              <w:t>As stated in the message.</w:t>
            </w:r>
          </w:p>
        </w:tc>
      </w:tr>
      <w:tr>
        <w:tc>
          <w:tcPr>
            <w:tcW w:type="dxa" w:w="2304"/>
          </w:tcPr>
          <w:p>
            <w:pPr>
              <w:spacing w:after="40"/>
            </w:pPr>
            <w:r/>
            <w:r>
              <w:rPr>
                <w:b/>
                <w:sz w:val="19"/>
              </w:rPr>
              <w:t>Nomura Direction</w:t>
            </w:r>
          </w:p>
        </w:tc>
        <w:tc>
          <w:tcPr>
            <w:tcW w:type="dxa" w:w="6192"/>
          </w:tcPr>
          <w:p>
            <w:pPr>
              <w:spacing w:after="40"/>
            </w:pPr>
            <w:r/>
            <w:r>
              <w:rPr>
                <w:sz w:val="19"/>
              </w:rPr>
              <w:t>Receive or Pay, from Nomura’s point of view — not the counterparty’s. Counterparty messages often state their own side; this field is already flipped for you.</w:t>
            </w:r>
          </w:p>
        </w:tc>
      </w:tr>
      <w:tr>
        <w:tc>
          <w:tcPr>
            <w:tcW w:type="dxa" w:w="2304"/>
          </w:tcPr>
          <w:p>
            <w:pPr>
              <w:spacing w:after="40"/>
            </w:pPr>
            <w:r/>
            <w:r>
              <w:rPr>
                <w:b/>
                <w:sz w:val="19"/>
              </w:rPr>
              <w:t>Value Date</w:t>
            </w:r>
          </w:p>
        </w:tc>
        <w:tc>
          <w:tcPr>
            <w:tcW w:type="dxa" w:w="6192"/>
          </w:tcPr>
          <w:p>
            <w:pPr>
              <w:spacing w:after="40"/>
            </w:pPr>
            <w:r/>
            <w:r>
              <w:rPr>
                <w:sz w:val="19"/>
              </w:rPr>
              <w:t>The settlement date.</w:t>
            </w:r>
          </w:p>
        </w:tc>
      </w:tr>
      <w:tr>
        <w:tc>
          <w:tcPr>
            <w:tcW w:type="dxa" w:w="2304"/>
          </w:tcPr>
          <w:p>
            <w:pPr>
              <w:spacing w:after="40"/>
            </w:pPr>
            <w:r/>
            <w:r>
              <w:rPr>
                <w:b/>
                <w:sz w:val="19"/>
              </w:rPr>
              <w:t>Reference</w:t>
            </w:r>
          </w:p>
        </w:tc>
        <w:tc>
          <w:tcPr>
            <w:tcW w:type="dxa" w:w="6192"/>
          </w:tcPr>
          <w:p>
            <w:pPr>
              <w:spacing w:after="40"/>
            </w:pPr>
            <w:r/>
            <w:r>
              <w:rPr>
                <w:sz w:val="19"/>
              </w:rPr>
              <w:t>The counterparty’s reference for the trade, where the message carries one.</w:t>
            </w:r>
          </w:p>
        </w:tc>
      </w:tr>
    </w:tbl>
    <w:p>
      <w:pPr>
        <w:spacing w:after="80"/>
      </w:pPr>
    </w:p>
    <w:p>
      <w:pPr>
        <w:pStyle w:val="Heading2"/>
      </w:pPr>
      <w:r>
        <w:rPr>
          <w:b w:val="0"/>
          <w:i w:val="0"/>
        </w:rPr>
        <w:t>Confidence</w:t>
      </w:r>
    </w:p>
    <w:p>
      <w:r>
        <w:rPr>
          <w:b w:val="0"/>
          <w:i w:val="0"/>
        </w:rPr>
        <w:t>Each field carries a confidence level built from two checks: whether the value actually appears in the source text, and whether it is well formed for its type. A low confidence is not an error — it is a request that you look more carefully.</w:t>
      </w:r>
    </w:p>
    <w:p>
      <w:r>
        <w:br w:type="page"/>
      </w:r>
    </w:p>
    <w:p>
      <w:pPr>
        <w:pStyle w:val="Heading1"/>
      </w:pPr>
      <w:r>
        <w:rPr>
          <w:b w:val="0"/>
          <w:i w:val="0"/>
        </w:rPr>
        <w:t>5. Correcting and confirming</w:t>
      </w:r>
    </w:p>
    <w:p>
      <w:pPr>
        <w:pStyle w:val="Heading2"/>
      </w:pPr>
      <w:r>
        <w:rPr>
          <w:b w:val="0"/>
          <w:i w:val="0"/>
        </w:rPr>
        <w:t>Changing a value</w:t>
      </w:r>
    </w:p>
    <w:p>
      <w:pPr>
        <w:pStyle w:val="ListNumber"/>
        <w:spacing w:after="60"/>
        <w:ind w:left="461"/>
      </w:pPr>
      <w:r>
        <w:t>Press Edit on the cashflow you want to change.</w:t>
      </w:r>
    </w:p>
    <w:p>
      <w:pPr>
        <w:pStyle w:val="ListNumber"/>
        <w:spacing w:after="60"/>
        <w:ind w:left="461"/>
      </w:pPr>
      <w:r>
        <w:t>Correct the field.</w:t>
      </w:r>
    </w:p>
    <w:p>
      <w:pPr>
        <w:pStyle w:val="ListNumber"/>
        <w:spacing w:after="60"/>
        <w:ind w:left="461"/>
      </w:pPr>
      <w:r>
        <w:t>Press Save.</w:t>
      </w:r>
    </w:p>
    <w:p>
      <w:r>
        <w:rPr>
          <w:b w:val="0"/>
          <w:i w:val="0"/>
        </w:rPr>
        <w:t>Your change is recorded against the original alongside what the system proposed, so the two are always visible together. Nothing is overwritten silently.</w:t>
      </w:r>
    </w:p>
    <w:p>
      <w:pPr>
        <w:pStyle w:val="Heading2"/>
      </w:pPr>
      <w:r>
        <w:rPr>
          <w:b w:val="0"/>
          <w:i w:val="0"/>
        </w:rPr>
        <w:t>The feedback loop</w:t>
      </w:r>
    </w:p>
    <w:p>
      <w:r>
        <w:rPr>
          <w:b w:val="0"/>
          <w:i w:val="0"/>
        </w:rPr>
        <w:t>Where you have corrected something, a short table appears showing Field, AI Value, Actual Value and Reason. Filling in the reason is worth the few seconds: it is what turns a one-off correction into evidence for improving the extraction.</w:t>
      </w:r>
    </w:p>
    <w:p>
      <w:pPr>
        <w:pStyle w:val="Heading2"/>
      </w:pPr>
      <w:r>
        <w:rPr>
          <w:b w:val="0"/>
          <w:i w:val="0"/>
        </w:rPr>
        <w:t>Confirming</w:t>
      </w:r>
    </w:p>
    <w:p>
      <w:r>
        <w:rPr>
          <w:b w:val="0"/>
          <w:i w:val="0"/>
        </w:rPr>
        <w:t xml:space="preserve">When the figures are right, press </w:t>
      </w:r>
      <w:r>
        <w:rPr>
          <w:b/>
          <w:i w:val="0"/>
        </w:rPr>
        <w:t>Confirm</w:t>
      </w:r>
      <w:r>
        <w:rPr>
          <w:b w:val="0"/>
          <w:i w:val="0"/>
        </w:rPr>
        <w:t>. This is the gate the whole pipeline waits at. Confirming does three things:</w:t>
      </w:r>
    </w:p>
    <w:p>
      <w:pPr>
        <w:pStyle w:val="ListBullet"/>
        <w:spacing w:after="60"/>
        <w:ind w:left="403"/>
      </w:pPr>
      <w:r>
        <w:t>marks the cashflow as agreed by you, with your name against it</w:t>
      </w:r>
    </w:p>
    <w:p>
      <w:pPr>
        <w:pStyle w:val="ListBullet"/>
        <w:spacing w:after="60"/>
        <w:ind w:left="403"/>
      </w:pPr>
      <w:r>
        <w:t>releases it to Compare and Match</w:t>
      </w:r>
    </w:p>
    <w:p>
      <w:pPr>
        <w:pStyle w:val="ListBullet"/>
        <w:spacing w:after="60"/>
        <w:ind w:left="403"/>
      </w:pPr>
      <w:r>
        <w:t>writes an entry to the audit trail</w:t>
      </w:r>
    </w:p>
    <w:tbl>
      <w:tblPr>
        <w:tblStyle w:val="TableGrid"/>
        <w:tblW w:type="auto" w:w="0"/>
        <w:tblLook w:firstColumn="1" w:firstRow="1" w:lastColumn="0" w:lastRow="0" w:noHBand="0" w:noVBand="1" w:val="04A0"/>
      </w:tblPr>
      <w:tblGrid>
        <w:gridCol w:w="9504"/>
      </w:tblGrid>
      <w:tr>
        <w:tc>
          <w:tcPr>
            <w:tcW w:type="dxa" w:w="9504"/>
            <w:shd w:val="clear" w:fill="F2F5F9"/>
          </w:tcPr>
          <w:p>
            <w:pPr>
              <w:spacing w:after="40"/>
            </w:pPr>
            <w:r/>
            <w:r>
              <w:rPr>
                <w:b/>
                <w:color w:val="1F3864"/>
                <w:sz w:val="19"/>
              </w:rPr>
              <w:t xml:space="preserve">Nothing moves until you confirm  </w:t>
            </w:r>
            <w:r>
              <w:rPr>
                <w:sz w:val="19"/>
              </w:rPr>
              <w:t>Matching does not run, and nothing is written back, while a cashflow sits at Awaiting Confirmation. If work appears stalled, this is the first thing to check.</w:t>
            </w:r>
          </w:p>
        </w:tc>
      </w:tr>
    </w:tbl>
    <w:p>
      <w:pPr>
        <w:spacing w:after="80"/>
      </w:pPr>
    </w:p>
    <w:p>
      <w:r>
        <w:rPr>
          <w:b w:val="0"/>
          <w:i w:val="0"/>
        </w:rPr>
        <w:t xml:space="preserve">If you need to revisit a confirmed cashflow, </w:t>
      </w:r>
      <w:r>
        <w:rPr>
          <w:b/>
          <w:i w:val="0"/>
        </w:rPr>
        <w:t>Re-confirm fields</w:t>
      </w:r>
      <w:r>
        <w:rPr>
          <w:b w:val="0"/>
          <w:i w:val="0"/>
        </w:rPr>
        <w:t xml:space="preserve"> reopens it for editing.</w:t>
      </w:r>
    </w:p>
    <w:p>
      <w:r>
        <w:br w:type="page"/>
      </w:r>
    </w:p>
    <w:p>
      <w:pPr>
        <w:pStyle w:val="Heading1"/>
      </w:pPr>
      <w:r>
        <w:rPr>
          <w:b w:val="0"/>
          <w:i w:val="0"/>
        </w:rPr>
        <w:t>6. Compare and Match</w:t>
      </w:r>
    </w:p>
    <w:p>
      <w:r>
        <w:rPr>
          <w:b w:val="0"/>
          <w:i w:val="0"/>
        </w:rPr>
        <w:t>Once you confirm, the cashflow is compared against the bank’s bookings. The comparison runs in three passes, from strictest to widest, and stops at the first one that finds a booking.</w:t>
      </w:r>
    </w:p>
    <w:tbl>
      <w:tblPr>
        <w:tblStyle w:val="TableGrid"/>
        <w:tblW w:type="auto" w:w="0"/>
        <w:jc w:val="left"/>
        <w:tblLook w:firstColumn="1" w:firstRow="1" w:lastColumn="0" w:lastRow="0" w:noHBand="0" w:noVBand="1" w:val="04A0"/>
      </w:tblPr>
      <w:tblGrid>
        <w:gridCol w:w="2376"/>
        <w:gridCol w:w="2376"/>
        <w:gridCol w:w="2376"/>
        <w:gridCol w:w="2376"/>
      </w:tblGrid>
      <w:tr>
        <w:tc>
          <w:tcPr>
            <w:tcW w:type="dxa" w:w="2736"/>
            <w:shd w:val="clear" w:fill="1F3864"/>
          </w:tcPr>
          <w:p>
            <w:pPr>
              <w:spacing w:after="40"/>
            </w:pPr>
            <w:r/>
            <w:r>
              <w:rPr>
                <w:b/>
                <w:color w:val="FFFFFF"/>
                <w:sz w:val="19"/>
              </w:rPr>
              <w:t>Tier</w:t>
            </w:r>
          </w:p>
        </w:tc>
        <w:tc>
          <w:tcPr>
            <w:tcW w:type="dxa" w:w="2160"/>
            <w:shd w:val="clear" w:fill="1F3864"/>
          </w:tcPr>
          <w:p>
            <w:pPr>
              <w:spacing w:after="40"/>
            </w:pPr>
            <w:r/>
            <w:r>
              <w:rPr>
                <w:b/>
                <w:color w:val="FFFFFF"/>
                <w:sz w:val="19"/>
              </w:rPr>
              <w:t>Amount</w:t>
            </w:r>
          </w:p>
        </w:tc>
        <w:tc>
          <w:tcPr>
            <w:tcW w:type="dxa" w:w="2016"/>
            <w:shd w:val="clear" w:fill="1F3864"/>
          </w:tcPr>
          <w:p>
            <w:pPr>
              <w:spacing w:after="40"/>
            </w:pPr>
            <w:r/>
            <w:r>
              <w:rPr>
                <w:b/>
                <w:color w:val="FFFFFF"/>
                <w:sz w:val="19"/>
              </w:rPr>
              <w:t>Value date</w:t>
            </w:r>
          </w:p>
        </w:tc>
        <w:tc>
          <w:tcPr>
            <w:tcW w:type="dxa" w:w="1584"/>
            <w:shd w:val="clear" w:fill="1F3864"/>
          </w:tcPr>
          <w:p>
            <w:pPr>
              <w:spacing w:after="40"/>
            </w:pPr>
            <w:r/>
            <w:r>
              <w:rPr>
                <w:b/>
                <w:color w:val="FFFFFF"/>
                <w:sz w:val="19"/>
              </w:rPr>
              <w:t>Counterparty</w:t>
            </w:r>
          </w:p>
        </w:tc>
      </w:tr>
      <w:tr>
        <w:tc>
          <w:tcPr>
            <w:tcW w:type="dxa" w:w="2736"/>
          </w:tcPr>
          <w:p>
            <w:pPr>
              <w:spacing w:after="40"/>
            </w:pPr>
            <w:r/>
            <w:r>
              <w:rPr>
                <w:b/>
                <w:sz w:val="19"/>
              </w:rPr>
              <w:t>Tier 1</w:t>
            </w:r>
            <w:r>
              <w:rPr>
                <w:sz w:val="19"/>
              </w:rPr>
              <w:t xml:space="preserve"> — exact</w:t>
            </w:r>
          </w:p>
        </w:tc>
        <w:tc>
          <w:tcPr>
            <w:tcW w:type="dxa" w:w="2160"/>
          </w:tcPr>
          <w:p>
            <w:pPr>
              <w:spacing w:after="40"/>
            </w:pPr>
            <w:r/>
            <w:r>
              <w:rPr>
                <w:sz w:val="19"/>
              </w:rPr>
              <w:t>exact</w:t>
            </w:r>
          </w:p>
        </w:tc>
        <w:tc>
          <w:tcPr>
            <w:tcW w:type="dxa" w:w="2016"/>
          </w:tcPr>
          <w:p>
            <w:pPr>
              <w:spacing w:after="40"/>
            </w:pPr>
            <w:r/>
            <w:r>
              <w:rPr>
                <w:sz w:val="19"/>
              </w:rPr>
              <w:t>exact</w:t>
            </w:r>
          </w:p>
        </w:tc>
        <w:tc>
          <w:tcPr>
            <w:tcW w:type="dxa" w:w="1584"/>
          </w:tcPr>
          <w:p>
            <w:pPr>
              <w:spacing w:after="40"/>
            </w:pPr>
            <w:r/>
            <w:r>
              <w:rPr>
                <w:sz w:val="19"/>
              </w:rPr>
              <w:t>exact</w:t>
            </w:r>
          </w:p>
        </w:tc>
      </w:tr>
      <w:tr>
        <w:tc>
          <w:tcPr>
            <w:tcW w:type="dxa" w:w="2736"/>
          </w:tcPr>
          <w:p>
            <w:pPr>
              <w:spacing w:after="40"/>
            </w:pPr>
            <w:r/>
            <w:r>
              <w:rPr>
                <w:b/>
                <w:sz w:val="19"/>
              </w:rPr>
              <w:t>Tier 2</w:t>
            </w:r>
            <w:r>
              <w:rPr>
                <w:sz w:val="19"/>
              </w:rPr>
              <w:t xml:space="preserve"> — tolerant</w:t>
            </w:r>
          </w:p>
        </w:tc>
        <w:tc>
          <w:tcPr>
            <w:tcW w:type="dxa" w:w="2160"/>
          </w:tcPr>
          <w:p>
            <w:pPr>
              <w:spacing w:after="40"/>
            </w:pPr>
            <w:r/>
            <w:r>
              <w:rPr>
                <w:sz w:val="19"/>
              </w:rPr>
              <w:t>within a small tolerance</w:t>
            </w:r>
          </w:p>
        </w:tc>
        <w:tc>
          <w:tcPr>
            <w:tcW w:type="dxa" w:w="2016"/>
          </w:tcPr>
          <w:p>
            <w:pPr>
              <w:spacing w:after="40"/>
            </w:pPr>
            <w:r/>
            <w:r>
              <w:rPr>
                <w:sz w:val="19"/>
              </w:rPr>
              <w:t>within a few business days</w:t>
            </w:r>
          </w:p>
        </w:tc>
        <w:tc>
          <w:tcPr>
            <w:tcW w:type="dxa" w:w="1584"/>
          </w:tcPr>
          <w:p>
            <w:pPr>
              <w:spacing w:after="40"/>
            </w:pPr>
            <w:r/>
            <w:r>
              <w:rPr>
                <w:sz w:val="19"/>
              </w:rPr>
              <w:t>close name match</w:t>
            </w:r>
          </w:p>
        </w:tc>
      </w:tr>
      <w:tr>
        <w:tc>
          <w:tcPr>
            <w:tcW w:type="dxa" w:w="2736"/>
          </w:tcPr>
          <w:p>
            <w:pPr>
              <w:spacing w:after="40"/>
            </w:pPr>
            <w:r/>
            <w:r>
              <w:rPr>
                <w:b/>
                <w:sz w:val="19"/>
              </w:rPr>
              <w:t>Tier 3</w:t>
            </w:r>
            <w:r>
              <w:rPr>
                <w:sz w:val="19"/>
              </w:rPr>
              <w:t xml:space="preserve"> — without counterparty</w:t>
            </w:r>
          </w:p>
        </w:tc>
        <w:tc>
          <w:tcPr>
            <w:tcW w:type="dxa" w:w="2160"/>
          </w:tcPr>
          <w:p>
            <w:pPr>
              <w:spacing w:after="40"/>
            </w:pPr>
            <w:r/>
            <w:r>
              <w:rPr>
                <w:sz w:val="19"/>
              </w:rPr>
              <w:t>exact</w:t>
            </w:r>
          </w:p>
        </w:tc>
        <w:tc>
          <w:tcPr>
            <w:tcW w:type="dxa" w:w="2016"/>
          </w:tcPr>
          <w:p>
            <w:pPr>
              <w:spacing w:after="40"/>
            </w:pPr>
            <w:r/>
            <w:r>
              <w:rPr>
                <w:sz w:val="19"/>
              </w:rPr>
              <w:t>exact</w:t>
            </w:r>
          </w:p>
        </w:tc>
        <w:tc>
          <w:tcPr>
            <w:tcW w:type="dxa" w:w="1584"/>
          </w:tcPr>
          <w:p>
            <w:pPr>
              <w:spacing w:after="40"/>
            </w:pPr>
            <w:r/>
            <w:r>
              <w:rPr>
                <w:sz w:val="19"/>
              </w:rPr>
              <w:t>not used</w:t>
            </w:r>
          </w:p>
        </w:tc>
      </w:tr>
    </w:tbl>
    <w:p>
      <w:pPr>
        <w:spacing w:after="80"/>
      </w:pPr>
    </w:p>
    <w:p>
      <w:pPr>
        <w:pStyle w:val="Heading2"/>
      </w:pPr>
      <w:r>
        <w:rPr>
          <w:b w:val="0"/>
          <w:i w:val="0"/>
        </w:rPr>
        <w:t>Reading the result</w:t>
      </w:r>
    </w:p>
    <w:p>
      <w:r>
        <w:rPr>
          <w:b w:val="0"/>
          <w:i w:val="0"/>
        </w:rPr>
        <w:t>The tier tells you how much agreement there was, not just whether something was found. A Tier 1 match agreed on everything. A Tier 3 match agreed on the money and the date but could not use the counterparty at all — usually because the counterparty was blank.</w:t>
      </w:r>
    </w:p>
    <w:tbl>
      <w:tblPr>
        <w:tblStyle w:val="TableGrid"/>
        <w:tblW w:type="auto" w:w="0"/>
        <w:tblLook w:firstColumn="1" w:firstRow="1" w:lastColumn="0" w:lastRow="0" w:noHBand="0" w:noVBand="1" w:val="04A0"/>
      </w:tblPr>
      <w:tblGrid>
        <w:gridCol w:w="9504"/>
      </w:tblGrid>
      <w:tr>
        <w:tc>
          <w:tcPr>
            <w:tcW w:type="dxa" w:w="9504"/>
            <w:shd w:val="clear" w:fill="F2F5F9"/>
          </w:tcPr>
          <w:p>
            <w:pPr>
              <w:spacing w:after="40"/>
            </w:pPr>
            <w:r/>
            <w:r>
              <w:rPr>
                <w:b/>
                <w:color w:val="1F3864"/>
                <w:sz w:val="19"/>
              </w:rPr>
              <w:t xml:space="preserve">If everything is matching at Tier 3  </w:t>
            </w:r>
            <w:r>
              <w:rPr>
                <w:sz w:val="19"/>
              </w:rPr>
              <w:t>That is a sign the counterparty directory is not populated for your senders, not a sign that the matching is weak. Raise it with your manager rather than working around it.</w:t>
            </w:r>
          </w:p>
        </w:tc>
      </w:tr>
    </w:tbl>
    <w:p>
      <w:pPr>
        <w:spacing w:after="80"/>
      </w:pPr>
    </w:p>
    <w:p>
      <w:pPr>
        <w:pStyle w:val="Heading2"/>
      </w:pPr>
      <w:r>
        <w:rPr>
          <w:b w:val="0"/>
          <w:i w:val="0"/>
        </w:rPr>
        <w:t>Choosing between candidates</w:t>
      </w:r>
    </w:p>
    <w:p>
      <w:r>
        <w:rPr>
          <w:b w:val="0"/>
          <w:i w:val="0"/>
        </w:rPr>
        <w:t>Where more than one booking could fit, they are listed side by side against the figures the counterparty submitted, with the strongest proposal marked. Select the right one and press Confirm match decision. Where nothing fits, Mark as no match records that explicitly.</w:t>
      </w:r>
    </w:p>
    <w:tbl>
      <w:tblPr>
        <w:tblStyle w:val="TableGrid"/>
        <w:tblW w:type="auto" w:w="0"/>
        <w:tblLook w:firstColumn="1" w:firstRow="1" w:lastColumn="0" w:lastRow="0" w:noHBand="0" w:noVBand="1" w:val="04A0"/>
      </w:tblPr>
      <w:tblGrid>
        <w:gridCol w:w="9504"/>
      </w:tblGrid>
      <w:tr>
        <w:tc>
          <w:tcPr>
            <w:tcW w:type="dxa" w:w="9504"/>
            <w:shd w:val="clear" w:fill="F2F5F9"/>
          </w:tcPr>
          <w:p>
            <w:pPr>
              <w:spacing w:after="40"/>
            </w:pPr>
            <w:r/>
            <w:r>
              <w:rPr>
                <w:b/>
                <w:color w:val="A81C1C"/>
                <w:sz w:val="19"/>
              </w:rPr>
              <w:t xml:space="preserve">A blank direction is never matched  </w:t>
            </w:r>
            <w:r>
              <w:rPr>
                <w:sz w:val="19"/>
              </w:rPr>
              <w:t>If the direction could not be established, the comparison deliberately returns no match rather than matching a booking of either direction and presenting it as exact. An unmatched cashflow reaches a person; a wrongly matched one does not.</w:t>
            </w:r>
          </w:p>
        </w:tc>
      </w:tr>
    </w:tbl>
    <w:p>
      <w:pPr>
        <w:spacing w:after="80"/>
      </w:pPr>
    </w:p>
    <w:p>
      <w:r>
        <w:br w:type="page"/>
      </w:r>
    </w:p>
    <w:p>
      <w:pPr>
        <w:pStyle w:val="Heading1"/>
      </w:pPr>
      <w:r>
        <w:rPr>
          <w:b w:val="0"/>
          <w:i w:val="0"/>
        </w:rPr>
        <w:t>7. Resolving a cashflow</w:t>
      </w:r>
    </w:p>
    <w:tbl>
      <w:tblPr>
        <w:tblStyle w:val="TableGrid"/>
        <w:tblW w:type="auto" w:w="0"/>
        <w:jc w:val="left"/>
        <w:tblLook w:firstColumn="1" w:firstRow="1" w:lastColumn="0" w:lastRow="0" w:noHBand="0" w:noVBand="1" w:val="04A0"/>
      </w:tblPr>
      <w:tblGrid>
        <w:gridCol w:w="3168"/>
        <w:gridCol w:w="3168"/>
        <w:gridCol w:w="3168"/>
      </w:tblGrid>
      <w:tr>
        <w:tc>
          <w:tcPr>
            <w:tcW w:type="dxa" w:w="2016"/>
            <w:shd w:val="clear" w:fill="1F3864"/>
          </w:tcPr>
          <w:p>
            <w:pPr>
              <w:spacing w:after="40"/>
            </w:pPr>
            <w:r/>
            <w:r>
              <w:rPr>
                <w:b/>
                <w:color w:val="FFFFFF"/>
                <w:sz w:val="19"/>
              </w:rPr>
              <w:t>Action</w:t>
            </w:r>
          </w:p>
        </w:tc>
        <w:tc>
          <w:tcPr>
            <w:tcW w:type="dxa" w:w="3312"/>
            <w:shd w:val="clear" w:fill="1F3864"/>
          </w:tcPr>
          <w:p>
            <w:pPr>
              <w:spacing w:after="40"/>
            </w:pPr>
            <w:r/>
            <w:r>
              <w:rPr>
                <w:b/>
                <w:color w:val="FFFFFF"/>
                <w:sz w:val="19"/>
              </w:rPr>
              <w:t>When to use it</w:t>
            </w:r>
          </w:p>
        </w:tc>
        <w:tc>
          <w:tcPr>
            <w:tcW w:type="dxa" w:w="3168"/>
            <w:shd w:val="clear" w:fill="1F3864"/>
          </w:tcPr>
          <w:p>
            <w:pPr>
              <w:spacing w:after="40"/>
            </w:pPr>
            <w:r/>
            <w:r>
              <w:rPr>
                <w:b/>
                <w:color w:val="FFFFFF"/>
                <w:sz w:val="19"/>
              </w:rPr>
              <w:t>What it does</w:t>
            </w:r>
          </w:p>
        </w:tc>
      </w:tr>
      <w:tr>
        <w:tc>
          <w:tcPr>
            <w:tcW w:type="dxa" w:w="2016"/>
          </w:tcPr>
          <w:p>
            <w:pPr>
              <w:spacing w:after="40"/>
            </w:pPr>
            <w:r/>
            <w:r>
              <w:rPr>
                <w:b/>
                <w:sz w:val="19"/>
              </w:rPr>
              <w:t>Confirm match</w:t>
            </w:r>
          </w:p>
        </w:tc>
        <w:tc>
          <w:tcPr>
            <w:tcW w:type="dxa" w:w="3312"/>
          </w:tcPr>
          <w:p>
            <w:pPr>
              <w:spacing w:after="40"/>
            </w:pPr>
            <w:r/>
            <w:r>
              <w:rPr>
                <w:sz w:val="19"/>
              </w:rPr>
              <w:t>The proposed booking is right.</w:t>
            </w:r>
          </w:p>
        </w:tc>
        <w:tc>
          <w:tcPr>
            <w:tcW w:type="dxa" w:w="3168"/>
          </w:tcPr>
          <w:p>
            <w:pPr>
              <w:spacing w:after="40"/>
            </w:pPr>
            <w:r/>
            <w:r>
              <w:rPr>
                <w:sz w:val="19"/>
              </w:rPr>
              <w:t>Closes the cashflow as matched, with the tier recorded.</w:t>
            </w:r>
          </w:p>
        </w:tc>
      </w:tr>
      <w:tr>
        <w:tc>
          <w:tcPr>
            <w:tcW w:type="dxa" w:w="2016"/>
          </w:tcPr>
          <w:p>
            <w:pPr>
              <w:spacing w:after="40"/>
            </w:pPr>
            <w:r/>
            <w:r>
              <w:rPr>
                <w:b/>
                <w:sz w:val="19"/>
              </w:rPr>
              <w:t>Select match</w:t>
            </w:r>
          </w:p>
        </w:tc>
        <w:tc>
          <w:tcPr>
            <w:tcW w:type="dxa" w:w="3312"/>
          </w:tcPr>
          <w:p>
            <w:pPr>
              <w:spacing w:after="40"/>
            </w:pPr>
            <w:r/>
            <w:r>
              <w:rPr>
                <w:sz w:val="19"/>
              </w:rPr>
              <w:t>A different candidate is the right one.</w:t>
            </w:r>
          </w:p>
        </w:tc>
        <w:tc>
          <w:tcPr>
            <w:tcW w:type="dxa" w:w="3168"/>
          </w:tcPr>
          <w:p>
            <w:pPr>
              <w:spacing w:after="40"/>
            </w:pPr>
            <w:r/>
            <w:r>
              <w:rPr>
                <w:sz w:val="19"/>
              </w:rPr>
              <w:t>Records your choice and closes it as matched.</w:t>
            </w:r>
          </w:p>
        </w:tc>
      </w:tr>
      <w:tr>
        <w:tc>
          <w:tcPr>
            <w:tcW w:type="dxa" w:w="2016"/>
          </w:tcPr>
          <w:p>
            <w:pPr>
              <w:spacing w:after="40"/>
            </w:pPr>
            <w:r/>
            <w:r>
              <w:rPr>
                <w:b/>
                <w:sz w:val="19"/>
              </w:rPr>
              <w:t>Mark as no match</w:t>
            </w:r>
          </w:p>
        </w:tc>
        <w:tc>
          <w:tcPr>
            <w:tcW w:type="dxa" w:w="3312"/>
          </w:tcPr>
          <w:p>
            <w:pPr>
              <w:spacing w:after="40"/>
            </w:pPr>
            <w:r/>
            <w:r>
              <w:rPr>
                <w:sz w:val="19"/>
              </w:rPr>
              <w:t>No booking corresponds to this cashflow.</w:t>
            </w:r>
          </w:p>
        </w:tc>
        <w:tc>
          <w:tcPr>
            <w:tcW w:type="dxa" w:w="3168"/>
          </w:tcPr>
          <w:p>
            <w:pPr>
              <w:spacing w:after="40"/>
            </w:pPr>
            <w:r/>
            <w:r>
              <w:rPr>
                <w:sz w:val="19"/>
              </w:rPr>
              <w:t>Closes it as unmatched, with your decision recorded.</w:t>
            </w:r>
          </w:p>
        </w:tc>
      </w:tr>
      <w:tr>
        <w:tc>
          <w:tcPr>
            <w:tcW w:type="dxa" w:w="2016"/>
          </w:tcPr>
          <w:p>
            <w:pPr>
              <w:spacing w:after="40"/>
            </w:pPr>
            <w:r/>
            <w:r>
              <w:rPr>
                <w:b/>
                <w:sz w:val="19"/>
              </w:rPr>
              <w:t>Allege</w:t>
            </w:r>
          </w:p>
        </w:tc>
        <w:tc>
          <w:tcPr>
            <w:tcW w:type="dxa" w:w="3312"/>
          </w:tcPr>
          <w:p>
            <w:pPr>
              <w:spacing w:after="40"/>
            </w:pPr>
            <w:r/>
            <w:r>
              <w:rPr>
                <w:sz w:val="19"/>
              </w:rPr>
              <w:t>The counterparty is claiming something the bank has no record of.</w:t>
            </w:r>
          </w:p>
        </w:tc>
        <w:tc>
          <w:tcPr>
            <w:tcW w:type="dxa" w:w="3168"/>
          </w:tcPr>
          <w:p>
            <w:pPr>
              <w:spacing w:after="40"/>
            </w:pPr>
            <w:r/>
            <w:r>
              <w:rPr>
                <w:sz w:val="19"/>
              </w:rPr>
              <w:t>Raises it to the counterparty and records the reason.</w:t>
            </w:r>
          </w:p>
        </w:tc>
      </w:tr>
      <w:tr>
        <w:tc>
          <w:tcPr>
            <w:tcW w:type="dxa" w:w="2016"/>
          </w:tcPr>
          <w:p>
            <w:pPr>
              <w:spacing w:after="40"/>
            </w:pPr>
            <w:r/>
            <w:r>
              <w:rPr>
                <w:b/>
                <w:sz w:val="19"/>
              </w:rPr>
              <w:t>Write-back</w:t>
            </w:r>
          </w:p>
        </w:tc>
        <w:tc>
          <w:tcPr>
            <w:tcW w:type="dxa" w:w="3312"/>
          </w:tcPr>
          <w:p>
            <w:pPr>
              <w:spacing w:after="40"/>
            </w:pPr>
            <w:r/>
            <w:r>
              <w:rPr>
                <w:sz w:val="19"/>
              </w:rPr>
              <w:t>The outcome should go to the settlement system.</w:t>
            </w:r>
          </w:p>
        </w:tc>
        <w:tc>
          <w:tcPr>
            <w:tcW w:type="dxa" w:w="3168"/>
          </w:tcPr>
          <w:p>
            <w:pPr>
              <w:spacing w:after="40"/>
            </w:pPr>
            <w:r/>
            <w:r>
              <w:rPr>
                <w:sz w:val="19"/>
              </w:rPr>
              <w:t>Stages the outcome and records it in the audit trail.</w:t>
            </w:r>
          </w:p>
        </w:tc>
      </w:tr>
    </w:tbl>
    <w:p>
      <w:pPr>
        <w:spacing w:after="80"/>
      </w:pPr>
    </w:p>
    <w:tbl>
      <w:tblPr>
        <w:tblStyle w:val="TableGrid"/>
        <w:tblW w:type="auto" w:w="0"/>
        <w:tblLook w:firstColumn="1" w:firstRow="1" w:lastColumn="0" w:lastRow="0" w:noHBand="0" w:noVBand="1" w:val="04A0"/>
      </w:tblPr>
      <w:tblGrid>
        <w:gridCol w:w="9504"/>
      </w:tblGrid>
      <w:tr>
        <w:tc>
          <w:tcPr>
            <w:tcW w:type="dxa" w:w="9504"/>
            <w:shd w:val="clear" w:fill="F2F5F9"/>
          </w:tcPr>
          <w:p>
            <w:pPr>
              <w:spacing w:after="40"/>
            </w:pPr>
            <w:r/>
            <w:r>
              <w:rPr>
                <w:b/>
                <w:color w:val="1F3864"/>
                <w:sz w:val="19"/>
              </w:rPr>
              <w:t xml:space="preserve">Write-back today  </w:t>
            </w:r>
            <w:r>
              <w:rPr>
                <w:sz w:val="19"/>
              </w:rPr>
              <w:t>The outbound connection to the settlement system is not yet live. Write-back records the decision and stages it; it does not transmit anything. Your manager will tell you when that changes.</w:t>
            </w:r>
          </w:p>
        </w:tc>
      </w:tr>
    </w:tbl>
    <w:p>
      <w:pPr>
        <w:spacing w:after="80"/>
      </w:pPr>
    </w:p>
    <w:p>
      <w:r>
        <w:br w:type="page"/>
      </w:r>
    </w:p>
    <w:p>
      <w:pPr>
        <w:pStyle w:val="Heading1"/>
      </w:pPr>
      <w:r>
        <w:rPr>
          <w:b w:val="0"/>
          <w:i w:val="0"/>
        </w:rPr>
        <w:t>8. The audit trail</w:t>
      </w:r>
    </w:p>
    <w:p>
      <w:r>
        <w:rPr>
          <w:b w:val="0"/>
          <w:i w:val="0"/>
        </w:rPr>
        <w:t>Every decision is recorded — the system’s and yours — and the record cannot be edited or deleted afterwards. Entries are only ever added.</w:t>
      </w:r>
    </w:p>
    <w:p>
      <w:pPr>
        <w:pStyle w:val="Heading2"/>
      </w:pPr>
      <w:r>
        <w:rPr>
          <w:b w:val="0"/>
          <w:i w:val="0"/>
        </w:rPr>
        <w:t>Opening it</w:t>
      </w:r>
    </w:p>
    <w:p>
      <w:pPr>
        <w:pStyle w:val="ListBullet"/>
        <w:spacing w:after="60"/>
        <w:ind w:left="403"/>
      </w:pPr>
      <w:r>
        <w:t>From a cashflow: the Audit trail link on the case screen shows that cashflow’s history.</w:t>
      </w:r>
    </w:p>
    <w:p>
      <w:pPr>
        <w:pStyle w:val="ListBullet"/>
        <w:spacing w:after="60"/>
        <w:ind w:left="403"/>
      </w:pPr>
      <w:r>
        <w:t>From the navigation bar: the Audit Trail page shows everything across your work drivers.</w:t>
      </w:r>
    </w:p>
    <w:p>
      <w:pPr>
        <w:pStyle w:val="Heading2"/>
      </w:pPr>
      <w:r>
        <w:rPr>
          <w:b w:val="0"/>
          <w:i w:val="0"/>
        </w:rPr>
        <w:t>What you will see</w:t>
      </w:r>
    </w:p>
    <w:tbl>
      <w:tblPr>
        <w:tblStyle w:val="TableGrid"/>
        <w:tblW w:type="auto" w:w="0"/>
        <w:jc w:val="left"/>
        <w:tblLook w:firstColumn="1" w:firstRow="1" w:lastColumn="0" w:lastRow="0" w:noHBand="0" w:noVBand="1" w:val="04A0"/>
      </w:tblPr>
      <w:tblGrid>
        <w:gridCol w:w="4752"/>
        <w:gridCol w:w="4752"/>
      </w:tblGrid>
      <w:tr>
        <w:tc>
          <w:tcPr>
            <w:tcW w:type="dxa" w:w="3024"/>
            <w:shd w:val="clear" w:fill="1F3864"/>
          </w:tcPr>
          <w:p>
            <w:pPr>
              <w:spacing w:after="40"/>
            </w:pPr>
            <w:r/>
            <w:r>
              <w:rPr>
                <w:b/>
                <w:color w:val="FFFFFF"/>
                <w:sz w:val="19"/>
              </w:rPr>
              <w:t>Entry</w:t>
            </w:r>
          </w:p>
        </w:tc>
        <w:tc>
          <w:tcPr>
            <w:tcW w:type="dxa" w:w="5472"/>
            <w:shd w:val="clear" w:fill="1F3864"/>
          </w:tcPr>
          <w:p>
            <w:pPr>
              <w:spacing w:after="40"/>
            </w:pPr>
            <w:r/>
            <w:r>
              <w:rPr>
                <w:b/>
                <w:color w:val="FFFFFF"/>
                <w:sz w:val="19"/>
              </w:rPr>
              <w:t>Meaning</w:t>
            </w:r>
          </w:p>
        </w:tc>
      </w:tr>
      <w:tr>
        <w:tc>
          <w:tcPr>
            <w:tcW w:type="dxa" w:w="3024"/>
          </w:tcPr>
          <w:p>
            <w:pPr>
              <w:spacing w:after="40"/>
            </w:pPr>
            <w:r/>
            <w:r>
              <w:rPr>
                <w:b/>
                <w:sz w:val="19"/>
              </w:rPr>
              <w:t>Relevance Decision</w:t>
            </w:r>
          </w:p>
        </w:tc>
        <w:tc>
          <w:tcPr>
            <w:tcW w:type="dxa" w:w="5472"/>
          </w:tcPr>
          <w:p>
            <w:pPr>
              <w:spacing w:after="40"/>
            </w:pPr>
            <w:r/>
            <w:r>
              <w:rPr>
                <w:sz w:val="19"/>
              </w:rPr>
              <w:t>Whether a mail was treated as relevant, and the reason.</w:t>
            </w:r>
          </w:p>
        </w:tc>
      </w:tr>
      <w:tr>
        <w:tc>
          <w:tcPr>
            <w:tcW w:type="dxa" w:w="3024"/>
          </w:tcPr>
          <w:p>
            <w:pPr>
              <w:spacing w:after="40"/>
            </w:pPr>
            <w:r/>
            <w:r>
              <w:rPr>
                <w:b/>
                <w:sz w:val="19"/>
              </w:rPr>
              <w:t>AI Extraction</w:t>
            </w:r>
          </w:p>
        </w:tc>
        <w:tc>
          <w:tcPr>
            <w:tcW w:type="dxa" w:w="5472"/>
          </w:tcPr>
          <w:p>
            <w:pPr>
              <w:spacing w:after="40"/>
            </w:pPr>
            <w:r/>
            <w:r>
              <w:rPr>
                <w:sz w:val="19"/>
              </w:rPr>
              <w:t>A cashflow was read out of a mail.</w:t>
            </w:r>
          </w:p>
        </w:tc>
      </w:tr>
      <w:tr>
        <w:tc>
          <w:tcPr>
            <w:tcW w:type="dxa" w:w="3024"/>
          </w:tcPr>
          <w:p>
            <w:pPr>
              <w:spacing w:after="40"/>
            </w:pPr>
            <w:r/>
            <w:r>
              <w:rPr>
                <w:b/>
                <w:sz w:val="19"/>
              </w:rPr>
              <w:t>Field Override</w:t>
            </w:r>
          </w:p>
        </w:tc>
        <w:tc>
          <w:tcPr>
            <w:tcW w:type="dxa" w:w="5472"/>
          </w:tcPr>
          <w:p>
            <w:pPr>
              <w:spacing w:after="40"/>
            </w:pPr>
            <w:r/>
            <w:r>
              <w:rPr>
                <w:sz w:val="19"/>
              </w:rPr>
              <w:t>Someone changed a value — with the original, the new value and who changed it.</w:t>
            </w:r>
          </w:p>
        </w:tc>
      </w:tr>
      <w:tr>
        <w:tc>
          <w:tcPr>
            <w:tcW w:type="dxa" w:w="3024"/>
          </w:tcPr>
          <w:p>
            <w:pPr>
              <w:spacing w:after="40"/>
            </w:pPr>
            <w:r/>
            <w:r>
              <w:rPr>
                <w:b/>
                <w:sz w:val="19"/>
              </w:rPr>
              <w:t>Extraction Confirmed</w:t>
            </w:r>
          </w:p>
        </w:tc>
        <w:tc>
          <w:tcPr>
            <w:tcW w:type="dxa" w:w="5472"/>
          </w:tcPr>
          <w:p>
            <w:pPr>
              <w:spacing w:after="40"/>
            </w:pPr>
            <w:r/>
            <w:r>
              <w:rPr>
                <w:sz w:val="19"/>
              </w:rPr>
              <w:t>An analyst agreed the figures.</w:t>
            </w:r>
          </w:p>
        </w:tc>
      </w:tr>
      <w:tr>
        <w:tc>
          <w:tcPr>
            <w:tcW w:type="dxa" w:w="3024"/>
          </w:tcPr>
          <w:p>
            <w:pPr>
              <w:spacing w:after="40"/>
            </w:pPr>
            <w:r/>
            <w:r>
              <w:rPr>
                <w:b/>
                <w:sz w:val="19"/>
              </w:rPr>
              <w:t>Match Selected / Match Confirmed</w:t>
            </w:r>
          </w:p>
        </w:tc>
        <w:tc>
          <w:tcPr>
            <w:tcW w:type="dxa" w:w="5472"/>
          </w:tcPr>
          <w:p>
            <w:pPr>
              <w:spacing w:after="40"/>
            </w:pPr>
            <w:r/>
            <w:r>
              <w:rPr>
                <w:sz w:val="19"/>
              </w:rPr>
              <w:t>A booking was chosen or agreed.</w:t>
            </w:r>
          </w:p>
        </w:tc>
      </w:tr>
      <w:tr>
        <w:tc>
          <w:tcPr>
            <w:tcW w:type="dxa" w:w="3024"/>
          </w:tcPr>
          <w:p>
            <w:pPr>
              <w:spacing w:after="40"/>
            </w:pPr>
            <w:r/>
            <w:r>
              <w:rPr>
                <w:b/>
                <w:sz w:val="19"/>
              </w:rPr>
              <w:t>No Match</w:t>
            </w:r>
          </w:p>
        </w:tc>
        <w:tc>
          <w:tcPr>
            <w:tcW w:type="dxa" w:w="5472"/>
          </w:tcPr>
          <w:p>
            <w:pPr>
              <w:spacing w:after="40"/>
            </w:pPr>
            <w:r/>
            <w:r>
              <w:rPr>
                <w:sz w:val="19"/>
              </w:rPr>
              <w:t>Recorded as having no corresponding booking.</w:t>
            </w:r>
          </w:p>
        </w:tc>
      </w:tr>
      <w:tr>
        <w:tc>
          <w:tcPr>
            <w:tcW w:type="dxa" w:w="3024"/>
          </w:tcPr>
          <w:p>
            <w:pPr>
              <w:spacing w:after="40"/>
            </w:pPr>
            <w:r/>
            <w:r>
              <w:rPr>
                <w:b/>
                <w:sz w:val="19"/>
              </w:rPr>
              <w:t>Write-back</w:t>
            </w:r>
          </w:p>
        </w:tc>
        <w:tc>
          <w:tcPr>
            <w:tcW w:type="dxa" w:w="5472"/>
          </w:tcPr>
          <w:p>
            <w:pPr>
              <w:spacing w:after="40"/>
            </w:pPr>
            <w:r/>
            <w:r>
              <w:rPr>
                <w:sz w:val="19"/>
              </w:rPr>
              <w:t>An outcome was staged for the settlement system.</w:t>
            </w:r>
          </w:p>
        </w:tc>
      </w:tr>
    </w:tbl>
    <w:p>
      <w:pPr>
        <w:spacing w:after="80"/>
      </w:pPr>
    </w:p>
    <w:p>
      <w:r>
        <w:rPr>
          <w:b w:val="0"/>
          <w:i w:val="0"/>
        </w:rPr>
        <w:t>Each entry carries the time, who did it, and where relevant the value before and after. Automatic steps are recorded against the system rather than a person, so it is always clear which decisions were made by a human.</w:t>
      </w:r>
    </w:p>
    <w:tbl>
      <w:tblPr>
        <w:tblStyle w:val="TableGrid"/>
        <w:tblW w:type="auto" w:w="0"/>
        <w:tblLook w:firstColumn="1" w:firstRow="1" w:lastColumn="0" w:lastRow="0" w:noHBand="0" w:noVBand="1" w:val="04A0"/>
      </w:tblPr>
      <w:tblGrid>
        <w:gridCol w:w="9504"/>
      </w:tblGrid>
      <w:tr>
        <w:tc>
          <w:tcPr>
            <w:tcW w:type="dxa" w:w="9504"/>
            <w:shd w:val="clear" w:fill="F2F5F9"/>
          </w:tcPr>
          <w:p>
            <w:pPr>
              <w:spacing w:after="40"/>
            </w:pPr>
            <w:r/>
            <w:r>
              <w:rPr>
                <w:b/>
                <w:color w:val="1F3864"/>
                <w:sz w:val="19"/>
              </w:rPr>
              <w:t xml:space="preserve">Why the trail matters to you  </w:t>
            </w:r>
            <w:r>
              <w:rPr>
                <w:sz w:val="19"/>
              </w:rPr>
              <w:t>If a settlement is ever questioned, this is the record that shows what the system proposed, what you changed, and why. Filling in the reason when you override a value is what makes that record worth having.</w:t>
            </w:r>
          </w:p>
        </w:tc>
      </w:tr>
    </w:tbl>
    <w:p>
      <w:pPr>
        <w:spacing w:after="80"/>
      </w:pPr>
    </w:p>
    <w:p>
      <w:r>
        <w:br w:type="page"/>
      </w:r>
    </w:p>
    <w:p>
      <w:pPr>
        <w:pStyle w:val="Heading1"/>
      </w:pPr>
      <w:r>
        <w:rPr>
          <w:b w:val="0"/>
          <w:i w:val="0"/>
        </w:rPr>
        <w:t>9. Dashboards</w:t>
      </w:r>
    </w:p>
    <w:tbl>
      <w:tblPr>
        <w:tblStyle w:val="TableGrid"/>
        <w:tblW w:type="auto" w:w="0"/>
        <w:jc w:val="left"/>
        <w:tblLook w:firstColumn="1" w:firstRow="1" w:lastColumn="0" w:lastRow="0" w:noHBand="0" w:noVBand="1" w:val="04A0"/>
      </w:tblPr>
      <w:tblGrid>
        <w:gridCol w:w="4752"/>
        <w:gridCol w:w="4752"/>
      </w:tblGrid>
      <w:tr>
        <w:tc>
          <w:tcPr>
            <w:tcW w:type="dxa" w:w="2736"/>
            <w:shd w:val="clear" w:fill="1F3864"/>
          </w:tcPr>
          <w:p>
            <w:pPr>
              <w:spacing w:after="40"/>
            </w:pPr>
            <w:r/>
            <w:r>
              <w:rPr>
                <w:b/>
                <w:color w:val="FFFFFF"/>
                <w:sz w:val="19"/>
              </w:rPr>
              <w:t>Dashboard</w:t>
            </w:r>
          </w:p>
        </w:tc>
        <w:tc>
          <w:tcPr>
            <w:tcW w:type="dxa" w:w="5760"/>
            <w:shd w:val="clear" w:fill="1F3864"/>
          </w:tcPr>
          <w:p>
            <w:pPr>
              <w:spacing w:after="40"/>
            </w:pPr>
            <w:r/>
            <w:r>
              <w:rPr>
                <w:b/>
                <w:color w:val="FFFFFF"/>
                <w:sz w:val="19"/>
              </w:rPr>
              <w:t>What it answers</w:t>
            </w:r>
          </w:p>
        </w:tc>
      </w:tr>
      <w:tr>
        <w:tc>
          <w:tcPr>
            <w:tcW w:type="dxa" w:w="2736"/>
          </w:tcPr>
          <w:p>
            <w:pPr>
              <w:spacing w:after="40"/>
            </w:pPr>
            <w:r/>
            <w:r>
              <w:rPr>
                <w:b/>
                <w:sz w:val="19"/>
              </w:rPr>
              <w:t>Dashboard</w:t>
            </w:r>
          </w:p>
        </w:tc>
        <w:tc>
          <w:tcPr>
            <w:tcW w:type="dxa" w:w="5760"/>
          </w:tcPr>
          <w:p>
            <w:pPr>
              <w:spacing w:after="40"/>
            </w:pPr>
            <w:r/>
            <w:r>
              <w:rPr>
                <w:sz w:val="19"/>
              </w:rPr>
              <w:t>How much work is in each state across your work drivers, and what is ageing.</w:t>
            </w:r>
          </w:p>
        </w:tc>
      </w:tr>
      <w:tr>
        <w:tc>
          <w:tcPr>
            <w:tcW w:type="dxa" w:w="2736"/>
          </w:tcPr>
          <w:p>
            <w:pPr>
              <w:spacing w:after="40"/>
            </w:pPr>
            <w:r/>
            <w:r>
              <w:rPr>
                <w:b/>
                <w:sz w:val="19"/>
              </w:rPr>
              <w:t>Manager Dashboard</w:t>
            </w:r>
          </w:p>
        </w:tc>
        <w:tc>
          <w:tcPr>
            <w:tcW w:type="dxa" w:w="5760"/>
          </w:tcPr>
          <w:p>
            <w:pPr>
              <w:spacing w:after="40"/>
            </w:pPr>
            <w:r/>
            <w:r>
              <w:rPr>
                <w:sz w:val="19"/>
              </w:rPr>
              <w:t>The same view across every driver and analyst.</w:t>
            </w:r>
          </w:p>
        </w:tc>
      </w:tr>
      <w:tr>
        <w:tc>
          <w:tcPr>
            <w:tcW w:type="dxa" w:w="2736"/>
          </w:tcPr>
          <w:p>
            <w:pPr>
              <w:spacing w:after="40"/>
            </w:pPr>
            <w:r/>
            <w:r>
              <w:rPr>
                <w:b/>
                <w:sz w:val="19"/>
              </w:rPr>
              <w:t>AI Usage &amp; Cost</w:t>
            </w:r>
          </w:p>
        </w:tc>
        <w:tc>
          <w:tcPr>
            <w:tcW w:type="dxa" w:w="5760"/>
          </w:tcPr>
          <w:p>
            <w:pPr>
              <w:spacing w:after="40"/>
            </w:pPr>
            <w:r/>
            <w:r>
              <w:rPr>
                <w:sz w:val="19"/>
              </w:rPr>
              <w:t>What extraction is costing and how long each call takes — one row per model call, including each part of a large mail processed separately.</w:t>
            </w:r>
          </w:p>
        </w:tc>
      </w:tr>
    </w:tbl>
    <w:p>
      <w:pPr>
        <w:spacing w:after="80"/>
      </w:pPr>
    </w:p>
    <w:p>
      <w:r>
        <w:br w:type="page"/>
      </w:r>
    </w:p>
    <w:p>
      <w:pPr>
        <w:pStyle w:val="Heading1"/>
      </w:pPr>
      <w:r>
        <w:rPr>
          <w:b w:val="0"/>
          <w:i w:val="0"/>
        </w:rPr>
        <w:t>10. For managers: work drivers</w:t>
      </w:r>
    </w:p>
    <w:p>
      <w:r>
        <w:rPr>
          <w:b w:val="0"/>
          <w:i w:val="0"/>
        </w:rPr>
        <w:t>A work driver is one configured pipeline: which mails it claims, what to read out of them, and who works them. Everything below is configuration — none of it needs a developer.</w:t>
      </w:r>
    </w:p>
    <w:p>
      <w:pPr>
        <w:pStyle w:val="Heading2"/>
      </w:pPr>
      <w:r>
        <w:rPr>
          <w:b w:val="0"/>
          <w:i w:val="0"/>
        </w:rPr>
        <w:t>Creating one</w:t>
      </w:r>
    </w:p>
    <w:p>
      <w:pPr>
        <w:pStyle w:val="ListNumber"/>
        <w:spacing w:after="60"/>
        <w:ind w:left="461"/>
      </w:pPr>
      <w:r>
        <w:t>Open Work Drivers and start a new one, or open an existing driver to change it.</w:t>
      </w:r>
    </w:p>
    <w:p>
      <w:pPr>
        <w:pStyle w:val="ListNumber"/>
        <w:spacing w:after="60"/>
        <w:ind w:left="461"/>
      </w:pPr>
      <w:r>
        <w:t>Name it, and describe what desk and activity it serves.</w:t>
      </w:r>
    </w:p>
    <w:p>
      <w:pPr>
        <w:pStyle w:val="ListNumber"/>
        <w:spacing w:after="60"/>
        <w:ind w:left="461"/>
      </w:pPr>
      <w:r>
        <w:t>Set the Email Identification Rules — which mails this driver should claim.</w:t>
      </w:r>
    </w:p>
    <w:p>
      <w:pPr>
        <w:pStyle w:val="ListNumber"/>
        <w:spacing w:after="60"/>
        <w:ind w:left="461"/>
      </w:pPr>
      <w:r>
        <w:t>Set the fields to extract, and the instruction for each.</w:t>
      </w:r>
    </w:p>
    <w:p>
      <w:pPr>
        <w:pStyle w:val="ListNumber"/>
        <w:spacing w:after="60"/>
        <w:ind w:left="461"/>
      </w:pPr>
      <w:r>
        <w:t>Assign the analysts who should see its mail.</w:t>
      </w:r>
    </w:p>
    <w:p>
      <w:pPr>
        <w:pStyle w:val="ListNumber"/>
        <w:spacing w:after="60"/>
        <w:ind w:left="461"/>
      </w:pPr>
      <w:r>
        <w:t>Publish it.</w:t>
      </w:r>
    </w:p>
    <w:tbl>
      <w:tblPr>
        <w:tblStyle w:val="TableGrid"/>
        <w:tblW w:type="auto" w:w="0"/>
        <w:tblLook w:firstColumn="1" w:firstRow="1" w:lastColumn="0" w:lastRow="0" w:noHBand="0" w:noVBand="1" w:val="04A0"/>
      </w:tblPr>
      <w:tblGrid>
        <w:gridCol w:w="9504"/>
      </w:tblGrid>
      <w:tr>
        <w:tc>
          <w:tcPr>
            <w:tcW w:type="dxa" w:w="9504"/>
            <w:shd w:val="clear" w:fill="F2F5F9"/>
          </w:tcPr>
          <w:p>
            <w:pPr>
              <w:spacing w:after="40"/>
            </w:pPr>
            <w:r/>
            <w:r>
              <w:rPr>
                <w:b/>
                <w:color w:val="A81C1C"/>
                <w:sz w:val="19"/>
              </w:rPr>
              <w:t xml:space="preserve">Configure identification before publishing  </w:t>
            </w:r>
            <w:r>
              <w:rPr>
                <w:sz w:val="19"/>
              </w:rPr>
              <w:t>A driver with no identification rules claims every mail in the mailbox rather than none. On a shared mailbox that will pull in another desk’s traffic, so set the rules first.</w:t>
            </w:r>
          </w:p>
        </w:tc>
      </w:tr>
    </w:tbl>
    <w:p>
      <w:pPr>
        <w:spacing w:after="80"/>
      </w:pPr>
    </w:p>
    <w:p>
      <w:pPr>
        <w:pStyle w:val="Heading2"/>
      </w:pPr>
      <w:r>
        <w:rPr>
          <w:b w:val="0"/>
          <w:i w:val="0"/>
        </w:rPr>
        <w:t>Email identification rules</w:t>
      </w:r>
    </w:p>
    <w:p>
      <w:r>
        <w:rPr>
          <w:b w:val="0"/>
          <w:i w:val="0"/>
        </w:rPr>
        <w:t>Three switches apply to the whole driver, all on by default:</w:t>
      </w:r>
    </w:p>
    <w:p>
      <w:pPr>
        <w:pStyle w:val="ListBullet"/>
        <w:spacing w:after="60"/>
        <w:ind w:left="403"/>
      </w:pPr>
      <w:r>
        <w:t>exclude replies and forwards — subjects beginning Re: or Fw:</w:t>
      </w:r>
    </w:p>
    <w:p>
      <w:pPr>
        <w:pStyle w:val="ListBullet"/>
        <w:spacing w:after="60"/>
        <w:ind w:left="403"/>
      </w:pPr>
      <w:r>
        <w:t>exclude quoted threads — mails that quote an earlier message, whose figures have usually been processed already</w:t>
      </w:r>
    </w:p>
    <w:p>
      <w:pPr>
        <w:pStyle w:val="ListBullet"/>
        <w:spacing w:after="60"/>
        <w:ind w:left="403"/>
      </w:pPr>
      <w:r>
        <w:t>exclude noise domains — senders on the configured list</w:t>
      </w:r>
    </w:p>
    <w:p>
      <w:r>
        <w:rPr>
          <w:b w:val="0"/>
          <w:i w:val="0"/>
        </w:rPr>
        <w:t>Beneath them you add labels: keyword tests on subject, body or sender, with exclusions. The cheap tests run first and most mail is classified without any model call; a label can also carry a plain-language description used only when the keyword tests do not decide.</w:t>
      </w:r>
    </w:p>
    <w:p>
      <w:pPr>
        <w:pStyle w:val="Heading2"/>
      </w:pPr>
      <w:r>
        <w:rPr>
          <w:b w:val="0"/>
          <w:i w:val="0"/>
        </w:rPr>
        <w:t>Field instructions</w:t>
      </w:r>
    </w:p>
    <w:p>
      <w:r>
        <w:rPr>
          <w:b w:val="0"/>
          <w:i w:val="0"/>
        </w:rPr>
        <w:t>Each field carries an instruction telling the extraction what to look for. Write it in terms of what appears in the message, not in terms of a particular counterparty — an instruction that names one sender will not survive the next one. A helper is available to improve the wording of an instruction while you are editing it.</w:t>
      </w:r>
    </w:p>
    <w:p>
      <w:pPr>
        <w:pStyle w:val="Heading2"/>
      </w:pPr>
      <w:r>
        <w:rPr>
          <w:b w:val="0"/>
          <w:i w:val="0"/>
        </w:rPr>
        <w:t>Assigning analysts</w:t>
      </w:r>
    </w:p>
    <w:p>
      <w:r>
        <w:rPr>
          <w:b w:val="0"/>
          <w:i w:val="0"/>
        </w:rPr>
        <w:t>An analyst sees a driver’s mail only when they are assigned to it. Granting the role alone is not enough — that is the most common reason a new joiner reports an empty board.</w:t>
      </w:r>
    </w:p>
    <w:p>
      <w:pPr>
        <w:pStyle w:val="Heading2"/>
      </w:pPr>
      <w:r>
        <w:rPr>
          <w:b w:val="0"/>
          <w:i w:val="0"/>
        </w:rPr>
        <w:t>Tolerances and limits</w:t>
      </w:r>
    </w:p>
    <w:p>
      <w:r>
        <w:rPr>
          <w:b w:val="0"/>
          <w:i w:val="0"/>
        </w:rPr>
        <w:t>Match tolerances, extraction limits and spreadsheet limits are settings, not code. They can be changed for one driver without affecting another, and take effect on the next run.</w:t>
      </w:r>
    </w:p>
    <w:p>
      <w:r>
        <w:br w:type="page"/>
      </w:r>
    </w:p>
    <w:p>
      <w:pPr>
        <w:pStyle w:val="Heading1"/>
      </w:pPr>
      <w:r>
        <w:rPr>
          <w:b w:val="0"/>
          <w:i w:val="0"/>
        </w:rPr>
        <w:t>11. When something looks wrong</w:t>
      </w:r>
    </w:p>
    <w:tbl>
      <w:tblPr>
        <w:tblStyle w:val="TableGrid"/>
        <w:tblW w:type="auto" w:w="0"/>
        <w:jc w:val="left"/>
        <w:tblLook w:firstColumn="1" w:firstRow="1" w:lastColumn="0" w:lastRow="0" w:noHBand="0" w:noVBand="1" w:val="04A0"/>
      </w:tblPr>
      <w:tblGrid>
        <w:gridCol w:w="3168"/>
        <w:gridCol w:w="3168"/>
        <w:gridCol w:w="3168"/>
      </w:tblGrid>
      <w:tr>
        <w:tc>
          <w:tcPr>
            <w:tcW w:type="dxa" w:w="2448"/>
            <w:shd w:val="clear" w:fill="1F3864"/>
          </w:tcPr>
          <w:p>
            <w:pPr>
              <w:spacing w:after="40"/>
            </w:pPr>
            <w:r/>
            <w:r>
              <w:rPr>
                <w:b/>
                <w:color w:val="FFFFFF"/>
                <w:sz w:val="19"/>
              </w:rPr>
              <w:t>What you see</w:t>
            </w:r>
          </w:p>
        </w:tc>
        <w:tc>
          <w:tcPr>
            <w:tcW w:type="dxa" w:w="3024"/>
            <w:shd w:val="clear" w:fill="1F3864"/>
          </w:tcPr>
          <w:p>
            <w:pPr>
              <w:spacing w:after="40"/>
            </w:pPr>
            <w:r/>
            <w:r>
              <w:rPr>
                <w:b/>
                <w:color w:val="FFFFFF"/>
                <w:sz w:val="19"/>
              </w:rPr>
              <w:t>Most likely cause</w:t>
            </w:r>
          </w:p>
        </w:tc>
        <w:tc>
          <w:tcPr>
            <w:tcW w:type="dxa" w:w="3024"/>
            <w:shd w:val="clear" w:fill="1F3864"/>
          </w:tcPr>
          <w:p>
            <w:pPr>
              <w:spacing w:after="40"/>
            </w:pPr>
            <w:r/>
            <w:r>
              <w:rPr>
                <w:b/>
                <w:color w:val="FFFFFF"/>
                <w:sz w:val="19"/>
              </w:rPr>
              <w:t>What to do</w:t>
            </w:r>
          </w:p>
        </w:tc>
      </w:tr>
      <w:tr>
        <w:tc>
          <w:tcPr>
            <w:tcW w:type="dxa" w:w="2448"/>
          </w:tcPr>
          <w:p>
            <w:pPr>
              <w:spacing w:after="40"/>
            </w:pPr>
            <w:r/>
            <w:r>
              <w:rPr>
                <w:sz w:val="19"/>
              </w:rPr>
              <w:t>The board is empty</w:t>
            </w:r>
          </w:p>
        </w:tc>
        <w:tc>
          <w:tcPr>
            <w:tcW w:type="dxa" w:w="3024"/>
          </w:tcPr>
          <w:p>
            <w:pPr>
              <w:spacing w:after="40"/>
            </w:pPr>
            <w:r/>
            <w:r>
              <w:rPr>
                <w:sz w:val="19"/>
              </w:rPr>
              <w:t>You hold the role but are not assigned to a work driver.</w:t>
            </w:r>
          </w:p>
        </w:tc>
        <w:tc>
          <w:tcPr>
            <w:tcW w:type="dxa" w:w="3024"/>
          </w:tcPr>
          <w:p>
            <w:pPr>
              <w:spacing w:after="40"/>
            </w:pPr>
            <w:r/>
            <w:r>
              <w:rPr>
                <w:sz w:val="19"/>
              </w:rPr>
              <w:t>Ask your manager to assign you to the driver.</w:t>
            </w:r>
          </w:p>
        </w:tc>
      </w:tr>
      <w:tr>
        <w:tc>
          <w:tcPr>
            <w:tcW w:type="dxa" w:w="2448"/>
          </w:tcPr>
          <w:p>
            <w:pPr>
              <w:spacing w:after="40"/>
            </w:pPr>
            <w:r/>
            <w:r>
              <w:rPr>
                <w:sz w:val="19"/>
              </w:rPr>
              <w:t>A mail you expected is not there</w:t>
            </w:r>
          </w:p>
        </w:tc>
        <w:tc>
          <w:tcPr>
            <w:tcW w:type="dxa" w:w="3024"/>
          </w:tcPr>
          <w:p>
            <w:pPr>
              <w:spacing w:after="40"/>
            </w:pPr>
            <w:r/>
            <w:r>
              <w:rPr>
                <w:sz w:val="19"/>
              </w:rPr>
              <w:t>It was classified as not relevant — a reply, a quoted thread, or a sender on the noise list.</w:t>
            </w:r>
          </w:p>
        </w:tc>
        <w:tc>
          <w:tcPr>
            <w:tcW w:type="dxa" w:w="3024"/>
          </w:tcPr>
          <w:p>
            <w:pPr>
              <w:spacing w:after="40"/>
            </w:pPr>
            <w:r/>
            <w:r>
              <w:rPr>
                <w:sz w:val="19"/>
              </w:rPr>
              <w:t>Check the filtered count on the board and ask your manager to review the identification rules.</w:t>
            </w:r>
          </w:p>
        </w:tc>
      </w:tr>
      <w:tr>
        <w:tc>
          <w:tcPr>
            <w:tcW w:type="dxa" w:w="2448"/>
          </w:tcPr>
          <w:p>
            <w:pPr>
              <w:spacing w:after="40"/>
            </w:pPr>
            <w:r/>
            <w:r>
              <w:rPr>
                <w:sz w:val="19"/>
              </w:rPr>
              <w:t>Fewer cashflows than the mail shows</w:t>
            </w:r>
          </w:p>
        </w:tc>
        <w:tc>
          <w:tcPr>
            <w:tcW w:type="dxa" w:w="3024"/>
          </w:tcPr>
          <w:p>
            <w:pPr>
              <w:spacing w:after="40"/>
            </w:pPr>
            <w:r/>
            <w:r>
              <w:rPr>
                <w:sz w:val="19"/>
              </w:rPr>
              <w:t>The mail was large and part of the reading did not complete. The system flags this rather than reporting success.</w:t>
            </w:r>
          </w:p>
        </w:tc>
        <w:tc>
          <w:tcPr>
            <w:tcW w:type="dxa" w:w="3024"/>
          </w:tcPr>
          <w:p>
            <w:pPr>
              <w:spacing w:after="40"/>
            </w:pPr>
            <w:r/>
            <w:r>
              <w:rPr>
                <w:sz w:val="19"/>
              </w:rPr>
              <w:t>Run Sync now again — it retries automatically and is safe to repeat.</w:t>
            </w:r>
          </w:p>
        </w:tc>
      </w:tr>
      <w:tr>
        <w:tc>
          <w:tcPr>
            <w:tcW w:type="dxa" w:w="2448"/>
          </w:tcPr>
          <w:p>
            <w:pPr>
              <w:spacing w:after="40"/>
            </w:pPr>
            <w:r/>
            <w:r>
              <w:rPr>
                <w:sz w:val="19"/>
              </w:rPr>
              <w:t>A mail with no cashflows at all</w:t>
            </w:r>
          </w:p>
        </w:tc>
        <w:tc>
          <w:tcPr>
            <w:tcW w:type="dxa" w:w="3024"/>
          </w:tcPr>
          <w:p>
            <w:pPr>
              <w:spacing w:after="40"/>
            </w:pPr>
            <w:r/>
            <w:r>
              <w:rPr>
                <w:sz w:val="19"/>
              </w:rPr>
              <w:t>The figures may exist only inside an image, or the attachment may be password protected.</w:t>
            </w:r>
          </w:p>
        </w:tc>
        <w:tc>
          <w:tcPr>
            <w:tcW w:type="dxa" w:w="3024"/>
          </w:tcPr>
          <w:p>
            <w:pPr>
              <w:spacing w:after="40"/>
            </w:pPr>
            <w:r/>
            <w:r>
              <w:rPr>
                <w:sz w:val="19"/>
              </w:rPr>
              <w:t>Handle it manually and tell your manager which mail it was.</w:t>
            </w:r>
          </w:p>
        </w:tc>
      </w:tr>
      <w:tr>
        <w:tc>
          <w:tcPr>
            <w:tcW w:type="dxa" w:w="2448"/>
          </w:tcPr>
          <w:p>
            <w:pPr>
              <w:spacing w:after="40"/>
            </w:pPr>
            <w:r/>
            <w:r>
              <w:rPr>
                <w:sz w:val="19"/>
              </w:rPr>
              <w:t>Everything matches at Tier 3</w:t>
            </w:r>
          </w:p>
        </w:tc>
        <w:tc>
          <w:tcPr>
            <w:tcW w:type="dxa" w:w="3024"/>
          </w:tcPr>
          <w:p>
            <w:pPr>
              <w:spacing w:after="40"/>
            </w:pPr>
            <w:r/>
            <w:r>
              <w:rPr>
                <w:sz w:val="19"/>
              </w:rPr>
              <w:t>The counterparty directory is not populated for these senders.</w:t>
            </w:r>
          </w:p>
        </w:tc>
        <w:tc>
          <w:tcPr>
            <w:tcW w:type="dxa" w:w="3024"/>
          </w:tcPr>
          <w:p>
            <w:pPr>
              <w:spacing w:after="40"/>
            </w:pPr>
            <w:r/>
            <w:r>
              <w:rPr>
                <w:sz w:val="19"/>
              </w:rPr>
              <w:t>Raise it with your manager; it is reference data, not a matching fault.</w:t>
            </w:r>
          </w:p>
        </w:tc>
      </w:tr>
      <w:tr>
        <w:tc>
          <w:tcPr>
            <w:tcW w:type="dxa" w:w="2448"/>
          </w:tcPr>
          <w:p>
            <w:pPr>
              <w:spacing w:after="40"/>
            </w:pPr>
            <w:r/>
            <w:r>
              <w:rPr>
                <w:sz w:val="19"/>
              </w:rPr>
              <w:t>A value is not highlighted in the mail</w:t>
            </w:r>
          </w:p>
        </w:tc>
        <w:tc>
          <w:tcPr>
            <w:tcW w:type="dxa" w:w="3024"/>
          </w:tcPr>
          <w:p>
            <w:pPr>
              <w:spacing w:after="40"/>
            </w:pPr>
            <w:r/>
            <w:r>
              <w:rPr>
                <w:sz w:val="19"/>
              </w:rPr>
              <w:t>The stored value could not be proved against the message text in that exact form.</w:t>
            </w:r>
          </w:p>
        </w:tc>
        <w:tc>
          <w:tcPr>
            <w:tcW w:type="dxa" w:w="3024"/>
          </w:tcPr>
          <w:p>
            <w:pPr>
              <w:spacing w:after="40"/>
            </w:pPr>
            <w:r/>
            <w:r>
              <w:rPr>
                <w:sz w:val="19"/>
              </w:rPr>
              <w:t>Check it against the message yourself before confirming.</w:t>
            </w:r>
          </w:p>
        </w:tc>
      </w:tr>
      <w:tr>
        <w:tc>
          <w:tcPr>
            <w:tcW w:type="dxa" w:w="2448"/>
          </w:tcPr>
          <w:p>
            <w:pPr>
              <w:spacing w:after="40"/>
            </w:pPr>
            <w:r/>
            <w:r>
              <w:rPr>
                <w:sz w:val="19"/>
              </w:rPr>
              <w:t>Nothing is progressing</w:t>
            </w:r>
          </w:p>
        </w:tc>
        <w:tc>
          <w:tcPr>
            <w:tcW w:type="dxa" w:w="3024"/>
          </w:tcPr>
          <w:p>
            <w:pPr>
              <w:spacing w:after="40"/>
            </w:pPr>
            <w:r/>
            <w:r>
              <w:rPr>
                <w:sz w:val="19"/>
              </w:rPr>
              <w:t>The cashflows are still at Awaiting Confirmation.</w:t>
            </w:r>
          </w:p>
        </w:tc>
        <w:tc>
          <w:tcPr>
            <w:tcW w:type="dxa" w:w="3024"/>
          </w:tcPr>
          <w:p>
            <w:pPr>
              <w:spacing w:after="40"/>
            </w:pPr>
            <w:r/>
            <w:r>
              <w:rPr>
                <w:sz w:val="19"/>
              </w:rPr>
              <w:t>Confirm them — matching does not run until you do.</w:t>
            </w:r>
          </w:p>
        </w:tc>
      </w:tr>
    </w:tbl>
    <w:p>
      <w:pPr>
        <w:spacing w:after="80"/>
      </w:pPr>
    </w:p>
    <w:p>
      <w:r>
        <w:br w:type="page"/>
      </w:r>
    </w:p>
    <w:p>
      <w:pPr>
        <w:pStyle w:val="Heading1"/>
      </w:pPr>
      <w:r>
        <w:rPr>
          <w:b w:val="0"/>
          <w:i w:val="0"/>
        </w:rPr>
        <w:t>12. Glossary</w:t>
      </w:r>
    </w:p>
    <w:tbl>
      <w:tblPr>
        <w:tblStyle w:val="TableGrid"/>
        <w:tblW w:type="auto" w:w="0"/>
        <w:jc w:val="left"/>
        <w:tblLook w:firstColumn="1" w:firstRow="1" w:lastColumn="0" w:lastRow="0" w:noHBand="0" w:noVBand="1" w:val="04A0"/>
      </w:tblPr>
      <w:tblGrid>
        <w:gridCol w:w="4752"/>
        <w:gridCol w:w="4752"/>
      </w:tblGrid>
      <w:tr>
        <w:tc>
          <w:tcPr>
            <w:tcW w:type="dxa" w:w="2448"/>
            <w:shd w:val="clear" w:fill="1F3864"/>
          </w:tcPr>
          <w:p>
            <w:pPr>
              <w:spacing w:after="40"/>
            </w:pPr>
            <w:r/>
            <w:r>
              <w:rPr>
                <w:b/>
                <w:color w:val="FFFFFF"/>
                <w:sz w:val="19"/>
              </w:rPr>
              <w:t>Term</w:t>
            </w:r>
          </w:p>
        </w:tc>
        <w:tc>
          <w:tcPr>
            <w:tcW w:type="dxa" w:w="6048"/>
            <w:shd w:val="clear" w:fill="1F3864"/>
          </w:tcPr>
          <w:p>
            <w:pPr>
              <w:spacing w:after="40"/>
            </w:pPr>
            <w:r/>
            <w:r>
              <w:rPr>
                <w:b/>
                <w:color w:val="FFFFFF"/>
                <w:sz w:val="19"/>
              </w:rPr>
              <w:t>Meaning</w:t>
            </w:r>
          </w:p>
        </w:tc>
      </w:tr>
      <w:tr>
        <w:tc>
          <w:tcPr>
            <w:tcW w:type="dxa" w:w="2448"/>
          </w:tcPr>
          <w:p>
            <w:pPr>
              <w:spacing w:after="40"/>
            </w:pPr>
            <w:r/>
            <w:r>
              <w:rPr>
                <w:b/>
                <w:sz w:val="19"/>
              </w:rPr>
              <w:t>Work driver</w:t>
            </w:r>
          </w:p>
        </w:tc>
        <w:tc>
          <w:tcPr>
            <w:tcW w:type="dxa" w:w="6048"/>
          </w:tcPr>
          <w:p>
            <w:pPr>
              <w:spacing w:after="40"/>
            </w:pPr>
            <w:r/>
            <w:r>
              <w:rPr>
                <w:sz w:val="19"/>
              </w:rPr>
              <w:t>One configured pipeline: which mails it claims, what to extract, who works it. Sometimes called the wizard.</w:t>
            </w:r>
          </w:p>
        </w:tc>
      </w:tr>
      <w:tr>
        <w:tc>
          <w:tcPr>
            <w:tcW w:type="dxa" w:w="2448"/>
          </w:tcPr>
          <w:p>
            <w:pPr>
              <w:spacing w:after="40"/>
            </w:pPr>
            <w:r/>
            <w:r>
              <w:rPr>
                <w:b/>
                <w:sz w:val="19"/>
              </w:rPr>
              <w:t>Cashflow</w:t>
            </w:r>
          </w:p>
        </w:tc>
        <w:tc>
          <w:tcPr>
            <w:tcW w:type="dxa" w:w="6048"/>
          </w:tcPr>
          <w:p>
            <w:pPr>
              <w:spacing w:after="40"/>
            </w:pPr>
            <w:r/>
            <w:r>
              <w:rPr>
                <w:sz w:val="19"/>
              </w:rPr>
              <w:t>One settlement line read out of a mail: amount, currency, direction, value date, reference. A mail usually yields several.</w:t>
            </w:r>
          </w:p>
        </w:tc>
      </w:tr>
      <w:tr>
        <w:tc>
          <w:tcPr>
            <w:tcW w:type="dxa" w:w="2448"/>
          </w:tcPr>
          <w:p>
            <w:pPr>
              <w:spacing w:after="40"/>
            </w:pPr>
            <w:r/>
            <w:r>
              <w:rPr>
                <w:b/>
                <w:sz w:val="19"/>
              </w:rPr>
              <w:t>Booking</w:t>
            </w:r>
          </w:p>
        </w:tc>
        <w:tc>
          <w:tcPr>
            <w:tcW w:type="dxa" w:w="6048"/>
          </w:tcPr>
          <w:p>
            <w:pPr>
              <w:spacing w:after="40"/>
            </w:pPr>
            <w:r/>
            <w:r>
              <w:rPr>
                <w:sz w:val="19"/>
              </w:rPr>
              <w:t>The bank’s own record of a trade’s cashflow — what an extracted cashflow is compared against.</w:t>
            </w:r>
          </w:p>
        </w:tc>
      </w:tr>
      <w:tr>
        <w:tc>
          <w:tcPr>
            <w:tcW w:type="dxa" w:w="2448"/>
          </w:tcPr>
          <w:p>
            <w:pPr>
              <w:spacing w:after="40"/>
            </w:pPr>
            <w:r/>
            <w:r>
              <w:rPr>
                <w:b/>
                <w:sz w:val="19"/>
              </w:rPr>
              <w:t>Direction</w:t>
            </w:r>
          </w:p>
        </w:tc>
        <w:tc>
          <w:tcPr>
            <w:tcW w:type="dxa" w:w="6048"/>
          </w:tcPr>
          <w:p>
            <w:pPr>
              <w:spacing w:after="40"/>
            </w:pPr>
            <w:r/>
            <w:r>
              <w:rPr>
                <w:sz w:val="19"/>
              </w:rPr>
              <w:t>Receive or Pay, always from Nomura’s side.</w:t>
            </w:r>
          </w:p>
        </w:tc>
      </w:tr>
      <w:tr>
        <w:tc>
          <w:tcPr>
            <w:tcW w:type="dxa" w:w="2448"/>
          </w:tcPr>
          <w:p>
            <w:pPr>
              <w:spacing w:after="40"/>
            </w:pPr>
            <w:r/>
            <w:r>
              <w:rPr>
                <w:b/>
                <w:sz w:val="19"/>
              </w:rPr>
              <w:t>Tier</w:t>
            </w:r>
          </w:p>
        </w:tc>
        <w:tc>
          <w:tcPr>
            <w:tcW w:type="dxa" w:w="6048"/>
          </w:tcPr>
          <w:p>
            <w:pPr>
              <w:spacing w:after="40"/>
            </w:pPr>
            <w:r/>
            <w:r>
              <w:rPr>
                <w:sz w:val="19"/>
              </w:rPr>
              <w:t>Which of the three comparison passes found a booking. Tier 1 is exact on everything; Tier 3 is the widest.</w:t>
            </w:r>
          </w:p>
        </w:tc>
      </w:tr>
      <w:tr>
        <w:tc>
          <w:tcPr>
            <w:tcW w:type="dxa" w:w="2448"/>
          </w:tcPr>
          <w:p>
            <w:pPr>
              <w:spacing w:after="40"/>
            </w:pPr>
            <w:r/>
            <w:r>
              <w:rPr>
                <w:b/>
                <w:sz w:val="19"/>
              </w:rPr>
              <w:t>Allege</w:t>
            </w:r>
          </w:p>
        </w:tc>
        <w:tc>
          <w:tcPr>
            <w:tcW w:type="dxa" w:w="6048"/>
          </w:tcPr>
          <w:p>
            <w:pPr>
              <w:spacing w:after="40"/>
            </w:pPr>
            <w:r/>
            <w:r>
              <w:rPr>
                <w:sz w:val="19"/>
              </w:rPr>
              <w:t>To raise a cashflow with the counterparty because it cannot be matched or is disputed.</w:t>
            </w:r>
          </w:p>
        </w:tc>
      </w:tr>
      <w:tr>
        <w:tc>
          <w:tcPr>
            <w:tcW w:type="dxa" w:w="2448"/>
          </w:tcPr>
          <w:p>
            <w:pPr>
              <w:spacing w:after="40"/>
            </w:pPr>
            <w:r/>
            <w:r>
              <w:rPr>
                <w:b/>
                <w:sz w:val="19"/>
              </w:rPr>
              <w:t>Awaiting Confirmation</w:t>
            </w:r>
          </w:p>
        </w:tc>
        <w:tc>
          <w:tcPr>
            <w:tcW w:type="dxa" w:w="6048"/>
          </w:tcPr>
          <w:p>
            <w:pPr>
              <w:spacing w:after="40"/>
            </w:pPr>
            <w:r/>
            <w:r>
              <w:rPr>
                <w:sz w:val="19"/>
              </w:rPr>
              <w:t>Read but not yet reviewed. The state everything waits in.</w:t>
            </w:r>
          </w:p>
        </w:tc>
      </w:tr>
      <w:tr>
        <w:tc>
          <w:tcPr>
            <w:tcW w:type="dxa" w:w="2448"/>
          </w:tcPr>
          <w:p>
            <w:pPr>
              <w:spacing w:after="40"/>
            </w:pPr>
            <w:r/>
            <w:r>
              <w:rPr>
                <w:b/>
                <w:sz w:val="19"/>
              </w:rPr>
              <w:t>Partial extraction</w:t>
            </w:r>
          </w:p>
        </w:tc>
        <w:tc>
          <w:tcPr>
            <w:tcW w:type="dxa" w:w="6048"/>
          </w:tcPr>
          <w:p>
            <w:pPr>
              <w:spacing w:after="40"/>
            </w:pPr>
            <w:r/>
            <w:r>
              <w:rPr>
                <w:sz w:val="19"/>
              </w:rPr>
              <w:t>Fewer cashflows came back than the message appears to contain. Flagged rather than reported as complete.</w:t>
            </w:r>
          </w:p>
        </w:tc>
      </w:tr>
      <w:tr>
        <w:tc>
          <w:tcPr>
            <w:tcW w:type="dxa" w:w="2448"/>
          </w:tcPr>
          <w:p>
            <w:pPr>
              <w:spacing w:after="40"/>
            </w:pPr>
            <w:r/>
            <w:r>
              <w:rPr>
                <w:b/>
                <w:sz w:val="19"/>
              </w:rPr>
              <w:t>Thread mail</w:t>
            </w:r>
          </w:p>
        </w:tc>
        <w:tc>
          <w:tcPr>
            <w:tcW w:type="dxa" w:w="6048"/>
          </w:tcPr>
          <w:p>
            <w:pPr>
              <w:spacing w:after="40"/>
            </w:pPr>
            <w:r/>
            <w:r>
              <w:rPr>
                <w:sz w:val="19"/>
              </w:rPr>
              <w:t>A mail that quotes an earlier message. Set aside, because its figures have usually been processed already.</w:t>
            </w:r>
          </w:p>
        </w:tc>
      </w:tr>
      <w:tr>
        <w:tc>
          <w:tcPr>
            <w:tcW w:type="dxa" w:w="2448"/>
          </w:tcPr>
          <w:p>
            <w:pPr>
              <w:spacing w:after="40"/>
            </w:pPr>
            <w:r/>
            <w:r>
              <w:rPr>
                <w:b/>
                <w:sz w:val="19"/>
              </w:rPr>
              <w:t>Relevant / not relevant</w:t>
            </w:r>
          </w:p>
        </w:tc>
        <w:tc>
          <w:tcPr>
            <w:tcW w:type="dxa" w:w="6048"/>
          </w:tcPr>
          <w:p>
            <w:pPr>
              <w:spacing w:after="40"/>
            </w:pPr>
            <w:r/>
            <w:r>
              <w:rPr>
                <w:sz w:val="19"/>
              </w:rPr>
              <w:t>The decision on whether a mail belongs to this desk. Both outcomes are recorded, with a reason.</w:t>
            </w:r>
          </w:p>
        </w:tc>
      </w:tr>
    </w:tbl>
    <w:p>
      <w:pPr>
        <w:spacing w:after="80"/>
      </w:pP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470"/>
        <w:sz w:val="16"/>
      </w:rPr>
      <w:t xml:space="preserve">NexAI OTC — User Manual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