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ascii="Calibri" w:hAnsi="Calibri"/>
          <w:b/>
          <w:i w:val="0"/>
          <w:color w:val="1F3864"/>
          <w:sz w:val="38"/>
        </w:rPr>
        <w:t>Now Assist versus Direct Model Integration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F3864"/>
          <w:sz w:val="29"/>
        </w:rPr>
        <w:t>An architecture comparison for the NexAI OTC settlement application</w:t>
      </w:r>
    </w:p>
    <w:p>
      <w:r>
        <w:rPr>
          <w:rFonts w:ascii="Calibri" w:hAnsi="Calibri"/>
          <w:b/>
          <w:i w:val="0"/>
          <w:sz w:val="21"/>
        </w:rPr>
        <w:t>Date:</w:t>
      </w:r>
      <w:r>
        <w:rPr>
          <w:rFonts w:ascii="Calibri" w:hAnsi="Calibri"/>
          <w:b w:val="0"/>
          <w:i w:val="0"/>
          <w:sz w:val="21"/>
        </w:rPr>
        <w:t xml:space="preserve"> 1 October 2026 </w:t>
      </w:r>
      <w:r>
        <w:rPr>
          <w:rFonts w:ascii="Calibri" w:hAnsi="Calibri"/>
          <w:b/>
          <w:i w:val="0"/>
          <w:sz w:val="21"/>
        </w:rPr>
        <w:t>Scope:</w:t>
      </w:r>
      <w:r>
        <w:rPr>
          <w:rFonts w:ascii="Calibri" w:hAnsi="Calibri"/>
          <w:b w:val="0"/>
          <w:i w:val="0"/>
          <w:sz w:val="21"/>
        </w:rPr>
        <w:t xml:space="preserve"> the OTC Allege settlement pipeline on the Nomura BSM development instance </w:t>
      </w:r>
      <w:r>
        <w:rPr>
          <w:rFonts w:ascii="Calibri" w:hAnsi="Calibri"/>
          <w:b/>
          <w:i w:val="0"/>
          <w:sz w:val="21"/>
        </w:rPr>
        <w:t>Decision this informs:</w:t>
      </w:r>
      <w:r>
        <w:rPr>
          <w:rFonts w:ascii="Calibri" w:hAnsi="Calibri"/>
          <w:b w:val="0"/>
          <w:i w:val="0"/>
          <w:sz w:val="21"/>
        </w:rPr>
        <w:t xml:space="preserve"> which route the application takes to the language model, and what that means for an agentic future</w:t>
      </w:r>
    </w:p>
    <w:p>
      <w:pPr>
        <w:spacing w:before="80" w:after="200"/>
        <w:pBdr>
          <w:bottom w:val="single" w:sz="6" w:space="6" w:color="C8CDD6"/>
        </w:pBdr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F3864"/>
          <w:sz w:val="29"/>
        </w:rPr>
        <w:t>1. Executive summary</w:t>
      </w:r>
    </w:p>
    <w:p>
      <w:r>
        <w:rPr>
          <w:rFonts w:ascii="Calibri" w:hAnsi="Calibri"/>
          <w:b w:val="0"/>
          <w:i w:val="0"/>
          <w:sz w:val="21"/>
        </w:rPr>
        <w:t>The application reads settlement emails, extracts cashflows, compares them against a golden source and hands the result to an analyst. Every one of those steps that uses a language model has to reach one, and there are two ways to do it on this platform:</w:t>
      </w:r>
    </w:p>
    <w:p>
      <w:r>
        <w:rPr>
          <w:rFonts w:ascii="Calibri" w:hAnsi="Calibri"/>
          <w:b/>
          <w:i w:val="0"/>
          <w:sz w:val="21"/>
        </w:rPr>
        <w:t>Through Now Assist</w:t>
      </w:r>
      <w:r>
        <w:rPr>
          <w:rFonts w:ascii="Calibri" w:hAnsi="Calibri"/>
          <w:b w:val="0"/>
          <w:i w:val="0"/>
          <w:sz w:val="21"/>
        </w:rPr>
        <w:t xml:space="preserve"> — the model is reached through a platform skill, which sits on top of a provider registration, which reaches the model. Governance, versioning and usage reporting are provided by the platform.</w:t>
      </w:r>
    </w:p>
    <w:p>
      <w:r>
        <w:rPr>
          <w:rFonts w:ascii="Calibri" w:hAnsi="Calibri"/>
          <w:b/>
          <w:i w:val="0"/>
          <w:sz w:val="21"/>
        </w:rPr>
        <w:t>Directly</w:t>
      </w:r>
      <w:r>
        <w:rPr>
          <w:rFonts w:ascii="Calibri" w:hAnsi="Calibri"/>
          <w:b w:val="0"/>
          <w:i w:val="0"/>
          <w:sz w:val="21"/>
        </w:rPr>
        <w:t xml:space="preserve"> — the application calls the enterprise model gateway itself through a shared client. One script, one hop. Governance and usage reporting are ours to build.</w:t>
      </w:r>
    </w:p>
    <w:p>
      <w:r>
        <w:rPr>
          <w:rFonts w:ascii="Calibri" w:hAnsi="Calibri"/>
          <w:b w:val="0"/>
          <w:i w:val="0"/>
          <w:sz w:val="21"/>
        </w:rPr>
        <w:t xml:space="preserve">The application runs on the </w:t>
      </w:r>
      <w:r>
        <w:rPr>
          <w:rFonts w:ascii="Calibri" w:hAnsi="Calibri"/>
          <w:b/>
          <w:i w:val="0"/>
          <w:sz w:val="21"/>
        </w:rPr>
        <w:t>direct</w:t>
      </w:r>
      <w:r>
        <w:rPr>
          <w:rFonts w:ascii="Calibri" w:hAnsi="Calibri"/>
          <w:b w:val="0"/>
          <w:i w:val="0"/>
          <w:sz w:val="21"/>
        </w:rPr>
        <w:t xml:space="preserve"> route today. It was built on Now Assist first and moved deliberately.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The recommendation</w:t>
      </w:r>
    </w:p>
    <w:p>
      <w:r>
        <w:rPr>
          <w:rFonts w:ascii="Calibri" w:hAnsi="Calibri"/>
          <w:b/>
          <w:i w:val="0"/>
          <w:sz w:val="21"/>
        </w:rPr>
        <w:t>Keep the direct integration for the settlement pipeline.</w:t>
      </w:r>
      <w:r>
        <w:rPr>
          <w:rFonts w:ascii="Calibri" w:hAnsi="Calibri"/>
          <w:b w:val="0"/>
          <w:i w:val="0"/>
          <w:sz w:val="21"/>
        </w:rPr>
        <w:t xml:space="preserve"> It is the right answer for a money path that must be configurable per environment, auditable per item, and free of licence dependencies.</w:t>
      </w:r>
    </w:p>
    <w:p>
      <w:r>
        <w:rPr>
          <w:rFonts w:ascii="Calibri" w:hAnsi="Calibri"/>
          <w:b/>
          <w:i w:val="0"/>
          <w:sz w:val="21"/>
        </w:rPr>
        <w:t>But understand what that forecloses, because it is not what most people assume.</w:t>
      </w:r>
      <w:r>
        <w:rPr>
          <w:rFonts w:ascii="Calibri" w:hAnsi="Calibri"/>
          <w:b w:val="0"/>
          <w:i w:val="0"/>
          <w:sz w:val="21"/>
        </w:rPr>
        <w:t xml:space="preserve"> The agentic question is not a licensing inconvenience. It is a hard architectural boundary:</w:t>
      </w:r>
    </w:p>
    <w:p>
      <w:pPr>
        <w:spacing w:before="140" w:after="40"/>
        <w:ind w:left="255"/>
        <w:shd w:val="clear" w:color="auto" w:fill="FFF8E6"/>
        <w:pBdr>
          <w:left w:val="single" w:sz="22" w:space="6" w:color="D9A21B"/>
        </w:pBdr>
      </w:pPr>
      <w:r>
        <w:rPr>
          <w:rFonts w:ascii="Calibri" w:hAnsi="Calibri"/>
          <w:b w:val="0"/>
          <w:i w:val="0"/>
          <w:sz w:val="21"/>
        </w:rPr>
        <w:t xml:space="preserve">ServiceNow's AI Agents — both out-of-the-box and custom — support only </w:t>
      </w:r>
      <w:r>
        <w:rPr>
          <w:rFonts w:ascii="Calibri" w:hAnsi="Calibri"/>
          <w:b/>
          <w:i w:val="0"/>
          <w:sz w:val="21"/>
        </w:rPr>
        <w:t>ServiceNow Managed Connection</w:t>
      </w:r>
      <w:r>
        <w:rPr>
          <w:rFonts w:ascii="Calibri" w:hAnsi="Calibri"/>
          <w:b w:val="0"/>
          <w:i w:val="0"/>
          <w:sz w:val="21"/>
        </w:rPr>
        <w:t xml:space="preserve"> and </w:t>
      </w:r>
      <w:r>
        <w:rPr>
          <w:rFonts w:ascii="Calibri" w:hAnsi="Calibri"/>
          <w:b/>
          <w:i w:val="0"/>
          <w:sz w:val="21"/>
        </w:rPr>
        <w:t>BYOK for ServiceNow-integrated models</w:t>
      </w:r>
      <w:r>
        <w:rPr>
          <w:rFonts w:ascii="Calibri" w:hAnsi="Calibri"/>
          <w:b w:val="0"/>
          <w:i w:val="0"/>
          <w:sz w:val="21"/>
        </w:rPr>
        <w:t xml:space="preserve">. </w:t>
      </w:r>
      <w:r>
        <w:rPr>
          <w:rFonts w:ascii="Calibri" w:hAnsi="Calibri"/>
          <w:b/>
          <w:i w:val="0"/>
          <w:sz w:val="21"/>
        </w:rPr>
        <w:t>BYOLLM is explicitly not supported.</w:t>
      </w:r>
    </w:p>
    <w:p>
      <w:r>
        <w:rPr>
          <w:rFonts w:ascii="Calibri" w:hAnsi="Calibri"/>
          <w:b w:val="0"/>
          <w:i w:val="0"/>
          <w:sz w:val="21"/>
        </w:rPr>
        <w:t xml:space="preserve">Nomura's mandated gateway is a BYOLLM-class connection: an external, non-certified endpoint reached over a MID server with its own credential and compliance registration. </w:t>
      </w:r>
      <w:r>
        <w:rPr>
          <w:rFonts w:ascii="Calibri" w:hAnsi="Calibri"/>
          <w:b/>
          <w:i w:val="0"/>
          <w:sz w:val="21"/>
        </w:rPr>
        <w:t>It therefore cannot drive an AI Agent at all</w:t>
      </w:r>
      <w:r>
        <w:rPr>
          <w:rFonts w:ascii="Calibri" w:hAnsi="Calibri"/>
          <w:b w:val="0"/>
          <w:i w:val="0"/>
          <w:sz w:val="21"/>
        </w:rPr>
        <w:t xml:space="preserve"> — not the agents, and not the orchestrator above them.</w:t>
      </w:r>
    </w:p>
    <w:p>
      <w:r>
        <w:rPr>
          <w:rFonts w:ascii="Calibri" w:hAnsi="Calibri"/>
          <w:b w:val="0"/>
          <w:i w:val="0"/>
          <w:sz w:val="21"/>
        </w:rPr>
        <w:t>So the real choice is not "Now Assist or direct". It is: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4989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If the agentic route is taken</w:t>
            </w:r>
          </w:p>
        </w:tc>
        <w:tc>
          <w:tcPr>
            <w:tcW w:type="dxa" w:w="4989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Then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Agents must run on a </w:t>
            </w:r>
            <w:r>
              <w:rPr>
                <w:rFonts w:ascii="Calibri" w:hAnsi="Calibri"/>
                <w:b/>
                <w:i w:val="0"/>
                <w:sz w:val="18"/>
              </w:rPr>
              <w:t>ServiceNow-integrated model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(Azure OpenAI, Google Gemini, AWS Claude)</w:t>
            </w:r>
          </w:p>
        </w:tc>
        <w:tc>
          <w:tcPr>
            <w:tcW w:type="dxa" w:w="498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which means model traffic for the agent layer leaves the mandated gateway</w:t>
            </w:r>
          </w:p>
        </w:tc>
      </w:tr>
      <w:tr>
        <w:trPr>
          <w:cantSplit/>
        </w:trPr>
        <w:tc>
          <w:tcPr>
            <w:tcW w:type="dxa" w:w="498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The mandated gateway stays at the </w:t>
            </w:r>
            <w:r>
              <w:rPr>
                <w:rFonts w:ascii="Calibri" w:hAnsi="Calibri"/>
                <w:b/>
                <w:i w:val="0"/>
                <w:sz w:val="18"/>
              </w:rPr>
              <w:t>skill and tool layer</w:t>
            </w:r>
          </w:p>
        </w:tc>
        <w:tc>
          <w:tcPr>
            <w:tcW w:type="dxa" w:w="498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where BYOLLM genuinely is supported, and where the application already is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sz w:val="21"/>
        </w:rPr>
        <w:t>That is a governance decision for Nomura, not an engineering preference. It should be put to them explicitly rather than discovered during a build.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The one-line answer</w:t>
      </w:r>
    </w:p>
    <w:p>
      <w:r>
        <w:rPr>
          <w:rFonts w:ascii="Calibri" w:hAnsi="Calibri"/>
          <w:b w:val="0"/>
          <w:i w:val="0"/>
          <w:sz w:val="21"/>
        </w:rPr>
        <w:t xml:space="preserve">Keep the deterministic settlement path on the direct gateway integration. If agents are wanted later, run them on an integrated model and let them orchestrate </w:t>
      </w:r>
      <w:r>
        <w:rPr>
          <w:rFonts w:ascii="Calibri" w:hAnsi="Calibri"/>
          <w:b w:val="0"/>
          <w:i/>
          <w:sz w:val="21"/>
        </w:rPr>
        <w:t>around</w:t>
      </w:r>
      <w:r>
        <w:rPr>
          <w:rFonts w:ascii="Calibri" w:hAnsi="Calibri"/>
          <w:b w:val="0"/>
          <w:i w:val="0"/>
          <w:sz w:val="21"/>
        </w:rPr>
        <w:t xml:space="preserve"> the money path rather than inside it. The two can coexist; what cannot happen is an AI Agent powered by the enterprise gateway.</w:t>
      </w:r>
    </w:p>
    <w:p>
      <w:pPr>
        <w:spacing w:before="80" w:after="200"/>
        <w:pBdr>
          <w:bottom w:val="single" w:sz="6" w:space="6" w:color="C8CDD6"/>
        </w:pBdr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F3864"/>
          <w:sz w:val="29"/>
        </w:rPr>
        <w:t>2. The two architectures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2.1 Through Now Assist</w:t>
      </w:r>
    </w:p>
    <w:p>
      <w:pPr>
        <w:spacing w:before="120" w:after="160" w:line="240" w:lineRule="auto"/>
        <w:ind w:left="170" w:right="57"/>
        <w:shd w:val="clear" w:color="auto" w:fill="F4F5F7"/>
        <w:pBdr>
          <w:left w:val="single" w:sz="24" w:space="6" w:color="8A9BB8"/>
        </w:pBdr>
      </w:pPr>
      <w:r>
        <w:rPr>
          <w:rFonts w:ascii="Consolas" w:hAnsi="Consolas"/>
          <w:color w:val="1A1A1A"/>
          <w:sz w:val="17"/>
          <w:noProof/>
        </w:rPr>
        <w:t>Script Include</w:t>
      </w:r>
      <w:r>
        <w:rPr>
          <w:rFonts w:ascii="Consolas" w:hAnsi="Consolas"/>
          <w:color w:val="1A1A1A"/>
          <w:sz w:val="17"/>
          <w:noProof/>
        </w:rPr>
        <w:br/>
        <w:t xml:space="preserve">   -&gt; Now Assist skill            (authored in the Skill Kit)</w:t>
      </w:r>
      <w:r>
        <w:rPr>
          <w:rFonts w:ascii="Consolas" w:hAnsi="Consolas"/>
          <w:color w:val="1A1A1A"/>
          <w:sz w:val="17"/>
          <w:noProof/>
        </w:rPr>
        <w:br/>
        <w:t xml:space="preserve">      -&gt; provider registration    (the gateway registered as a custom model)</w:t>
      </w:r>
      <w:r>
        <w:rPr>
          <w:rFonts w:ascii="Consolas" w:hAnsi="Consolas"/>
          <w:color w:val="1A1A1A"/>
          <w:sz w:val="17"/>
          <w:noProof/>
        </w:rPr>
        <w:br/>
        <w:t xml:space="preserve">         -&gt; subflow</w:t>
      </w:r>
      <w:r>
        <w:rPr>
          <w:rFonts w:ascii="Consolas" w:hAnsi="Consolas"/>
          <w:color w:val="1A1A1A"/>
          <w:sz w:val="17"/>
          <w:noProof/>
        </w:rPr>
        <w:br/>
        <w:t xml:space="preserve">            -&gt; enterprise model gateway</w:t>
      </w:r>
    </w:p>
    <w:p>
      <w:r>
        <w:rPr>
          <w:rFonts w:ascii="Calibri" w:hAnsi="Calibri"/>
          <w:b w:val="0"/>
          <w:i w:val="0"/>
          <w:sz w:val="21"/>
        </w:rPr>
        <w:t xml:space="preserve">One further component was needed to make it work at all: model calls made from a background context could not reach the MID server the way the skill layer expected, so a </w:t>
      </w:r>
      <w:r>
        <w:rPr>
          <w:rFonts w:ascii="Calibri" w:hAnsi="Calibri"/>
          <w:b/>
          <w:i w:val="0"/>
          <w:sz w:val="21"/>
        </w:rPr>
        <w:t>loopback bridge</w:t>
      </w:r>
      <w:r>
        <w:rPr>
          <w:rFonts w:ascii="Calibri" w:hAnsi="Calibri"/>
          <w:b w:val="0"/>
          <w:i w:val="0"/>
          <w:sz w:val="21"/>
        </w:rPr>
        <w:t xml:space="preserve"> sat in the middle to get the call out.</w:t>
      </w:r>
    </w:p>
    <w:p>
      <w:r>
        <w:rPr>
          <w:rFonts w:ascii="Calibri" w:hAnsi="Calibri"/>
          <w:b w:val="0"/>
          <w:i w:val="0"/>
          <w:sz w:val="21"/>
        </w:rPr>
        <w:t>It worked. Extraction ran end to end through it for months. The reasons for leaving were operational, not functional.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2.2 Direct</w:t>
      </w:r>
    </w:p>
    <w:p>
      <w:pPr>
        <w:spacing w:before="120" w:after="160" w:line="240" w:lineRule="auto"/>
        <w:ind w:left="170" w:right="57"/>
        <w:shd w:val="clear" w:color="auto" w:fill="F4F5F7"/>
        <w:pBdr>
          <w:left w:val="single" w:sz="24" w:space="6" w:color="8A9BB8"/>
        </w:pBdr>
      </w:pPr>
      <w:r>
        <w:rPr>
          <w:rFonts w:ascii="Consolas" w:hAnsi="Consolas"/>
          <w:color w:val="1A1A1A"/>
          <w:sz w:val="17"/>
          <w:noProof/>
        </w:rPr>
        <w:t>Script Include</w:t>
      </w:r>
      <w:r>
        <w:rPr>
          <w:rFonts w:ascii="Consolas" w:hAnsi="Consolas"/>
          <w:color w:val="1A1A1A"/>
          <w:sz w:val="17"/>
          <w:noProof/>
        </w:rPr>
        <w:br/>
        <w:t xml:space="preserve">   -&gt; shared global gateway client</w:t>
      </w:r>
      <w:r>
        <w:rPr>
          <w:rFonts w:ascii="Consolas" w:hAnsi="Consolas"/>
          <w:color w:val="1A1A1A"/>
          <w:sz w:val="17"/>
          <w:noProof/>
        </w:rPr>
        <w:br/>
        <w:t xml:space="preserve">      -&gt; enterprise model gateway</w:t>
      </w:r>
    </w:p>
    <w:p>
      <w:r>
        <w:rPr>
          <w:rFonts w:ascii="Calibri" w:hAnsi="Calibri"/>
          <w:b w:val="0"/>
          <w:i w:val="0"/>
          <w:sz w:val="21"/>
        </w:rPr>
        <w:t>Two components instead of five. The client is a single script shared by every application on the instance, carrying the endpoint, the MID server binding, the credential and the compliance registration ID.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2.3 What actually moved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16"/>
            <w:shd w:val="clear" w:color="auto" w:fill="1F3864"/>
          </w:tcPr>
          <w:p>
            <w:pPr>
              <w:spacing w:before="60" w:after="60"/>
            </w:pPr>
          </w:p>
        </w:tc>
        <w:tc>
          <w:tcPr>
            <w:tcW w:type="dxa" w:w="3186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Now Assist route</w:t>
            </w:r>
          </w:p>
        </w:tc>
        <w:tc>
          <w:tcPr>
            <w:tcW w:type="dxa" w:w="5076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Direct route</w:t>
            </w:r>
          </w:p>
        </w:tc>
      </w:tr>
      <w:tr>
        <w:trPr>
          <w:cantSplit/>
        </w:trPr>
        <w:tc>
          <w:tcPr>
            <w:tcW w:type="dxa" w:w="171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Model call</w:t>
            </w:r>
          </w:p>
        </w:tc>
        <w:tc>
          <w:tcPr>
            <w:tcW w:type="dxa" w:w="318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through a skill</w:t>
            </w:r>
          </w:p>
        </w:tc>
        <w:tc>
          <w:tcPr>
            <w:tcW w:type="dxa" w:w="507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through the shared client</w:t>
            </w:r>
          </w:p>
        </w:tc>
      </w:tr>
      <w:tr>
        <w:trPr>
          <w:cantSplit/>
        </w:trPr>
        <w:tc>
          <w:tcPr>
            <w:tcW w:type="dxa" w:w="171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Where a prompt lives</w:t>
            </w:r>
          </w:p>
        </w:tc>
        <w:tc>
          <w:tcPr>
            <w:tcW w:type="dxa" w:w="318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a skill definition, </w:t>
            </w:r>
            <w:r>
              <w:rPr>
                <w:rFonts w:ascii="Calibri" w:hAnsi="Calibri"/>
                <w:b/>
                <w:i w:val="0"/>
                <w:sz w:val="18"/>
              </w:rPr>
              <w:t>duplicated five or six times</w:t>
            </w:r>
          </w:p>
        </w:tc>
        <w:tc>
          <w:tcPr>
            <w:tcW w:type="dxa" w:w="507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the work-driver record and the configuration table — </w:t>
            </w:r>
            <w:r>
              <w:rPr>
                <w:rFonts w:ascii="Calibri" w:hAnsi="Calibri"/>
                <w:b/>
                <w:i w:val="0"/>
                <w:sz w:val="18"/>
              </w:rPr>
              <w:t>one place, manager-editable</w:t>
            </w:r>
          </w:p>
        </w:tc>
      </w:tr>
      <w:tr>
        <w:trPr>
          <w:cantSplit/>
        </w:trPr>
        <w:tc>
          <w:tcPr>
            <w:tcW w:type="dxa" w:w="171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Background-context calls</w:t>
            </w:r>
          </w:p>
        </w:tc>
        <w:tc>
          <w:tcPr>
            <w:tcW w:type="dxa" w:w="318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required a loopback bridge</w:t>
            </w:r>
          </w:p>
        </w:tc>
        <w:tc>
          <w:tcPr>
            <w:tcW w:type="dxa" w:w="507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native</w:t>
            </w:r>
          </w:p>
        </w:tc>
      </w:tr>
      <w:tr>
        <w:trPr>
          <w:cantSplit/>
        </w:trPr>
        <w:tc>
          <w:tcPr>
            <w:tcW w:type="dxa" w:w="171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Usage and cost</w:t>
            </w:r>
          </w:p>
        </w:tc>
        <w:tc>
          <w:tcPr>
            <w:tcW w:type="dxa" w:w="318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platform reporting</w:t>
            </w:r>
          </w:p>
        </w:tc>
        <w:tc>
          <w:tcPr>
            <w:tcW w:type="dxa" w:w="507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the gateway's own returned metrics, written to an application table</w:t>
            </w:r>
          </w:p>
        </w:tc>
      </w:tr>
      <w:tr>
        <w:trPr>
          <w:cantSplit/>
        </w:trPr>
        <w:tc>
          <w:tcPr>
            <w:tcW w:type="dxa" w:w="171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Compliance registration</w:t>
            </w:r>
          </w:p>
        </w:tc>
        <w:tc>
          <w:tcPr>
            <w:tcW w:type="dxa" w:w="318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handled by the platform layer</w:t>
            </w:r>
          </w:p>
        </w:tc>
        <w:tc>
          <w:tcPr>
            <w:tcW w:type="dxa" w:w="507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stamped by the client on every call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sz w:val="21"/>
        </w:rPr>
        <w:t>The three Script Includes that changed are the ones that make model calls. Classification rules, comparison tiers, the audit trail and the analyst surfaces were untouched — which is why the migration did not disturb settlement logic.</w:t>
      </w:r>
    </w:p>
    <w:p>
      <w:pPr>
        <w:spacing w:before="80" w:after="200"/>
        <w:pBdr>
          <w:bottom w:val="single" w:sz="6" w:space="6" w:color="C8CDD6"/>
        </w:pBdr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F3864"/>
          <w:sz w:val="29"/>
        </w:rPr>
        <w:t>3. The agentic question</w:t>
      </w:r>
    </w:p>
    <w:p>
      <w:r>
        <w:rPr>
          <w:rFonts w:ascii="Calibri" w:hAnsi="Calibri"/>
          <w:b w:val="0"/>
          <w:i w:val="0"/>
          <w:sz w:val="21"/>
        </w:rPr>
        <w:t>This is the section that should drive the decision, because it is the only one with a hard constraint rather than a trade-off.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3.1 What AI Agent Studio offers</w:t>
      </w:r>
    </w:p>
    <w:p>
      <w:r>
        <w:rPr>
          <w:rFonts w:ascii="Calibri" w:hAnsi="Calibri"/>
          <w:b w:val="0"/>
          <w:i w:val="0"/>
          <w:sz w:val="21"/>
        </w:rPr>
        <w:t xml:space="preserve">ServiceNow's agentic stack — </w:t>
      </w:r>
      <w:r>
        <w:rPr>
          <w:rFonts w:ascii="Calibri" w:hAnsi="Calibri"/>
          <w:b/>
          <w:i w:val="0"/>
          <w:sz w:val="21"/>
        </w:rPr>
        <w:t>AI Agent Studio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alibri" w:hAnsi="Calibri"/>
          <w:b/>
          <w:i w:val="0"/>
          <w:sz w:val="21"/>
        </w:rPr>
        <w:t>AI Agents</w:t>
      </w:r>
      <w:r>
        <w:rPr>
          <w:rFonts w:ascii="Calibri" w:hAnsi="Calibri"/>
          <w:b w:val="0"/>
          <w:i w:val="0"/>
          <w:sz w:val="21"/>
        </w:rPr>
        <w:t xml:space="preserve"> and </w:t>
      </w:r>
      <w:r>
        <w:rPr>
          <w:rFonts w:ascii="Calibri" w:hAnsi="Calibri"/>
          <w:b/>
          <w:i w:val="0"/>
          <w:sz w:val="21"/>
        </w:rPr>
        <w:t>Agentic Workflows</w:t>
      </w:r>
      <w:r>
        <w:rPr>
          <w:rFonts w:ascii="Calibri" w:hAnsi="Calibri"/>
          <w:b w:val="0"/>
          <w:i w:val="0"/>
          <w:sz w:val="21"/>
        </w:rPr>
        <w:t xml:space="preserve"> — lets you compose agents that reason over a goal and call tools, instead of running a fixed pipeline. For settlement operations the appeal is real: triage, chasing missing information, deciding which extraction strategy to try, escalating an exception, drafting a counterparty reply.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3.2 Confirmed: it is gated behind Now Assist</w:t>
      </w:r>
    </w:p>
    <w:p>
      <w:r>
        <w:rPr>
          <w:rFonts w:ascii="Calibri" w:hAnsi="Calibri"/>
          <w:b w:val="0"/>
          <w:i w:val="0"/>
          <w:sz w:val="21"/>
        </w:rPr>
        <w:t>This was checked against ServiceNow's own published material rather than assumed.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3059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Requirement</w:t>
            </w:r>
          </w:p>
        </w:tc>
        <w:tc>
          <w:tcPr>
            <w:tcW w:type="dxa" w:w="6919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rPr>
          <w:cantSplit/>
        </w:trPr>
        <w:tc>
          <w:tcPr>
            <w:tcW w:type="dxa" w:w="305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Entitlement</w:t>
            </w:r>
          </w:p>
        </w:tc>
        <w:tc>
          <w:tcPr>
            <w:tcW w:type="dxa" w:w="691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Now Assist installed with </w:t>
            </w:r>
            <w:r>
              <w:rPr>
                <w:rFonts w:ascii="Calibri" w:hAnsi="Calibri"/>
                <w:b/>
                <w:i w:val="0"/>
                <w:sz w:val="18"/>
              </w:rPr>
              <w:t>Pro Plus / Enterprise Plus</w:t>
            </w:r>
            <w:r>
              <w:rPr>
                <w:rFonts w:ascii="Calibri" w:hAnsi="Calibri"/>
                <w:b w:val="0"/>
                <w:i w:val="0"/>
                <w:sz w:val="18"/>
              </w:rPr>
              <w:t>, or an AI SKU (Foundation, Advanced, Prime)</w:t>
            </w:r>
          </w:p>
        </w:tc>
      </w:tr>
      <w:tr>
        <w:trPr>
          <w:cantSplit/>
        </w:trPr>
        <w:tc>
          <w:tcPr>
            <w:tcW w:type="dxa" w:w="305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To create or significantly modify agents</w:t>
            </w:r>
          </w:p>
        </w:tc>
        <w:tc>
          <w:tcPr>
            <w:tcW w:type="dxa" w:w="691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Prime</w:t>
            </w:r>
          </w:p>
        </w:tc>
      </w:tr>
      <w:tr>
        <w:trPr>
          <w:cantSplit/>
        </w:trPr>
        <w:tc>
          <w:tcPr>
            <w:tcW w:type="dxa" w:w="305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Platform version</w:t>
            </w:r>
          </w:p>
        </w:tc>
        <w:tc>
          <w:tcPr>
            <w:tcW w:type="dxa" w:w="691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Zurich Patch 1 or later (Australia or later recommended)</w:t>
            </w:r>
          </w:p>
        </w:tc>
      </w:tr>
      <w:tr>
        <w:trPr>
          <w:cantSplit/>
        </w:trPr>
        <w:tc>
          <w:tcPr>
            <w:tcW w:type="dxa" w:w="305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Role</w:t>
            </w:r>
          </w:p>
        </w:tc>
        <w:tc>
          <w:tcPr>
            <w:tcW w:type="dxa" w:w="6919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b w:val="0"/>
                <w:color w:val="A31515"/>
                <w:sz w:val="17"/>
                <w:noProof/>
              </w:rPr>
              <w:t>sn_aia.admin</w:t>
            </w:r>
          </w:p>
        </w:tc>
      </w:tr>
      <w:tr>
        <w:trPr>
          <w:cantSplit/>
        </w:trPr>
        <w:tc>
          <w:tcPr>
            <w:tcW w:type="dxa" w:w="305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Consumption</w:t>
            </w:r>
          </w:p>
        </w:tc>
        <w:tc>
          <w:tcPr>
            <w:tcW w:type="dxa" w:w="691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priced per action run; </w:t>
            </w:r>
            <w:r>
              <w:rPr>
                <w:rFonts w:ascii="Calibri" w:hAnsi="Calibri"/>
                <w:b/>
                <w:i w:val="0"/>
                <w:sz w:val="18"/>
              </w:rPr>
              <w:t>sub-production use and testing in AI Agent Studio also consume assists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sz w:val="21"/>
        </w:rPr>
        <w:t xml:space="preserve">So the premise is correct: </w:t>
      </w:r>
      <w:r>
        <w:rPr>
          <w:rFonts w:ascii="Calibri" w:hAnsi="Calibri"/>
          <w:b/>
          <w:i w:val="0"/>
          <w:sz w:val="21"/>
        </w:rPr>
        <w:t>there is no agentic route on this platform that does not go through Now Assist licensing.</w:t>
      </w:r>
      <w:r>
        <w:rPr>
          <w:rFonts w:ascii="Calibri" w:hAnsi="Calibri"/>
          <w:b w:val="0"/>
          <w:i w:val="0"/>
          <w:sz w:val="21"/>
        </w:rPr>
        <w:t xml:space="preserve"> It is not an optional add-on to a direct integration.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3.3 Confirmed, and more restrictive than licensing: the model constraint</w:t>
      </w:r>
    </w:p>
    <w:p>
      <w:r>
        <w:rPr>
          <w:rFonts w:ascii="Calibri" w:hAnsi="Calibri"/>
          <w:b w:val="0"/>
          <w:i w:val="0"/>
          <w:sz w:val="21"/>
        </w:rPr>
        <w:t>ServiceNow documents three ways to connect a model: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3037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Connection type</w:t>
            </w:r>
          </w:p>
        </w:tc>
        <w:tc>
          <w:tcPr>
            <w:tcW w:type="dxa" w:w="6941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is</w:t>
            </w:r>
          </w:p>
        </w:tc>
      </w:tr>
      <w:tr>
        <w:trPr>
          <w:cantSplit/>
        </w:trPr>
        <w:tc>
          <w:tcPr>
            <w:tcW w:type="dxa" w:w="3037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ServiceNow Managed Connection</w:t>
            </w:r>
          </w:p>
        </w:tc>
        <w:tc>
          <w:tcPr>
            <w:tcW w:type="dxa" w:w="6941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integrated models, no configuration, available on plugin install</w:t>
            </w:r>
          </w:p>
        </w:tc>
      </w:tr>
      <w:tr>
        <w:trPr>
          <w:cantSplit/>
        </w:trPr>
        <w:tc>
          <w:tcPr>
            <w:tcW w:type="dxa" w:w="3037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BYOK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(bring your own key)</w:t>
            </w:r>
          </w:p>
        </w:tc>
        <w:tc>
          <w:tcPr>
            <w:tcW w:type="dxa" w:w="6941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your own account and credentials, but still a ServiceNow-integrated provider</w:t>
            </w:r>
          </w:p>
        </w:tc>
      </w:tr>
      <w:tr>
        <w:trPr>
          <w:cantSplit/>
        </w:trPr>
        <w:tc>
          <w:tcPr>
            <w:tcW w:type="dxa" w:w="3037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BYOLLM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(bring your own LLM)</w:t>
            </w:r>
          </w:p>
        </w:tc>
        <w:tc>
          <w:tcPr>
            <w:tcW w:type="dxa" w:w="6941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a non-certified external model or gateway; you configure the endpoint, credential and a transformer script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sz w:val="21"/>
        </w:rPr>
        <w:t>And then the constraint that decides this:</w:t>
      </w:r>
    </w:p>
    <w:p>
      <w:pPr>
        <w:spacing w:before="140" w:after="40"/>
        <w:ind w:left="255"/>
        <w:shd w:val="clear" w:color="auto" w:fill="FFF8E6"/>
        <w:pBdr>
          <w:left w:val="single" w:sz="22" w:space="6" w:color="D9A21B"/>
        </w:pBdr>
      </w:pPr>
      <w:r>
        <w:rPr>
          <w:rFonts w:ascii="Calibri" w:hAnsi="Calibri"/>
          <w:b/>
          <w:i w:val="0"/>
          <w:sz w:val="21"/>
        </w:rPr>
        <w:t>"BYOK for Spokes and BYOLLM options are not currently supported for both OOTB and custom AI Agents."</w:t>
      </w:r>
    </w:p>
    <w:p>
      <w:r>
        <w:rPr>
          <w:rFonts w:ascii="Calibri" w:hAnsi="Calibri"/>
          <w:b w:val="0"/>
          <w:i w:val="0"/>
          <w:sz w:val="21"/>
        </w:rPr>
        <w:t xml:space="preserve">Both out-of-the-box and custom AI Agents support </w:t>
      </w:r>
      <w:r>
        <w:rPr>
          <w:rFonts w:ascii="Calibri" w:hAnsi="Calibri"/>
          <w:b/>
          <w:i w:val="0"/>
          <w:sz w:val="21"/>
        </w:rPr>
        <w:t>only</w:t>
      </w:r>
      <w:r>
        <w:rPr>
          <w:rFonts w:ascii="Calibri" w:hAnsi="Calibri"/>
          <w:b w:val="0"/>
          <w:i w:val="0"/>
          <w:sz w:val="21"/>
        </w:rPr>
        <w:t xml:space="preserve"> Managed Connection and </w:t>
      </w:r>
      <w:r>
        <w:rPr>
          <w:rFonts w:ascii="Calibri" w:hAnsi="Calibri"/>
          <w:b/>
          <w:i w:val="0"/>
          <w:sz w:val="21"/>
        </w:rPr>
        <w:t>BYOK for ServiceNow-integrated models</w:t>
      </w:r>
      <w:r>
        <w:rPr>
          <w:rFonts w:ascii="Calibri" w:hAnsi="Calibri"/>
          <w:b w:val="0"/>
          <w:i w:val="0"/>
          <w:sz w:val="21"/>
        </w:rPr>
        <w:t>.</w:t>
      </w:r>
    </w:p>
    <w:p>
      <w:r>
        <w:rPr>
          <w:rFonts w:ascii="Calibri" w:hAnsi="Calibri"/>
          <w:b/>
          <w:i w:val="0"/>
          <w:sz w:val="21"/>
        </w:rPr>
        <w:t>The enterprise gateway used by this application is a BYOLLM-class connection.</w:t>
      </w:r>
      <w:r>
        <w:rPr>
          <w:rFonts w:ascii="Calibri" w:hAnsi="Calibri"/>
          <w:b w:val="0"/>
          <w:i w:val="0"/>
          <w:sz w:val="21"/>
        </w:rPr>
        <w:t xml:space="preserve"> It is an external endpoint, reached over a MID server, with its own credential and a compliance registration ID stamped into each request. It is not one of ServiceNow's integrated providers.</w:t>
      </w:r>
    </w:p>
    <w:p>
      <w:r>
        <w:rPr>
          <w:rFonts w:ascii="Calibri" w:hAnsi="Calibri"/>
          <w:b/>
          <w:i w:val="0"/>
          <w:sz w:val="21"/>
        </w:rPr>
        <w:t>Therefore it cannot power an AI Agent.</w:t>
      </w:r>
      <w:r>
        <w:rPr>
          <w:rFonts w:ascii="Calibri" w:hAnsi="Calibri"/>
          <w:b w:val="0"/>
          <w:i w:val="0"/>
          <w:sz w:val="21"/>
        </w:rPr>
        <w:t xml:space="preserve"> Not the agents, not the orchestrator. This is not a workaround problem; it is a documented unsupported combination.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3.4 What this actually means for Nomura</w:t>
      </w:r>
    </w:p>
    <w:p>
      <w:r>
        <w:rPr>
          <w:rFonts w:ascii="Calibri" w:hAnsi="Calibri"/>
          <w:b w:val="0"/>
          <w:i w:val="0"/>
          <w:sz w:val="21"/>
        </w:rPr>
        <w:t>The important nuance — and the reason this is a governance question rather than a technical one:</w:t>
      </w:r>
    </w:p>
    <w:p>
      <w:r>
        <w:rPr>
          <w:rFonts w:ascii="Calibri" w:hAnsi="Calibri"/>
          <w:b/>
          <w:i w:val="0"/>
          <w:sz w:val="21"/>
        </w:rPr>
        <w:t>BYOLLM works perfectly well at the skill layer.</w:t>
      </w:r>
      <w:r>
        <w:rPr>
          <w:rFonts w:ascii="Calibri" w:hAnsi="Calibri"/>
          <w:b w:val="0"/>
          <w:i w:val="0"/>
          <w:sz w:val="21"/>
        </w:rPr>
        <w:t xml:space="preserve"> The application ran its whole extraction pipeline through the gateway registered as a custom Now Assist model. That is a supported pattern and it functioned.</w:t>
      </w:r>
    </w:p>
    <w:p>
      <w:r>
        <w:rPr>
          <w:rFonts w:ascii="Calibri" w:hAnsi="Calibri"/>
          <w:b/>
          <w:i w:val="0"/>
          <w:sz w:val="21"/>
        </w:rPr>
        <w:t>BYOLLM does not work at the agent layer.</w:t>
      </w:r>
      <w:r>
        <w:rPr>
          <w:rFonts w:ascii="Calibri" w:hAnsi="Calibri"/>
          <w:b w:val="0"/>
          <w:i w:val="0"/>
          <w:sz w:val="21"/>
        </w:rPr>
        <w:t xml:space="preserve"> So the moment the architecture moves from "skills that extract" to "agents that decide", the model powering that layer must change.</w:t>
      </w:r>
    </w:p>
    <w:p>
      <w:r>
        <w:rPr>
          <w:rFonts w:ascii="Calibri" w:hAnsi="Calibri"/>
          <w:b w:val="0"/>
          <w:i w:val="0"/>
          <w:sz w:val="21"/>
        </w:rPr>
        <w:t>Three options follow, and they are genuinely different commitments: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696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</w:t>
            </w:r>
          </w:p>
        </w:tc>
        <w:tc>
          <w:tcPr>
            <w:tcW w:type="dxa" w:w="4141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means</w:t>
            </w:r>
          </w:p>
        </w:tc>
        <w:tc>
          <w:tcPr>
            <w:tcW w:type="dxa" w:w="4141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Cost</w:t>
            </w:r>
          </w:p>
        </w:tc>
      </w:tr>
      <w:tr>
        <w:trPr>
          <w:cantSplit/>
        </w:trPr>
        <w:tc>
          <w:tcPr>
            <w:tcW w:type="dxa" w:w="169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A. No agents</w:t>
            </w:r>
          </w:p>
        </w:tc>
        <w:tc>
          <w:tcPr>
            <w:tcW w:type="dxa" w:w="4141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keep the deterministic pipeline; all model traffic stays on the mandated gateway</w:t>
            </w:r>
          </w:p>
        </w:tc>
        <w:tc>
          <w:tcPr>
            <w:tcW w:type="dxa" w:w="4141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forgoes the agentic capability entirely</w:t>
            </w:r>
          </w:p>
        </w:tc>
      </w:tr>
      <w:tr>
        <w:trPr>
          <w:cantSplit/>
        </w:trPr>
        <w:tc>
          <w:tcPr>
            <w:tcW w:type="dxa" w:w="169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B. Agents on an integrated model</w:t>
            </w:r>
          </w:p>
        </w:tc>
        <w:tc>
          <w:tcPr>
            <w:tcW w:type="dxa" w:w="4141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the agent layer runs on Azure OpenAI, Gemini or AWS Claude via Managed Connection or BYOK; the gateway continues to serve extraction</w:t>
            </w:r>
          </w:p>
        </w:tc>
        <w:tc>
          <w:tcPr>
            <w:tcW w:type="dxa" w:w="4141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agent-layer traffic leaves the mandated gateway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an AI governance decision, plus Prime licensing</w:t>
            </w:r>
          </w:p>
        </w:tc>
      </w:tr>
      <w:tr>
        <w:trPr>
          <w:cantSplit/>
        </w:trPr>
        <w:tc>
          <w:tcPr>
            <w:tcW w:type="dxa" w:w="169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C. Agents on the gateway</w:t>
            </w:r>
          </w:p>
        </w:tc>
        <w:tc>
          <w:tcPr>
            <w:tcW w:type="dxa" w:w="4141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not available.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Documented as unsupported</w:t>
            </w:r>
          </w:p>
        </w:tc>
        <w:tc>
          <w:tcPr>
            <w:tcW w:type="dxa" w:w="4141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sz w:val="21"/>
        </w:rPr>
        <w:t xml:space="preserve">Option B is workable and is what we would recommend if agents are wanted — but it must be put to Nomura's AI governance function as an explicit question: </w:t>
      </w:r>
      <w:r>
        <w:rPr>
          <w:rFonts w:ascii="Calibri" w:hAnsi="Calibri"/>
          <w:b w:val="0"/>
          <w:i/>
          <w:sz w:val="21"/>
        </w:rPr>
        <w:t>is model traffic for an agent orchestration layer permitted outside the mandated gateway, and under what registration?</w:t>
      </w:r>
    </w:p>
    <w:p>
      <w:r>
        <w:rPr>
          <w:rFonts w:ascii="Calibri" w:hAnsi="Calibri"/>
          <w:b w:val="0"/>
          <w:i w:val="0"/>
          <w:sz w:val="21"/>
        </w:rPr>
        <w:t>Discovering this mid-build would be expensive. It is cheap to ask now.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3.5 The guardrail that should not move, whichever option is taken</w:t>
      </w:r>
    </w:p>
    <w:p>
      <w:pPr>
        <w:spacing w:before="140" w:after="40"/>
        <w:ind w:left="255"/>
        <w:shd w:val="clear" w:color="auto" w:fill="FFF8E6"/>
        <w:pBdr>
          <w:left w:val="single" w:sz="22" w:space="6" w:color="D9A21B"/>
        </w:pBdr>
      </w:pPr>
      <w:r>
        <w:rPr>
          <w:rFonts w:ascii="Calibri" w:hAnsi="Calibri"/>
          <w:b/>
          <w:i w:val="0"/>
          <w:sz w:val="21"/>
        </w:rPr>
        <w:t>The money path stays deterministic.</w:t>
      </w:r>
      <w:r>
        <w:rPr>
          <w:rFonts w:ascii="Calibri" w:hAnsi="Calibri"/>
          <w:b w:val="0"/>
          <w:i w:val="0"/>
          <w:sz w:val="21"/>
        </w:rPr>
        <w:t xml:space="preserve"> Comparison tiers, tolerances, the amount-sign convention and the netting key are deterministic, auditable code, and they must remain so. An agent may decide </w:t>
      </w:r>
      <w:r>
        <w:rPr>
          <w:rFonts w:ascii="Calibri" w:hAnsi="Calibri"/>
          <w:b w:val="0"/>
          <w:i/>
          <w:sz w:val="21"/>
        </w:rPr>
        <w:t>what to do next</w:t>
      </w:r>
      <w:r>
        <w:rPr>
          <w:rFonts w:ascii="Calibri" w:hAnsi="Calibri"/>
          <w:b w:val="0"/>
          <w:i w:val="0"/>
          <w:sz w:val="21"/>
        </w:rPr>
        <w:t xml:space="preserve"> — which source to read, whether to chase, when to escalate — but it must not decide </w:t>
      </w:r>
      <w:r>
        <w:rPr>
          <w:rFonts w:ascii="Calibri" w:hAnsi="Calibri"/>
          <w:b w:val="0"/>
          <w:i/>
          <w:sz w:val="21"/>
        </w:rPr>
        <w:t>whether two cashflows match.</w:t>
      </w:r>
    </w:p>
    <w:p>
      <w:r>
        <w:rPr>
          <w:rFonts w:ascii="Calibri" w:hAnsi="Calibri"/>
          <w:b w:val="0"/>
          <w:i w:val="0"/>
          <w:sz w:val="21"/>
        </w:rPr>
        <w:t>This is not caution for its own sake. Internal Audit's stated requirement is to reconstruct any cashflow end to end, months later, from a stored trail. A deterministic comparison can be reconstructed. A model's judgement can only be re-sampled, which is not the same thing and will not satisfy an auditor.</w:t>
      </w:r>
    </w:p>
    <w:p>
      <w:pPr>
        <w:spacing w:before="80" w:after="200"/>
        <w:pBdr>
          <w:bottom w:val="single" w:sz="6" w:space="6" w:color="C8CDD6"/>
        </w:pBdr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F3864"/>
          <w:sz w:val="29"/>
        </w:rPr>
        <w:t>4. Comparison by dimension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4.1 Scalability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819"/>
            <w:shd w:val="clear" w:color="auto" w:fill="1F3864"/>
          </w:tcPr>
          <w:p>
            <w:pPr>
              <w:spacing w:before="60" w:after="60"/>
            </w:pPr>
          </w:p>
        </w:tc>
        <w:tc>
          <w:tcPr>
            <w:tcW w:type="dxa" w:w="4322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Now Assist</w:t>
            </w:r>
          </w:p>
        </w:tc>
        <w:tc>
          <w:tcPr>
            <w:tcW w:type="dxa" w:w="3837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Direct</w:t>
            </w:r>
          </w:p>
        </w:tc>
      </w:tr>
      <w:tr>
        <w:trPr>
          <w:cantSplit/>
        </w:trPr>
        <w:tc>
          <w:tcPr>
            <w:tcW w:type="dxa" w:w="181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Throughput ceiling</w:t>
            </w:r>
          </w:p>
        </w:tc>
        <w:tc>
          <w:tcPr>
            <w:tcW w:type="dxa" w:w="432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the model gateway, same for both</w:t>
            </w:r>
          </w:p>
        </w:tc>
        <w:tc>
          <w:tcPr>
            <w:tcW w:type="dxa" w:w="3837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the model gateway</w:t>
            </w:r>
          </w:p>
        </w:tc>
      </w:tr>
      <w:tr>
        <w:trPr>
          <w:cantSplit/>
        </w:trPr>
        <w:tc>
          <w:tcPr>
            <w:tcW w:type="dxa" w:w="181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Per-environment tuning</w:t>
            </w:r>
          </w:p>
        </w:tc>
        <w:tc>
          <w:tcPr>
            <w:tcW w:type="dxa" w:w="432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poor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shared model configuration across scopes</w:t>
            </w:r>
          </w:p>
        </w:tc>
        <w:tc>
          <w:tcPr>
            <w:tcW w:type="dxa" w:w="3837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good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each application carries its own configuration</w:t>
            </w:r>
          </w:p>
        </w:tc>
      </w:tr>
      <w:tr>
        <w:trPr>
          <w:cantSplit/>
        </w:trPr>
        <w:tc>
          <w:tcPr>
            <w:tcW w:type="dxa" w:w="181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Batch and fan-out</w:t>
            </w:r>
          </w:p>
        </w:tc>
        <w:tc>
          <w:tcPr>
            <w:tcW w:type="dxa" w:w="432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platform-managed, less visible</w:t>
            </w:r>
          </w:p>
        </w:tc>
        <w:tc>
          <w:tcPr>
            <w:tcW w:type="dxa" w:w="3837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we control concurrency, chunking and the retry</w:t>
            </w:r>
          </w:p>
        </w:tc>
      </w:tr>
      <w:tr>
        <w:trPr>
          <w:cantSplit/>
        </w:trPr>
        <w:tc>
          <w:tcPr>
            <w:tcW w:type="dxa" w:w="181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Cost scaling</w:t>
            </w:r>
          </w:p>
        </w:tc>
        <w:tc>
          <w:tcPr>
            <w:tcW w:type="dxa" w:w="432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per-assist consumption, including sub-production testing</w:t>
            </w:r>
          </w:p>
        </w:tc>
        <w:tc>
          <w:tcPr>
            <w:tcW w:type="dxa" w:w="3837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per-call against the gateway's own metered cost</w:t>
            </w:r>
          </w:p>
        </w:tc>
      </w:tr>
      <w:tr>
        <w:trPr>
          <w:cantSplit/>
        </w:trPr>
        <w:tc>
          <w:tcPr>
            <w:tcW w:type="dxa" w:w="181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Added layers under load</w:t>
            </w:r>
          </w:p>
        </w:tc>
        <w:tc>
          <w:tcPr>
            <w:tcW w:type="dxa" w:w="432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five components can queue or time out</w:t>
            </w:r>
          </w:p>
        </w:tc>
        <w:tc>
          <w:tcPr>
            <w:tcW w:type="dxa" w:w="3837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two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sz w:val="21"/>
        </w:rPr>
        <w:t xml:space="preserve">The decisive point is not raw throughput — both routes end at the same gateway. It is that </w:t>
      </w:r>
      <w:r>
        <w:rPr>
          <w:rFonts w:ascii="Calibri" w:hAnsi="Calibri"/>
          <w:b/>
          <w:i w:val="0"/>
          <w:sz w:val="21"/>
        </w:rPr>
        <w:t>the platform's assist consumption model charges for testing in sub-production</w:t>
      </w:r>
      <w:r>
        <w:rPr>
          <w:rFonts w:ascii="Calibri" w:hAnsi="Calibri"/>
          <w:b w:val="0"/>
          <w:i w:val="0"/>
          <w:sz w:val="21"/>
        </w:rPr>
        <w:t>, which makes an experimentation-heavy build (which this has been) materially more expensive, and it meters by action rather than by token.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4.2 Usability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174"/>
            <w:shd w:val="clear" w:color="auto" w:fill="1F3864"/>
          </w:tcPr>
          <w:p>
            <w:pPr>
              <w:spacing w:before="60" w:after="60"/>
            </w:pPr>
          </w:p>
        </w:tc>
        <w:tc>
          <w:tcPr>
            <w:tcW w:type="dxa" w:w="3829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Now Assist</w:t>
            </w:r>
          </w:p>
        </w:tc>
        <w:tc>
          <w:tcPr>
            <w:tcW w:type="dxa" w:w="3975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Direct</w:t>
            </w:r>
          </w:p>
        </w:tc>
      </w:tr>
      <w:tr>
        <w:trPr>
          <w:cantSplit/>
        </w:trPr>
        <w:tc>
          <w:tcPr>
            <w:tcW w:type="dxa" w:w="217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Authoring surface</w:t>
            </w:r>
          </w:p>
        </w:tc>
        <w:tc>
          <w:tcPr>
            <w:tcW w:type="dxa" w:w="382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Skill Kit, graphical, accessible to non-developers</w:t>
            </w:r>
          </w:p>
        </w:tc>
        <w:tc>
          <w:tcPr>
            <w:tcW w:type="dxa" w:w="3975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code plus the work-driver record</w:t>
            </w:r>
          </w:p>
        </w:tc>
      </w:tr>
      <w:tr>
        <w:trPr>
          <w:cantSplit/>
        </w:trPr>
        <w:tc>
          <w:tcPr>
            <w:tcW w:type="dxa" w:w="217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Changing a prompt</w:t>
            </w:r>
          </w:p>
        </w:tc>
        <w:tc>
          <w:tcPr>
            <w:tcW w:type="dxa" w:w="382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edit a skill definition — </w:t>
            </w:r>
            <w:r>
              <w:rPr>
                <w:rFonts w:ascii="Calibri" w:hAnsi="Calibri"/>
                <w:b/>
                <w:i w:val="0"/>
                <w:sz w:val="18"/>
              </w:rPr>
              <w:t>and its five or six duplicates</w:t>
            </w:r>
          </w:p>
        </w:tc>
        <w:tc>
          <w:tcPr>
            <w:tcW w:type="dxa" w:w="3975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edit the work driver; a manager can do it in the portal</w:t>
            </w:r>
          </w:p>
        </w:tc>
      </w:tr>
      <w:tr>
        <w:trPr>
          <w:cantSplit/>
        </w:trPr>
        <w:tc>
          <w:tcPr>
            <w:tcW w:type="dxa" w:w="217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Who can change behaviour</w:t>
            </w:r>
          </w:p>
        </w:tc>
        <w:tc>
          <w:tcPr>
            <w:tcW w:type="dxa" w:w="382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a platform developer</w:t>
            </w:r>
          </w:p>
        </w:tc>
        <w:tc>
          <w:tcPr>
            <w:tcW w:type="dxa" w:w="3975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a settlements manager</w:t>
            </w:r>
            <w:r>
              <w:rPr>
                <w:rFonts w:ascii="Calibri" w:hAnsi="Calibri"/>
                <w:b w:val="0"/>
                <w:i w:val="0"/>
                <w:sz w:val="18"/>
              </w:rPr>
              <w:t>, for prompts and tolerances</w:t>
            </w:r>
          </w:p>
        </w:tc>
      </w:tr>
      <w:tr>
        <w:trPr>
          <w:cantSplit/>
        </w:trPr>
        <w:tc>
          <w:tcPr>
            <w:tcW w:type="dxa" w:w="217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Discoverability for a new joiner</w:t>
            </w:r>
          </w:p>
        </w:tc>
        <w:tc>
          <w:tcPr>
            <w:tcW w:type="dxa" w:w="382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good — it is a catalogue</w:t>
            </w:r>
          </w:p>
        </w:tc>
        <w:tc>
          <w:tcPr>
            <w:tcW w:type="dxa" w:w="3975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moderate — it is code plus a handbook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sz w:val="21"/>
        </w:rPr>
        <w:t>This is the dimension where Now Assist looks strongest on paper and performed worst in practice. A graphical authoring surface is worth little when the artefact it produces is duplicated and the deployed copy does not carry the setting (see 5.1).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4.3 Maintainability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865"/>
            <w:shd w:val="clear" w:color="auto" w:fill="1F3864"/>
          </w:tcPr>
          <w:p>
            <w:pPr>
              <w:spacing w:before="60" w:after="60"/>
            </w:pPr>
          </w:p>
        </w:tc>
        <w:tc>
          <w:tcPr>
            <w:tcW w:type="dxa" w:w="3587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Now Assist</w:t>
            </w:r>
          </w:p>
        </w:tc>
        <w:tc>
          <w:tcPr>
            <w:tcW w:type="dxa" w:w="3526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Direct</w:t>
            </w:r>
          </w:p>
        </w:tc>
      </w:tr>
      <w:tr>
        <w:trPr>
          <w:cantSplit/>
        </w:trPr>
        <w:tc>
          <w:tcPr>
            <w:tcW w:type="dxa" w:w="2865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Single source of truth for a prompt</w:t>
            </w:r>
          </w:p>
        </w:tc>
        <w:tc>
          <w:tcPr>
            <w:tcW w:type="dxa" w:w="3587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no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duplicated definitions</w:t>
            </w:r>
          </w:p>
        </w:tc>
        <w:tc>
          <w:tcPr>
            <w:tcW w:type="dxa" w:w="352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2865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Configuration drift risk</w:t>
            </w:r>
          </w:p>
        </w:tc>
        <w:tc>
          <w:tcPr>
            <w:tcW w:type="dxa" w:w="3587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352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2865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Blast radius of a change</w:t>
            </w:r>
          </w:p>
        </w:tc>
        <w:tc>
          <w:tcPr>
            <w:tcW w:type="dxa" w:w="3587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shared configuration spans every scope</w:t>
            </w:r>
          </w:p>
        </w:tc>
        <w:tc>
          <w:tcPr>
            <w:tcW w:type="dxa" w:w="352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the shared client spans every scope; prompts do not</w:t>
            </w:r>
          </w:p>
        </w:tc>
      </w:tr>
      <w:tr>
        <w:trPr>
          <w:cantSplit/>
        </w:trPr>
        <w:tc>
          <w:tcPr>
            <w:tcW w:type="dxa" w:w="2865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Debuggability</w:t>
            </w:r>
          </w:p>
        </w:tc>
        <w:tc>
          <w:tcPr>
            <w:tcW w:type="dxa" w:w="3587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five layers can produce the same timeout</w:t>
            </w:r>
          </w:p>
        </w:tc>
        <w:tc>
          <w:tcPr>
            <w:tcW w:type="dxa" w:w="352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two</w:t>
            </w:r>
          </w:p>
        </w:tc>
      </w:tr>
      <w:tr>
        <w:trPr>
          <w:cantSplit/>
        </w:trPr>
        <w:tc>
          <w:tcPr>
            <w:tcW w:type="dxa" w:w="2865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Upgrade exposure</w:t>
            </w:r>
          </w:p>
        </w:tc>
        <w:tc>
          <w:tcPr>
            <w:tcW w:type="dxa" w:w="3587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tied to platform plugin and patch levels</w:t>
            </w:r>
          </w:p>
        </w:tc>
        <w:tc>
          <w:tcPr>
            <w:tcW w:type="dxa" w:w="352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tied only to the gateway contract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sz w:val="21"/>
        </w:rPr>
        <w:t xml:space="preserve">Direct wins this clearly, with one honest caveat: having removed a shared </w:t>
      </w:r>
      <w:r>
        <w:rPr>
          <w:rFonts w:ascii="Calibri" w:hAnsi="Calibri"/>
          <w:b w:val="0"/>
          <w:i/>
          <w:sz w:val="21"/>
        </w:rPr>
        <w:t>skill configuration</w:t>
      </w:r>
      <w:r>
        <w:rPr>
          <w:rFonts w:ascii="Calibri" w:hAnsi="Calibri"/>
          <w:b w:val="0"/>
          <w:i w:val="0"/>
          <w:sz w:val="21"/>
        </w:rPr>
        <w:t xml:space="preserve">, the build now has a shared </w:t>
      </w:r>
      <w:r>
        <w:rPr>
          <w:rFonts w:ascii="Calibri" w:hAnsi="Calibri"/>
          <w:b w:val="0"/>
          <w:i/>
          <w:sz w:val="21"/>
        </w:rPr>
        <w:t>client</w:t>
      </w:r>
      <w:r>
        <w:rPr>
          <w:rFonts w:ascii="Calibri" w:hAnsi="Calibri"/>
          <w:b w:val="0"/>
          <w:i w:val="0"/>
          <w:sz w:val="21"/>
        </w:rPr>
        <w:t>. That is a smaller and far more legible surface — one script rather than sixteen definition records — but it is still shared, and an edit to it affects every application on the instance.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4.4 Governance and auditability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804"/>
            <w:shd w:val="clear" w:color="auto" w:fill="1F3864"/>
          </w:tcPr>
          <w:p>
            <w:pPr>
              <w:spacing w:before="60" w:after="60"/>
            </w:pPr>
          </w:p>
        </w:tc>
        <w:tc>
          <w:tcPr>
            <w:tcW w:type="dxa" w:w="2964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Now Assist</w:t>
            </w:r>
          </w:p>
        </w:tc>
        <w:tc>
          <w:tcPr>
            <w:tcW w:type="dxa" w:w="5209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Direct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Model governance surfaces</w:t>
            </w:r>
          </w:p>
        </w:tc>
        <w:tc>
          <w:tcPr>
            <w:tcW w:type="dxa" w:w="296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native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catalogue, admin console, usage reporting</w:t>
            </w:r>
          </w:p>
        </w:tc>
        <w:tc>
          <w:tcPr>
            <w:tcW w:type="dxa" w:w="520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built by us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Per-item audit trail</w:t>
            </w:r>
          </w:p>
        </w:tc>
        <w:tc>
          <w:tcPr>
            <w:tcW w:type="dxa" w:w="296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not to this granularity</w:t>
            </w:r>
          </w:p>
        </w:tc>
        <w:tc>
          <w:tcPr>
            <w:tcW w:type="dxa" w:w="520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11 event types, ~1,700 events</w:t>
            </w:r>
            <w:r>
              <w:rPr>
                <w:rFonts w:ascii="Calibri" w:hAnsi="Calibri"/>
                <w:b w:val="0"/>
                <w:i w:val="0"/>
                <w:sz w:val="18"/>
              </w:rPr>
              <w:t>, with actor, AI value against analyst value, model version, prompt reference and hash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Per-field confidence</w:t>
            </w:r>
          </w:p>
        </w:tc>
        <w:tc>
          <w:tcPr>
            <w:tcW w:type="dxa" w:w="296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not native</w:t>
            </w:r>
          </w:p>
        </w:tc>
        <w:tc>
          <w:tcPr>
            <w:tcW w:type="dxa" w:w="520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built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Cost and latency</w:t>
            </w:r>
          </w:p>
        </w:tc>
        <w:tc>
          <w:tcPr>
            <w:tcW w:type="dxa" w:w="296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platform reporting</w:t>
            </w:r>
          </w:p>
        </w:tc>
        <w:tc>
          <w:tcPr>
            <w:tcW w:type="dxa" w:w="520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the gateway's </w:t>
            </w:r>
            <w:r>
              <w:rPr>
                <w:rFonts w:ascii="Calibri" w:hAnsi="Calibri"/>
                <w:b/>
                <w:i w:val="0"/>
                <w:sz w:val="18"/>
              </w:rPr>
              <w:t>own returned metrics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actuals, not estimates</w:t>
            </w:r>
          </w:p>
        </w:tc>
      </w:tr>
      <w:tr>
        <w:trPr>
          <w:cantSplit/>
        </w:trPr>
        <w:tc>
          <w:tcPr>
            <w:tcW w:type="dxa" w:w="180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Compliance registration</w:t>
            </w:r>
          </w:p>
        </w:tc>
        <w:tc>
          <w:tcPr>
            <w:tcW w:type="dxa" w:w="296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platform-handled</w:t>
            </w:r>
          </w:p>
        </w:tc>
        <w:tc>
          <w:tcPr>
            <w:tcW w:type="dxa" w:w="520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stamped by the client on every call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sz w:val="21"/>
        </w:rPr>
        <w:t xml:space="preserve">This is the row where the direct route carries a real, permanent cost: everything in the governance column was </w:t>
      </w:r>
      <w:r>
        <w:rPr>
          <w:rFonts w:ascii="Calibri" w:hAnsi="Calibri"/>
          <w:b/>
          <w:i w:val="0"/>
          <w:sz w:val="21"/>
        </w:rPr>
        <w:t>built rather than inherited</w:t>
      </w:r>
      <w:r>
        <w:rPr>
          <w:rFonts w:ascii="Calibri" w:hAnsi="Calibri"/>
          <w:b w:val="0"/>
          <w:i w:val="0"/>
          <w:sz w:val="21"/>
        </w:rPr>
        <w:t>, and a future team maintaining this application inherits an event store, a usage page and a confidence model that the platform would otherwise have supplied.</w:t>
      </w:r>
    </w:p>
    <w:p>
      <w:r>
        <w:rPr>
          <w:rFonts w:ascii="Calibri" w:hAnsi="Calibri"/>
          <w:b w:val="0"/>
          <w:i w:val="0"/>
          <w:sz w:val="21"/>
        </w:rPr>
        <w:t>That said, what was built is more granular than the platform's own reporting for this use case, because it is per-cashflow rather than per-skill-invocation — which is what Internal Audit actually asked for.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4.5 Reliability and failure modes</w:t>
      </w:r>
    </w:p>
    <w:p>
      <w:r>
        <w:rPr>
          <w:rFonts w:ascii="Calibri" w:hAnsi="Calibri"/>
          <w:b w:val="0"/>
          <w:i w:val="0"/>
          <w:sz w:val="21"/>
        </w:rPr>
        <w:t xml:space="preserve">Both routes end at the same gateway, so gateway outages affect both equally. What differs is </w:t>
      </w:r>
      <w:r>
        <w:rPr>
          <w:rFonts w:ascii="Calibri" w:hAnsi="Calibri"/>
          <w:b/>
          <w:i w:val="0"/>
          <w:sz w:val="21"/>
        </w:rPr>
        <w:t>how a failure presents</w:t>
      </w:r>
      <w:r>
        <w:rPr>
          <w:rFonts w:ascii="Calibri" w:hAnsi="Calibri"/>
          <w:b w:val="0"/>
          <w:i w:val="0"/>
          <w:sz w:val="21"/>
        </w:rPr>
        <w:t>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94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Failure</w:t>
            </w:r>
          </w:p>
        </w:tc>
        <w:tc>
          <w:tcPr>
            <w:tcW w:type="dxa" w:w="3472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Now Assist</w:t>
            </w:r>
          </w:p>
        </w:tc>
        <w:tc>
          <w:tcPr>
            <w:tcW w:type="dxa" w:w="4713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Direct</w:t>
            </w:r>
          </w:p>
        </w:tc>
      </w:tr>
      <w:tr>
        <w:trPr>
          <w:cantSplit/>
        </w:trPr>
        <w:tc>
          <w:tcPr>
            <w:tcW w:type="dxa" w:w="179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Attribution</w:t>
            </w:r>
          </w:p>
        </w:tc>
        <w:tc>
          <w:tcPr>
            <w:tcW w:type="dxa" w:w="34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five candidate layers</w:t>
            </w:r>
          </w:p>
        </w:tc>
        <w:tc>
          <w:tcPr>
            <w:tcW w:type="dxa" w:w="4713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two</w:t>
            </w:r>
          </w:p>
        </w:tc>
      </w:tr>
      <w:tr>
        <w:trPr>
          <w:cantSplit/>
        </w:trPr>
        <w:tc>
          <w:tcPr>
            <w:tcW w:type="dxa" w:w="179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Silent failure</w:t>
            </w:r>
          </w:p>
        </w:tc>
        <w:tc>
          <w:tcPr>
            <w:tcW w:type="dxa" w:w="34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possible at several layers</w:t>
            </w:r>
          </w:p>
        </w:tc>
        <w:tc>
          <w:tcPr>
            <w:tcW w:type="dxa" w:w="4713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one well-understood mode, documented below</w:t>
            </w:r>
          </w:p>
        </w:tc>
      </w:tr>
      <w:tr>
        <w:trPr>
          <w:cantSplit/>
        </w:trPr>
        <w:tc>
          <w:tcPr>
            <w:tcW w:type="dxa" w:w="179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Recovery</w:t>
            </w:r>
          </w:p>
        </w:tc>
        <w:tc>
          <w:tcPr>
            <w:tcW w:type="dxa" w:w="347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platform retry semantics</w:t>
            </w:r>
          </w:p>
        </w:tc>
        <w:tc>
          <w:tcPr>
            <w:tcW w:type="dxa" w:w="4713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our retry, our deterministic fallback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sz w:val="21"/>
        </w:rPr>
        <w:t>The direct route's characteristic failure is important enough to state plainly, because it has misled this project more than once:</w:t>
      </w:r>
    </w:p>
    <w:p>
      <w:pPr>
        <w:spacing w:before="140" w:after="40"/>
        <w:ind w:left="255"/>
        <w:shd w:val="clear" w:color="auto" w:fill="FFF8E6"/>
        <w:pBdr>
          <w:left w:val="single" w:sz="22" w:space="6" w:color="D9A21B"/>
        </w:pBdr>
      </w:pPr>
      <w:r>
        <w:rPr>
          <w:rFonts w:ascii="Calibri" w:hAnsi="Calibri"/>
          <w:b/>
          <w:i w:val="0"/>
          <w:sz w:val="21"/>
        </w:rPr>
        <w:t>The gateway answers HTTP 200 and puts failures in the response body.</w:t>
      </w:r>
      <w:r>
        <w:rPr>
          <w:rFonts w:ascii="Calibri" w:hAnsi="Calibri"/>
          <w:b w:val="0"/>
          <w:i w:val="0"/>
          <w:sz w:val="21"/>
        </w:rPr>
        <w:t xml:space="preserve"> A refusal, a model error or a compliance rejection all arrive as a successful HTTP response whose body contains an error. The calling code records this as an empty answer — which is </w:t>
      </w:r>
      <w:r>
        <w:rPr>
          <w:rFonts w:ascii="Calibri" w:hAnsi="Calibri"/>
          <w:b/>
          <w:i w:val="0"/>
          <w:sz w:val="21"/>
        </w:rPr>
        <w:t>indistinguishable from "the model found nothing"</w:t>
      </w:r>
      <w:r>
        <w:rPr>
          <w:rFonts w:ascii="Calibri" w:hAnsi="Calibri"/>
          <w:b w:val="0"/>
          <w:i w:val="0"/>
          <w:sz w:val="21"/>
        </w:rPr>
        <w:t>.</w:t>
      </w:r>
    </w:p>
    <w:p>
      <w:r>
        <w:rPr>
          <w:rFonts w:ascii="Calibri" w:hAnsi="Calibri"/>
          <w:b w:val="0"/>
          <w:i w:val="0"/>
          <w:sz w:val="21"/>
        </w:rPr>
        <w:t>This is not a defect of the direct route specifically; it is a property of the gateway. But owning the client means owning the detection, and that detection had to be built after the failure mode bit us (see 5.4).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4.6 Cost and licensing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119"/>
            <w:shd w:val="clear" w:color="auto" w:fill="1F3864"/>
          </w:tcPr>
          <w:p>
            <w:pPr>
              <w:spacing w:before="60" w:after="60"/>
            </w:pPr>
          </w:p>
        </w:tc>
        <w:tc>
          <w:tcPr>
            <w:tcW w:type="dxa" w:w="4300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Now Assist</w:t>
            </w:r>
          </w:p>
        </w:tc>
        <w:tc>
          <w:tcPr>
            <w:tcW w:type="dxa" w:w="3559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Direct</w:t>
            </w:r>
          </w:p>
        </w:tc>
      </w:tr>
      <w:tr>
        <w:trPr>
          <w:cantSplit/>
        </w:trPr>
        <w:tc>
          <w:tcPr>
            <w:tcW w:type="dxa" w:w="211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Platform licence</w:t>
            </w:r>
          </w:p>
        </w:tc>
        <w:tc>
          <w:tcPr>
            <w:tcW w:type="dxa" w:w="430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Pro Plus / Enterprise Plus, or an AI SKU; Prime to author agents</w:t>
            </w:r>
          </w:p>
        </w:tc>
        <w:tc>
          <w:tcPr>
            <w:tcW w:type="dxa" w:w="355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211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Consumption</w:t>
            </w:r>
          </w:p>
        </w:tc>
        <w:tc>
          <w:tcPr>
            <w:tcW w:type="dxa" w:w="430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per assist, per action; </w:t>
            </w:r>
            <w:r>
              <w:rPr>
                <w:rFonts w:ascii="Calibri" w:hAnsi="Calibri"/>
                <w:b/>
                <w:i w:val="0"/>
                <w:sz w:val="18"/>
              </w:rPr>
              <w:t>sub-production testing consumes</w:t>
            </w:r>
          </w:p>
        </w:tc>
        <w:tc>
          <w:tcPr>
            <w:tcW w:type="dxa" w:w="355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per call, metered by the gateway</w:t>
            </w:r>
          </w:p>
        </w:tc>
      </w:tr>
      <w:tr>
        <w:trPr>
          <w:cantSplit/>
        </w:trPr>
        <w:tc>
          <w:tcPr>
            <w:tcW w:type="dxa" w:w="211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Cost visibility</w:t>
            </w:r>
          </w:p>
        </w:tc>
        <w:tc>
          <w:tcPr>
            <w:tcW w:type="dxa" w:w="430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platform reporting</w:t>
            </w:r>
          </w:p>
        </w:tc>
        <w:tc>
          <w:tcPr>
            <w:tcW w:type="dxa" w:w="355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the gateway's own figures, per call, stored per cashflow</w:t>
            </w:r>
          </w:p>
        </w:tc>
      </w:tr>
      <w:tr>
        <w:trPr>
          <w:cantSplit/>
        </w:trPr>
        <w:tc>
          <w:tcPr>
            <w:tcW w:type="dxa" w:w="211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Marginal cost of experimentation</w:t>
            </w:r>
          </w:p>
        </w:tc>
        <w:tc>
          <w:tcPr>
            <w:tcW w:type="dxa" w:w="430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charged</w:t>
            </w:r>
          </w:p>
        </w:tc>
        <w:tc>
          <w:tcPr>
            <w:tcW w:type="dxa" w:w="355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gateway cost only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sz w:val="21"/>
        </w:rPr>
        <w:t>For a proof of concept with heavy iteration, the direct route is materially cheaper, and the difference is largest exactly where this project has spent most of its effort — repeated extraction runs against a fixed corpus.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4.7 Security and compliance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242"/>
            <w:shd w:val="clear" w:color="auto" w:fill="1F3864"/>
          </w:tcPr>
          <w:p>
            <w:pPr>
              <w:spacing w:before="60" w:after="60"/>
            </w:pPr>
          </w:p>
        </w:tc>
        <w:tc>
          <w:tcPr>
            <w:tcW w:type="dxa" w:w="4128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Now Assist</w:t>
            </w:r>
          </w:p>
        </w:tc>
        <w:tc>
          <w:tcPr>
            <w:tcW w:type="dxa" w:w="3608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Direct</w:t>
            </w:r>
          </w:p>
        </w:tc>
      </w:tr>
      <w:tr>
        <w:trPr>
          <w:cantSplit/>
        </w:trPr>
        <w:tc>
          <w:tcPr>
            <w:tcW w:type="dxa" w:w="224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Traffic path</w:t>
            </w:r>
          </w:p>
        </w:tc>
        <w:tc>
          <w:tcPr>
            <w:tcW w:type="dxa" w:w="4128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through the platform's provider layer to the gateway</w:t>
            </w:r>
          </w:p>
        </w:tc>
        <w:tc>
          <w:tcPr>
            <w:tcW w:type="dxa" w:w="3608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straight to the gateway over the MID server</w:t>
            </w:r>
          </w:p>
        </w:tc>
      </w:tr>
      <w:tr>
        <w:trPr>
          <w:cantSplit/>
        </w:trPr>
        <w:tc>
          <w:tcPr>
            <w:tcW w:type="dxa" w:w="224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Credential custody</w:t>
            </w:r>
          </w:p>
        </w:tc>
        <w:tc>
          <w:tcPr>
            <w:tcW w:type="dxa" w:w="4128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provider registration</w:t>
            </w:r>
          </w:p>
        </w:tc>
        <w:tc>
          <w:tcPr>
            <w:tcW w:type="dxa" w:w="3608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credential record on the REST message</w:t>
            </w:r>
          </w:p>
        </w:tc>
      </w:tr>
      <w:tr>
        <w:trPr>
          <w:cantSplit/>
        </w:trPr>
        <w:tc>
          <w:tcPr>
            <w:tcW w:type="dxa" w:w="224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Mandated-gateway adherence</w:t>
            </w:r>
          </w:p>
        </w:tc>
        <w:tc>
          <w:tcPr>
            <w:tcW w:type="dxa" w:w="4128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maintained, at the skill layer</w:t>
            </w:r>
          </w:p>
        </w:tc>
        <w:tc>
          <w:tcPr>
            <w:tcW w:type="dxa" w:w="3608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maintained</w:t>
            </w:r>
          </w:p>
        </w:tc>
      </w:tr>
      <w:tr>
        <w:trPr>
          <w:cantSplit/>
        </w:trPr>
        <w:tc>
          <w:tcPr>
            <w:tcW w:type="dxa" w:w="224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Compliance registration</w:t>
            </w:r>
          </w:p>
        </w:tc>
        <w:tc>
          <w:tcPr>
            <w:tcW w:type="dxa" w:w="4128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platform-layer</w:t>
            </w:r>
          </w:p>
        </w:tc>
        <w:tc>
          <w:tcPr>
            <w:tcW w:type="dxa" w:w="3608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explicit, per call, in the request body</w:t>
            </w:r>
          </w:p>
        </w:tc>
      </w:tr>
      <w:tr>
        <w:trPr>
          <w:cantSplit/>
        </w:trPr>
        <w:tc>
          <w:tcPr>
            <w:tcW w:type="dxa" w:w="2242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Data residency</w:t>
            </w:r>
          </w:p>
        </w:tc>
        <w:tc>
          <w:tcPr>
            <w:tcW w:type="dxa" w:w="4128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unchanged — same gateway</w:t>
            </w:r>
          </w:p>
        </w:tc>
        <w:tc>
          <w:tcPr>
            <w:tcW w:type="dxa" w:w="3608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unchanged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sz w:val="21"/>
        </w:rPr>
        <w:t xml:space="preserve">Both routes keep model traffic inside Nomura's mandated gateway. </w:t>
      </w:r>
      <w:r>
        <w:rPr>
          <w:rFonts w:ascii="Calibri" w:hAnsi="Calibri"/>
          <w:b/>
          <w:i w:val="0"/>
          <w:sz w:val="21"/>
        </w:rPr>
        <w:t>The agentic route does not</w:t>
      </w:r>
      <w:r>
        <w:rPr>
          <w:rFonts w:ascii="Calibri" w:hAnsi="Calibri"/>
          <w:b w:val="0"/>
          <w:i w:val="0"/>
          <w:sz w:val="21"/>
        </w:rPr>
        <w:t xml:space="preserve"> (3.3), which is the single largest compliance consideration in this document.</w:t>
      </w:r>
    </w:p>
    <w:p>
      <w:r>
        <w:rPr>
          <w:rFonts w:ascii="Calibri" w:hAnsi="Calibri"/>
          <w:b w:val="0"/>
          <w:i w:val="0"/>
          <w:sz w:val="21"/>
        </w:rPr>
        <w:t xml:space="preserve">One operational note from 1 October 2026: the compliance registration is a live dependency, not a formality. When the service account's registration authorisation lapsed, </w:t>
      </w:r>
      <w:r>
        <w:rPr>
          <w:rFonts w:ascii="Calibri" w:hAnsi="Calibri"/>
          <w:b/>
          <w:i w:val="0"/>
          <w:sz w:val="21"/>
        </w:rPr>
        <w:t>every model call on the instance failed</w:t>
      </w:r>
      <w:r>
        <w:rPr>
          <w:rFonts w:ascii="Calibri" w:hAnsi="Calibri"/>
          <w:b w:val="0"/>
          <w:i w:val="0"/>
          <w:sz w:val="21"/>
        </w:rPr>
        <w:t xml:space="preserve"> — text and document alike — and the application recorded the refusals as empty extractions. Registration status belongs on an operational checklist, not in a build document.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4.8 Portability and lock-in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4236"/>
            <w:shd w:val="clear" w:color="auto" w:fill="1F3864"/>
          </w:tcPr>
          <w:p>
            <w:pPr>
              <w:spacing w:before="60" w:after="60"/>
            </w:pPr>
          </w:p>
        </w:tc>
        <w:tc>
          <w:tcPr>
            <w:tcW w:type="dxa" w:w="2271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Now Assist</w:t>
            </w:r>
          </w:p>
        </w:tc>
        <w:tc>
          <w:tcPr>
            <w:tcW w:type="dxa" w:w="3471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Direct</w:t>
            </w:r>
          </w:p>
        </w:tc>
      </w:tr>
      <w:tr>
        <w:trPr>
          <w:cantSplit/>
        </w:trPr>
        <w:tc>
          <w:tcPr>
            <w:tcW w:type="dxa" w:w="423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Tied to platform version and plugins</w:t>
            </w:r>
          </w:p>
        </w:tc>
        <w:tc>
          <w:tcPr>
            <w:tcW w:type="dxa" w:w="2271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yes</w:t>
            </w:r>
          </w:p>
        </w:tc>
        <w:tc>
          <w:tcPr>
            <w:tcW w:type="dxa" w:w="3471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423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Tied to licence tier</w:t>
            </w:r>
          </w:p>
        </w:tc>
        <w:tc>
          <w:tcPr>
            <w:tcW w:type="dxa" w:w="2271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yes</w:t>
            </w:r>
          </w:p>
        </w:tc>
        <w:tc>
          <w:tcPr>
            <w:tcW w:type="dxa" w:w="3471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423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Model swap</w:t>
            </w:r>
          </w:p>
        </w:tc>
        <w:tc>
          <w:tcPr>
            <w:tcW w:type="dxa" w:w="2271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platform configuration</w:t>
            </w:r>
          </w:p>
        </w:tc>
        <w:tc>
          <w:tcPr>
            <w:tcW w:type="dxa" w:w="3471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one property</w:t>
            </w:r>
          </w:p>
        </w:tc>
      </w:tr>
      <w:tr>
        <w:trPr>
          <w:cantSplit/>
        </w:trPr>
        <w:tc>
          <w:tcPr>
            <w:tcW w:type="dxa" w:w="4236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Portability to another platform</w:t>
            </w:r>
          </w:p>
        </w:tc>
        <w:tc>
          <w:tcPr>
            <w:tcW w:type="dxa" w:w="2271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low</w:t>
            </w:r>
          </w:p>
        </w:tc>
        <w:tc>
          <w:tcPr>
            <w:tcW w:type="dxa" w:w="3471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moderate — the client is one script</w:t>
            </w:r>
          </w:p>
        </w:tc>
      </w:tr>
    </w:tbl>
    <w:p>
      <w:pPr>
        <w:spacing w:after="40"/>
      </w:pPr>
    </w:p>
    <w:p>
      <w:pPr>
        <w:spacing w:before="80" w:after="200"/>
        <w:pBdr>
          <w:bottom w:val="single" w:sz="6" w:space="6" w:color="C8CDD6"/>
        </w:pBdr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F3864"/>
          <w:sz w:val="29"/>
        </w:rPr>
        <w:t>5. Evidence from this engagement</w:t>
      </w:r>
    </w:p>
    <w:p>
      <w:r>
        <w:rPr>
          <w:rFonts w:ascii="Calibri" w:hAnsi="Calibri"/>
          <w:b w:val="0"/>
          <w:i w:val="0"/>
          <w:sz w:val="21"/>
        </w:rPr>
        <w:t>The comparison above is worth little without the specifics behind it. These are the things actually encountered on this programme.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5.1 Skill configuration is install-once, and duplicated</w:t>
      </w:r>
    </w:p>
    <w:p>
      <w:r>
        <w:rPr>
          <w:rFonts w:ascii="Calibri" w:hAnsi="Calibri"/>
          <w:b w:val="0"/>
          <w:i w:val="0"/>
          <w:sz w:val="21"/>
        </w:rPr>
        <w:t xml:space="preserve">Each Now Assist skill existed as </w:t>
      </w:r>
      <w:r>
        <w:rPr>
          <w:rFonts w:ascii="Calibri" w:hAnsi="Calibri"/>
          <w:b/>
          <w:i w:val="0"/>
          <w:sz w:val="21"/>
        </w:rPr>
        <w:t>five or six separate definition records</w:t>
      </w:r>
      <w:r>
        <w:rPr>
          <w:rFonts w:ascii="Calibri" w:hAnsi="Calibri"/>
          <w:b w:val="0"/>
          <w:i w:val="0"/>
          <w:sz w:val="21"/>
        </w:rPr>
        <w:t>. A configuration change therefore had to be applied to every copy.</w:t>
      </w:r>
    </w:p>
    <w:p>
      <w:r>
        <w:rPr>
          <w:rFonts w:ascii="Calibri" w:hAnsi="Calibri"/>
          <w:b w:val="0"/>
          <w:i w:val="0"/>
          <w:sz w:val="21"/>
        </w:rPr>
        <w:t xml:space="preserve">When a token ceiling had to be raised so that large emails stopped being truncated, </w:t>
      </w:r>
      <w:r>
        <w:rPr>
          <w:rFonts w:ascii="Calibri" w:hAnsi="Calibri"/>
          <w:b/>
          <w:i w:val="0"/>
          <w:sz w:val="21"/>
        </w:rPr>
        <w:t>changing the code changed nothing</w:t>
      </w:r>
      <w:r>
        <w:rPr>
          <w:rFonts w:ascii="Calibri" w:hAnsi="Calibri"/>
          <w:b w:val="0"/>
          <w:i w:val="0"/>
          <w:sz w:val="21"/>
        </w:rPr>
        <w:t xml:space="preserve"> — the live value sat in the duplicated definition records and had to be updated across </w:t>
      </w:r>
      <w:r>
        <w:rPr>
          <w:rFonts w:ascii="Calibri" w:hAnsi="Calibri"/>
          <w:b/>
          <w:i w:val="0"/>
          <w:sz w:val="21"/>
        </w:rPr>
        <w:t>all sixteen of them</w:t>
      </w:r>
      <w:r>
        <w:rPr>
          <w:rFonts w:ascii="Calibri" w:hAnsi="Calibri"/>
          <w:b w:val="0"/>
          <w:i w:val="0"/>
          <w:sz w:val="21"/>
        </w:rPr>
        <w:t xml:space="preserve"> by hand before the fix took effect.</w:t>
      </w:r>
    </w:p>
    <w:p>
      <w:r>
        <w:rPr>
          <w:rFonts w:ascii="Calibri" w:hAnsi="Calibri"/>
          <w:b w:val="0"/>
          <w:i w:val="0"/>
          <w:sz w:val="21"/>
        </w:rPr>
        <w:t>A build where the deployed artefact does not carry its own setting is a build that drifts. This was the single strongest argument for leaving.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5.2 One shared model configuration across four applications</w:t>
      </w:r>
    </w:p>
    <w:p>
      <w:r>
        <w:rPr>
          <w:rFonts w:ascii="Calibri" w:hAnsi="Calibri"/>
          <w:b w:val="0"/>
          <w:i w:val="0"/>
          <w:sz w:val="21"/>
        </w:rPr>
        <w:t xml:space="preserve">The skill layer's model settings were shared instance-wide, which made them a </w:t>
      </w:r>
      <w:r>
        <w:rPr>
          <w:rFonts w:ascii="Calibri" w:hAnsi="Calibri"/>
          <w:b/>
          <w:i w:val="0"/>
          <w:sz w:val="21"/>
        </w:rPr>
        <w:t>single point of failure across every scope</w:t>
      </w:r>
      <w:r>
        <w:rPr>
          <w:rFonts w:ascii="Calibri" w:hAnsi="Calibri"/>
          <w:b w:val="0"/>
          <w:i w:val="0"/>
          <w:sz w:val="21"/>
        </w:rPr>
        <w:t>. An entire extraction outage was traced not to code but to edits in that shared configuration; restoring the earlier settings fixed it.</w:t>
      </w:r>
    </w:p>
    <w:p>
      <w:r>
        <w:rPr>
          <w:rFonts w:ascii="Calibri" w:hAnsi="Calibri"/>
          <w:b w:val="0"/>
          <w:i w:val="0"/>
          <w:sz w:val="21"/>
        </w:rPr>
        <w:t>Four environments that cannot be configured independently are not four environments.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5.3 A bridge was needed to make background calls work at all</w:t>
      </w:r>
    </w:p>
    <w:p>
      <w:r>
        <w:rPr>
          <w:rFonts w:ascii="Calibri" w:hAnsi="Calibri"/>
          <w:b w:val="0"/>
          <w:i w:val="0"/>
          <w:sz w:val="21"/>
        </w:rPr>
        <w:t>Model calls from a background context could not reach the MID server through the skill layer, so a loopback bridge was added. It worked, but it was a component that existed purely to satisfy the platform layer, and it disappeared the moment the client was called directly.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5.4 The direct route's own failure mode had to be learned</w:t>
      </w:r>
    </w:p>
    <w:p>
      <w:r>
        <w:rPr>
          <w:rFonts w:ascii="Calibri" w:hAnsi="Calibri"/>
          <w:b w:val="0"/>
          <w:i w:val="0"/>
          <w:sz w:val="21"/>
        </w:rPr>
        <w:t>The gateway returns HTTP 200 with errors in the body. Until that was understood and detected, refusals were recorded as empty extractions. This has cost real investigation time twice: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•  </w:t>
      </w:r>
      <w:r>
        <w:rPr>
          <w:rFonts w:ascii="Calibri" w:hAnsi="Calibri"/>
          <w:b w:val="0"/>
          <w:i w:val="0"/>
          <w:sz w:val="21"/>
        </w:rPr>
        <w:t>a central gateway fault that returned 200 with an internal error, mistaken initially for an extraction problem;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•  </w:t>
      </w:r>
      <w:r>
        <w:rPr>
          <w:rFonts w:ascii="Calibri" w:hAnsi="Calibri"/>
          <w:b w:val="0"/>
          <w:i w:val="0"/>
          <w:sz w:val="21"/>
        </w:rPr>
        <w:t xml:space="preserve">a registration authorisation block (1 October 2026) that returned 200 with a "not authorized" message on </w:t>
      </w:r>
      <w:r>
        <w:rPr>
          <w:rFonts w:ascii="Calibri" w:hAnsi="Calibri"/>
          <w:b/>
          <w:i w:val="0"/>
          <w:sz w:val="21"/>
        </w:rPr>
        <w:t>every</w:t>
      </w:r>
      <w:r>
        <w:rPr>
          <w:rFonts w:ascii="Calibri" w:hAnsi="Calibri"/>
          <w:b w:val="0"/>
          <w:i w:val="0"/>
          <w:sz w:val="21"/>
        </w:rPr>
        <w:t xml:space="preserve"> call, which again presented as "extraction found nothing".</w:t>
      </w:r>
    </w:p>
    <w:p>
      <w:r>
        <w:rPr>
          <w:rFonts w:ascii="Calibri" w:hAnsi="Calibri"/>
          <w:b w:val="0"/>
          <w:i w:val="0"/>
          <w:sz w:val="21"/>
        </w:rPr>
        <w:t xml:space="preserve">The lesson generalises: </w:t>
      </w:r>
      <w:r>
        <w:rPr>
          <w:rFonts w:ascii="Calibri" w:hAnsi="Calibri"/>
          <w:b/>
          <w:i w:val="0"/>
          <w:sz w:val="21"/>
        </w:rPr>
        <w:t>when extraction suddenly produces nothing, test the gateway before investigating the documents.</w:t>
      </w:r>
      <w:r>
        <w:rPr>
          <w:rFonts w:ascii="Calibri" w:hAnsi="Calibri"/>
          <w:b w:val="0"/>
          <w:i w:val="0"/>
          <w:sz w:val="21"/>
        </w:rPr>
        <w:t xml:space="preserve"> A thirty-second connectivity probe would have saved a day on both occasions.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5.5 What direct integration bought, concretely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•  </w:t>
      </w:r>
      <w:r>
        <w:rPr>
          <w:rFonts w:ascii="Calibri" w:hAnsi="Calibri"/>
          <w:b/>
          <w:i w:val="0"/>
          <w:sz w:val="21"/>
        </w:rPr>
        <w:t>Per-environment configuration.</w:t>
      </w:r>
      <w:r>
        <w:rPr>
          <w:rFonts w:ascii="Calibri" w:hAnsi="Calibri"/>
          <w:b w:val="0"/>
          <w:i w:val="0"/>
          <w:sz w:val="21"/>
        </w:rPr>
        <w:t xml:space="preserve"> Tolerances, chunk caps and model selection differ per application and per work driver.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•  </w:t>
      </w:r>
      <w:r>
        <w:rPr>
          <w:rFonts w:ascii="Calibri" w:hAnsi="Calibri"/>
          <w:b/>
          <w:i w:val="0"/>
          <w:sz w:val="21"/>
        </w:rPr>
        <w:t>One home per prompt.</w:t>
      </w:r>
      <w:r>
        <w:rPr>
          <w:rFonts w:ascii="Calibri" w:hAnsi="Calibri"/>
          <w:b w:val="0"/>
          <w:i w:val="0"/>
          <w:sz w:val="21"/>
        </w:rPr>
        <w:t xml:space="preserve"> Prompts live on the work-driver record, editable by a manager, not duplicated across definition records.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•  </w:t>
      </w:r>
      <w:r>
        <w:rPr>
          <w:rFonts w:ascii="Calibri" w:hAnsi="Calibri"/>
          <w:b/>
          <w:i w:val="0"/>
          <w:sz w:val="21"/>
        </w:rPr>
        <w:t>Real cost and latency.</w:t>
      </w:r>
      <w:r>
        <w:rPr>
          <w:rFonts w:ascii="Calibri" w:hAnsi="Calibri"/>
          <w:b w:val="0"/>
          <w:i w:val="0"/>
          <w:sz w:val="21"/>
        </w:rPr>
        <w:t xml:space="preserve"> The gateway returns its own metrics; these are stored per call and linked to the cashflow they produced.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•  </w:t>
      </w:r>
      <w:r>
        <w:rPr>
          <w:rFonts w:ascii="Calibri" w:hAnsi="Calibri"/>
          <w:b/>
          <w:i w:val="0"/>
          <w:sz w:val="21"/>
        </w:rPr>
        <w:t>A model swap is one property.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•  </w:t>
      </w:r>
      <w:r>
        <w:rPr>
          <w:rFonts w:ascii="Calibri" w:hAnsi="Calibri"/>
          <w:b/>
          <w:i w:val="0"/>
          <w:sz w:val="21"/>
        </w:rPr>
        <w:t>A deterministic fallback.</w:t>
      </w:r>
      <w:r>
        <w:rPr>
          <w:rFonts w:ascii="Calibri" w:hAnsi="Calibri"/>
          <w:b w:val="0"/>
          <w:i w:val="0"/>
          <w:sz w:val="21"/>
        </w:rPr>
        <w:t xml:space="preserve"> Where a model call fails, callers fall back to deterministic behaviour rather than producing nothing — which is what stops a gateway outage from emptying the analyst boards.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5.6 What it cost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•  </w:t>
      </w:r>
      <w:r>
        <w:rPr>
          <w:rFonts w:ascii="Calibri" w:hAnsi="Calibri"/>
          <w:b w:val="0"/>
          <w:i w:val="0"/>
          <w:sz w:val="21"/>
        </w:rPr>
        <w:t>Every governance surface was built: the event store, the usage and cost page, per-field confidence.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•  </w:t>
      </w:r>
      <w:r>
        <w:rPr>
          <w:rFonts w:ascii="Calibri" w:hAnsi="Calibri"/>
          <w:b w:val="0"/>
          <w:i w:val="0"/>
          <w:sz w:val="21"/>
        </w:rPr>
        <w:t>Detection for the 200-with-error-in-body mode had to be written.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•  </w:t>
      </w:r>
      <w:r>
        <w:rPr>
          <w:rFonts w:ascii="Calibri" w:hAnsi="Calibri"/>
          <w:b w:val="0"/>
          <w:i w:val="0"/>
          <w:sz w:val="21"/>
        </w:rPr>
        <w:t>The shared client is a shared artefact; an edit to it affects every application.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•  </w:t>
      </w:r>
      <w:r>
        <w:rPr>
          <w:rFonts w:ascii="Calibri" w:hAnsi="Calibri"/>
          <w:b w:val="0"/>
          <w:i w:val="0"/>
          <w:sz w:val="21"/>
        </w:rPr>
        <w:t>Retry, chunking and the platform's thirty-second response ceiling are ours to work around.</w:t>
      </w:r>
    </w:p>
    <w:p>
      <w:pPr>
        <w:spacing w:before="80" w:after="200"/>
        <w:pBdr>
          <w:bottom w:val="single" w:sz="6" w:space="6" w:color="C8CDD6"/>
        </w:pBdr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F3864"/>
          <w:sz w:val="29"/>
        </w:rPr>
        <w:t>6. Drawbacks, stated honestly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6.1 Of the direct route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1. </w:t>
      </w:r>
      <w:r>
        <w:rPr>
          <w:rFonts w:ascii="Calibri" w:hAnsi="Calibri"/>
          <w:b/>
          <w:i w:val="0"/>
          <w:sz w:val="21"/>
        </w:rPr>
        <w:t>No native governance.</w:t>
      </w:r>
      <w:r>
        <w:rPr>
          <w:rFonts w:ascii="Calibri" w:hAnsi="Calibri"/>
          <w:b w:val="0"/>
          <w:i w:val="0"/>
          <w:sz w:val="21"/>
        </w:rPr>
        <w:t xml:space="preserve"> Everything in 4.4 was built and must be maintained. A future team inherits that.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2. </w:t>
      </w:r>
      <w:r>
        <w:rPr>
          <w:rFonts w:ascii="Calibri" w:hAnsi="Calibri"/>
          <w:b/>
          <w:i w:val="0"/>
          <w:sz w:val="21"/>
        </w:rPr>
        <w:t>A shared client.</w:t>
      </w:r>
      <w:r>
        <w:rPr>
          <w:rFonts w:ascii="Calibri" w:hAnsi="Calibri"/>
          <w:b w:val="0"/>
          <w:i w:val="0"/>
          <w:sz w:val="21"/>
        </w:rPr>
        <w:t xml:space="preserve"> Smaller than a shared skill configuration, but still a single artefact spanning every application.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3. </w:t>
      </w:r>
      <w:r>
        <w:rPr>
          <w:rFonts w:ascii="Calibri" w:hAnsi="Calibri"/>
          <w:b/>
          <w:i w:val="0"/>
          <w:sz w:val="21"/>
        </w:rPr>
        <w:t>No agentic path.</w:t>
      </w:r>
      <w:r>
        <w:rPr>
          <w:rFonts w:ascii="Calibri" w:hAnsi="Calibri"/>
          <w:b w:val="0"/>
          <w:i w:val="0"/>
          <w:sz w:val="21"/>
        </w:rPr>
        <w:t xml:space="preserve"> The decisive one — see section 3.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4. </w:t>
      </w:r>
      <w:r>
        <w:rPr>
          <w:rFonts w:ascii="Calibri" w:hAnsi="Calibri"/>
          <w:b/>
          <w:i w:val="0"/>
          <w:sz w:val="21"/>
        </w:rPr>
        <w:t>Platform constraints still apply.</w:t>
      </w:r>
      <w:r>
        <w:rPr>
          <w:rFonts w:ascii="Calibri" w:hAnsi="Calibri"/>
          <w:b w:val="0"/>
          <w:i w:val="0"/>
          <w:sz w:val="21"/>
        </w:rPr>
        <w:t xml:space="preserve"> The thirty-second response ceiling on a single call is a platform property, not a routing choice; a document cannot be chunked around it.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5. </w:t>
      </w:r>
      <w:r>
        <w:rPr>
          <w:rFonts w:ascii="Calibri" w:hAnsi="Calibri"/>
          <w:b/>
          <w:i w:val="0"/>
          <w:sz w:val="21"/>
        </w:rPr>
        <w:t>Compliance coupling is explicit and fragile.</w:t>
      </w:r>
      <w:r>
        <w:rPr>
          <w:rFonts w:ascii="Calibri" w:hAnsi="Calibri"/>
          <w:b w:val="0"/>
          <w:i w:val="0"/>
          <w:sz w:val="21"/>
        </w:rPr>
        <w:t xml:space="preserve"> A lapsed registration takes down every call, and presents as empty results rather than as an error.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6.2 Of the Now Assist route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1. </w:t>
      </w:r>
      <w:r>
        <w:rPr>
          <w:rFonts w:ascii="Calibri" w:hAnsi="Calibri"/>
          <w:b/>
          <w:i w:val="0"/>
          <w:sz w:val="21"/>
        </w:rPr>
        <w:t>Duplicated skill definitions</w:t>
      </w:r>
      <w:r>
        <w:rPr>
          <w:rFonts w:ascii="Calibri" w:hAnsi="Calibri"/>
          <w:b w:val="0"/>
          <w:i w:val="0"/>
          <w:sz w:val="21"/>
        </w:rPr>
        <w:t xml:space="preserve"> and the configuration drift that follows.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2. </w:t>
      </w:r>
      <w:r>
        <w:rPr>
          <w:rFonts w:ascii="Calibri" w:hAnsi="Calibri"/>
          <w:b/>
          <w:i w:val="0"/>
          <w:sz w:val="21"/>
        </w:rPr>
        <w:t>Shared model configuration</w:t>
      </w:r>
      <w:r>
        <w:rPr>
          <w:rFonts w:ascii="Calibri" w:hAnsi="Calibri"/>
          <w:b w:val="0"/>
          <w:i w:val="0"/>
          <w:sz w:val="21"/>
        </w:rPr>
        <w:t xml:space="preserve"> across scopes, removing per-environment independence.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3. </w:t>
      </w:r>
      <w:r>
        <w:rPr>
          <w:rFonts w:ascii="Calibri" w:hAnsi="Calibri"/>
          <w:b/>
          <w:i w:val="0"/>
          <w:sz w:val="21"/>
        </w:rPr>
        <w:t>Licence dependency</w:t>
      </w:r>
      <w:r>
        <w:rPr>
          <w:rFonts w:ascii="Calibri" w:hAnsi="Calibri"/>
          <w:b w:val="0"/>
          <w:i w:val="0"/>
          <w:sz w:val="21"/>
        </w:rPr>
        <w:t>, including Prime to author agents, and assist consumption for sub-production testing.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4. </w:t>
      </w:r>
      <w:r>
        <w:rPr>
          <w:rFonts w:ascii="Calibri" w:hAnsi="Calibri"/>
          <w:b/>
          <w:i w:val="0"/>
          <w:sz w:val="21"/>
        </w:rPr>
        <w:t>More layers to debug</w:t>
      </w:r>
      <w:r>
        <w:rPr>
          <w:rFonts w:ascii="Calibri" w:hAnsi="Calibri"/>
          <w:b w:val="0"/>
          <w:i w:val="0"/>
          <w:sz w:val="21"/>
        </w:rPr>
        <w:t>, with identical symptoms arising from several of them.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5. </w:t>
      </w:r>
      <w:r>
        <w:rPr>
          <w:rFonts w:ascii="Calibri" w:hAnsi="Calibri"/>
          <w:b/>
          <w:i w:val="0"/>
          <w:sz w:val="21"/>
        </w:rPr>
        <w:t>A bridge required</w:t>
      </w:r>
      <w:r>
        <w:rPr>
          <w:rFonts w:ascii="Calibri" w:hAnsi="Calibri"/>
          <w:b w:val="0"/>
          <w:i w:val="0"/>
          <w:sz w:val="21"/>
        </w:rPr>
        <w:t xml:space="preserve"> for background-context calls.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6. </w:t>
      </w:r>
      <w:r>
        <w:rPr>
          <w:rFonts w:ascii="Calibri" w:hAnsi="Calibri"/>
          <w:b/>
          <w:i w:val="0"/>
          <w:sz w:val="21"/>
        </w:rPr>
        <w:t>Upgrade exposure</w:t>
      </w:r>
      <w:r>
        <w:rPr>
          <w:rFonts w:ascii="Calibri" w:hAnsi="Calibri"/>
          <w:b w:val="0"/>
          <w:i w:val="0"/>
          <w:sz w:val="21"/>
        </w:rPr>
        <w:t xml:space="preserve"> to plugin and patch levels.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6.3 Of the agentic route specifically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1. </w:t>
      </w:r>
      <w:r>
        <w:rPr>
          <w:rFonts w:ascii="Calibri" w:hAnsi="Calibri"/>
          <w:b/>
          <w:i w:val="0"/>
          <w:sz w:val="21"/>
        </w:rPr>
        <w:t>Model traffic for the agent layer must leave the mandated gateway</w:t>
      </w:r>
      <w:r>
        <w:rPr>
          <w:rFonts w:ascii="Calibri" w:hAnsi="Calibri"/>
          <w:b w:val="0"/>
          <w:i w:val="0"/>
          <w:sz w:val="21"/>
        </w:rPr>
        <w:t xml:space="preserve"> — the governance question in 3.4.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2. </w:t>
      </w:r>
      <w:r>
        <w:rPr>
          <w:rFonts w:ascii="Calibri" w:hAnsi="Calibri"/>
          <w:b/>
          <w:i w:val="0"/>
          <w:sz w:val="21"/>
        </w:rPr>
        <w:t>Prime entitlement</w:t>
      </w:r>
      <w:r>
        <w:rPr>
          <w:rFonts w:ascii="Calibri" w:hAnsi="Calibri"/>
          <w:b w:val="0"/>
          <w:i w:val="0"/>
          <w:sz w:val="21"/>
        </w:rPr>
        <w:t xml:space="preserve"> to create or significantly modify agents.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3. </w:t>
      </w:r>
      <w:r>
        <w:rPr>
          <w:rFonts w:ascii="Calibri" w:hAnsi="Calibri"/>
          <w:b/>
          <w:i w:val="0"/>
          <w:sz w:val="21"/>
        </w:rPr>
        <w:t>Assist consumption in sub-production</w:t>
      </w:r>
      <w:r>
        <w:rPr>
          <w:rFonts w:ascii="Calibri" w:hAnsi="Calibri"/>
          <w:b w:val="0"/>
          <w:i w:val="0"/>
          <w:sz w:val="21"/>
        </w:rPr>
        <w:t>, which makes iterative agent development expensive.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4. </w:t>
      </w:r>
      <w:r>
        <w:rPr>
          <w:rFonts w:ascii="Calibri" w:hAnsi="Calibri"/>
          <w:b/>
          <w:i w:val="0"/>
          <w:sz w:val="21"/>
        </w:rPr>
        <w:t>Role masking cascades.</w:t>
      </w:r>
      <w:r>
        <w:rPr>
          <w:rFonts w:ascii="Calibri" w:hAnsi="Calibri"/>
          <w:b w:val="0"/>
          <w:i w:val="0"/>
          <w:sz w:val="21"/>
        </w:rPr>
        <w:t xml:space="preserve"> An agent runs under an identity and is subject to the same access controls as a person — an agent that appears to do nothing is usually one that cannot read the table.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5. </w:t>
      </w:r>
      <w:r>
        <w:rPr>
          <w:rFonts w:ascii="Calibri" w:hAnsi="Calibri"/>
          <w:b/>
          <w:i w:val="0"/>
          <w:sz w:val="21"/>
        </w:rPr>
        <w:t>Agents can install inactive</w:t>
      </w:r>
      <w:r>
        <w:rPr>
          <w:rFonts w:ascii="Calibri" w:hAnsi="Calibri"/>
          <w:b w:val="0"/>
          <w:i w:val="0"/>
          <w:sz w:val="21"/>
        </w:rPr>
        <w:t>, which reads as a failure until you check.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6. </w:t>
      </w:r>
      <w:r>
        <w:rPr>
          <w:rFonts w:ascii="Calibri" w:hAnsi="Calibri"/>
          <w:b/>
          <w:i w:val="0"/>
          <w:sz w:val="21"/>
        </w:rPr>
        <w:t>Non-determinism in the wrong place is an audit problem</w:t>
      </w:r>
      <w:r>
        <w:rPr>
          <w:rFonts w:ascii="Calibri" w:hAnsi="Calibri"/>
          <w:b w:val="0"/>
          <w:i w:val="0"/>
          <w:sz w:val="21"/>
        </w:rPr>
        <w:t>, not a quality problem — see 3.5.</w:t>
      </w:r>
    </w:p>
    <w:p>
      <w:pPr>
        <w:spacing w:before="80" w:after="200"/>
        <w:pBdr>
          <w:bottom w:val="single" w:sz="6" w:space="6" w:color="C8CDD6"/>
        </w:pBdr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F3864"/>
          <w:sz w:val="29"/>
        </w:rPr>
        <w:t>7. Recommendation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7.1 The split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960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Layer</w:t>
            </w:r>
          </w:p>
        </w:tc>
        <w:tc>
          <w:tcPr>
            <w:tcW w:type="dxa" w:w="2974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Runs on</w:t>
            </w:r>
          </w:p>
        </w:tc>
        <w:tc>
          <w:tcPr>
            <w:tcW w:type="dxa" w:w="4044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Why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Extraction and classification</w:t>
            </w:r>
          </w:p>
        </w:tc>
        <w:tc>
          <w:tcPr>
            <w:tcW w:type="dxa" w:w="297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the enterprise gateway, called directly</w:t>
            </w:r>
          </w:p>
        </w:tc>
        <w:tc>
          <w:tcPr>
            <w:tcW w:type="dxa" w:w="404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mandated gateway; per-environment configuration; one home per prompt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Matching, tolerances, netting, amount signs</w:t>
            </w:r>
          </w:p>
        </w:tc>
        <w:tc>
          <w:tcPr>
            <w:tcW w:type="dxa" w:w="297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deterministic code, no model at all</w:t>
            </w:r>
          </w:p>
        </w:tc>
        <w:tc>
          <w:tcPr>
            <w:tcW w:type="dxa" w:w="404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reconstructable for audit; reproducible months later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Orchestration, triage, exception handling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alibri" w:hAnsi="Calibri"/>
                <w:b w:val="0"/>
                <w:i/>
                <w:sz w:val="18"/>
              </w:rPr>
              <w:t>(if adopted)</w:t>
            </w:r>
          </w:p>
        </w:tc>
        <w:tc>
          <w:tcPr>
            <w:tcW w:type="dxa" w:w="297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a ServiceNow-integrated model under AI Agent Studio</w:t>
            </w:r>
          </w:p>
        </w:tc>
        <w:tc>
          <w:tcPr>
            <w:tcW w:type="dxa" w:w="404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the only supported option — BYOLLM is excluded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i w:val="0"/>
                <w:sz w:val="18"/>
              </w:rPr>
              <w:t>Governance and audit</w:t>
            </w:r>
          </w:p>
        </w:tc>
        <w:tc>
          <w:tcPr>
            <w:tcW w:type="dxa" w:w="297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the application's own event store</w:t>
            </w:r>
          </w:p>
        </w:tc>
        <w:tc>
          <w:tcPr>
            <w:tcW w:type="dxa" w:w="4044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already built, and more granular per item than the platform's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7.2 The decision rule</w:t>
      </w:r>
    </w:p>
    <w:p>
      <w:pPr>
        <w:spacing w:before="140" w:after="40"/>
        <w:ind w:left="255"/>
        <w:shd w:val="clear" w:color="auto" w:fill="FFF8E6"/>
        <w:pBdr>
          <w:left w:val="single" w:sz="22" w:space="6" w:color="D9A21B"/>
        </w:pBdr>
      </w:pPr>
      <w:r>
        <w:rPr>
          <w:rFonts w:ascii="Calibri" w:hAnsi="Calibri"/>
          <w:b w:val="0"/>
          <w:i w:val="0"/>
          <w:sz w:val="21"/>
        </w:rPr>
        <w:t>If a decision changes a number that settles money, it is deterministic code. If it changes what happens next, it may be a model — and if it is an agent, it runs on an integrated provider.</w:t>
      </w:r>
    </w:p>
    <w:p>
      <w:pPr>
        <w:pStyle w:val="Heading3"/>
        <w:keepNext/>
      </w:pPr>
      <w:r>
        <w:rPr>
          <w:rFonts w:ascii="Calibri" w:hAnsi="Calibri"/>
          <w:b/>
          <w:i w:val="0"/>
          <w:color w:val="1F3864"/>
          <w:sz w:val="23"/>
        </w:rPr>
        <w:t>7.3 Sequencing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1. </w:t>
      </w:r>
      <w:r>
        <w:rPr>
          <w:rFonts w:ascii="Calibri" w:hAnsi="Calibri"/>
          <w:b/>
          <w:i w:val="0"/>
          <w:sz w:val="21"/>
        </w:rPr>
        <w:t>Now:</w:t>
      </w:r>
      <w:r>
        <w:rPr>
          <w:rFonts w:ascii="Calibri" w:hAnsi="Calibri"/>
          <w:b w:val="0"/>
          <w:i w:val="0"/>
          <w:sz w:val="21"/>
        </w:rPr>
        <w:t xml:space="preserve"> keep the direct integration. Nothing about the agentic question requires changing it, and reverting would re-import every problem in 5.1 to 5.3.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2. </w:t>
      </w:r>
      <w:r>
        <w:rPr>
          <w:rFonts w:ascii="Calibri" w:hAnsi="Calibri"/>
          <w:b/>
          <w:i w:val="0"/>
          <w:sz w:val="21"/>
        </w:rPr>
        <w:t>Before any agentic commitment:</w:t>
      </w:r>
      <w:r>
        <w:rPr>
          <w:rFonts w:ascii="Calibri" w:hAnsi="Calibri"/>
          <w:b w:val="0"/>
          <w:i w:val="0"/>
          <w:sz w:val="21"/>
        </w:rPr>
        <w:t xml:space="preserve"> put the governance question from 3.4 to Nomura's AI function in writing. The answer determines whether option B exists at all.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3. </w:t>
      </w:r>
      <w:r>
        <w:rPr>
          <w:rFonts w:ascii="Calibri" w:hAnsi="Calibri"/>
          <w:b/>
          <w:i w:val="0"/>
          <w:sz w:val="21"/>
        </w:rPr>
        <w:t>If option B is permitted:</w:t>
      </w:r>
      <w:r>
        <w:rPr>
          <w:rFonts w:ascii="Calibri" w:hAnsi="Calibri"/>
          <w:b w:val="0"/>
          <w:i w:val="0"/>
          <w:sz w:val="21"/>
        </w:rPr>
        <w:t xml:space="preserve"> pilot agents on an integrated model against a non-settlement workflow first — triage or chasing — leaving the money path untouched. Measure assist consumption in that pilot, because sub-production testing is billable.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4. </w:t>
      </w:r>
      <w:r>
        <w:rPr>
          <w:rFonts w:ascii="Calibri" w:hAnsi="Calibri"/>
          <w:b/>
          <w:i w:val="0"/>
          <w:sz w:val="21"/>
        </w:rPr>
        <w:t>Regardless:</w:t>
      </w:r>
      <w:r>
        <w:rPr>
          <w:rFonts w:ascii="Calibri" w:hAnsi="Calibri"/>
          <w:b w:val="0"/>
          <w:i w:val="0"/>
          <w:sz w:val="21"/>
        </w:rPr>
        <w:t xml:space="preserve"> add gateway connectivity and registration status to the operational checklist (5.4). Both outages this project has suffered would have been diagnosed in under a minute.</w:t>
      </w:r>
    </w:p>
    <w:p>
      <w:pPr>
        <w:spacing w:before="80" w:after="200"/>
        <w:pBdr>
          <w:bottom w:val="single" w:sz="6" w:space="6" w:color="C8CDD6"/>
        </w:pBdr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F3864"/>
          <w:sz w:val="29"/>
        </w:rPr>
        <w:t>8. What would change this recommendation</w:t>
      </w:r>
    </w:p>
    <w:p>
      <w:r>
        <w:rPr>
          <w:rFonts w:ascii="Calibri" w:hAnsi="Calibri"/>
          <w:b w:val="0"/>
          <w:i w:val="0"/>
          <w:sz w:val="21"/>
        </w:rPr>
        <w:t>Stated plainly so the decision can be revisited on evidence rather than reopened on opinion: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4899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If this became true</w:t>
            </w:r>
          </w:p>
        </w:tc>
        <w:tc>
          <w:tcPr>
            <w:tcW w:type="dxa" w:w="5079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Then</w:t>
            </w:r>
          </w:p>
        </w:tc>
      </w:tr>
      <w:tr>
        <w:trPr>
          <w:cantSplit/>
        </w:trPr>
        <w:tc>
          <w:tcPr>
            <w:tcW w:type="dxa" w:w="489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ServiceNow supports </w:t>
            </w:r>
            <w:r>
              <w:rPr>
                <w:rFonts w:ascii="Calibri" w:hAnsi="Calibri"/>
                <w:b/>
                <w:i w:val="0"/>
                <w:sz w:val="18"/>
              </w:rPr>
              <w:t>BYOLLM for AI Agents</w:t>
            </w:r>
          </w:p>
        </w:tc>
        <w:tc>
          <w:tcPr>
            <w:tcW w:type="dxa" w:w="507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the tension in section 3 disappears; Now Assist becomes strongly preferable, because agents could run on the mandated gateway</w:t>
            </w:r>
          </w:p>
        </w:tc>
      </w:tr>
      <w:tr>
        <w:trPr>
          <w:cantSplit/>
        </w:trPr>
        <w:tc>
          <w:tcPr>
            <w:tcW w:type="dxa" w:w="489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Nomura's AI governance </w:t>
            </w:r>
            <w:r>
              <w:rPr>
                <w:rFonts w:ascii="Calibri" w:hAnsi="Calibri"/>
                <w:b/>
                <w:i w:val="0"/>
                <w:sz w:val="18"/>
              </w:rPr>
              <w:t>permits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 integrated provider for the agent layer</w:t>
            </w:r>
          </w:p>
        </w:tc>
        <w:tc>
          <w:tcPr>
            <w:tcW w:type="dxa" w:w="507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option B is live; proceed with the pilot in 7.3</w:t>
            </w:r>
          </w:p>
        </w:tc>
      </w:tr>
      <w:tr>
        <w:trPr>
          <w:cantSplit/>
        </w:trPr>
        <w:tc>
          <w:tcPr>
            <w:tcW w:type="dxa" w:w="489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Nomura's AI governance </w:t>
            </w:r>
            <w:r>
              <w:rPr>
                <w:rFonts w:ascii="Calibri" w:hAnsi="Calibri"/>
                <w:b/>
                <w:i w:val="0"/>
                <w:sz w:val="18"/>
              </w:rPr>
              <w:t>forbids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it</w:t>
            </w:r>
          </w:p>
        </w:tc>
        <w:tc>
          <w:tcPr>
            <w:tcW w:type="dxa" w:w="507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the agentic route is closed on this platform; plan the roadmap without it</w:t>
            </w:r>
          </w:p>
        </w:tc>
      </w:tr>
      <w:tr>
        <w:trPr>
          <w:cantSplit/>
        </w:trPr>
        <w:tc>
          <w:tcPr>
            <w:tcW w:type="dxa" w:w="489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Prompt duplication is </w:t>
            </w:r>
            <w:r>
              <w:rPr>
                <w:rFonts w:ascii="Calibri" w:hAnsi="Calibri"/>
                <w:b/>
                <w:i w:val="0"/>
                <w:sz w:val="18"/>
              </w:rPr>
              <w:t>fixed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 a future Skill Kit release</w:t>
            </w:r>
          </w:p>
        </w:tc>
        <w:tc>
          <w:tcPr>
            <w:tcW w:type="dxa" w:w="507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the strongest practical objection to Now Assist weakens considerably</w:t>
            </w:r>
          </w:p>
        </w:tc>
      </w:tr>
      <w:tr>
        <w:trPr>
          <w:cantSplit/>
        </w:trPr>
        <w:tc>
          <w:tcPr>
            <w:tcW w:type="dxa" w:w="489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The application needs to be portable off ServiceNow</w:t>
            </w:r>
          </w:p>
        </w:tc>
        <w:tc>
          <w:tcPr>
            <w:tcW w:type="dxa" w:w="5079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direct becomes more valuable still</w:t>
            </w:r>
          </w:p>
        </w:tc>
      </w:tr>
    </w:tbl>
    <w:p>
      <w:pPr>
        <w:spacing w:after="40"/>
      </w:pPr>
    </w:p>
    <w:p>
      <w:pPr>
        <w:spacing w:before="80" w:after="200"/>
        <w:pBdr>
          <w:bottom w:val="single" w:sz="6" w:space="6" w:color="C8CDD6"/>
        </w:pBdr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F3864"/>
          <w:sz w:val="29"/>
        </w:rPr>
        <w:t>9. Open questions for Nomura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1. </w:t>
      </w:r>
      <w:r>
        <w:rPr>
          <w:rFonts w:ascii="Calibri" w:hAnsi="Calibri"/>
          <w:b/>
          <w:i w:val="0"/>
          <w:sz w:val="21"/>
        </w:rPr>
        <w:t>Is model traffic for an agent orchestration layer permitted outside the mandated gateway?</w:t>
      </w:r>
      <w:r>
        <w:rPr>
          <w:rFonts w:ascii="Calibri" w:hAnsi="Calibri"/>
          <w:b w:val="0"/>
          <w:i w:val="0"/>
          <w:sz w:val="21"/>
        </w:rPr>
        <w:t xml:space="preserve"> Under what registration, and with what data-handling conditions? </w:t>
      </w:r>
      <w:r>
        <w:rPr>
          <w:rFonts w:ascii="Calibri" w:hAnsi="Calibri"/>
          <w:b w:val="0"/>
          <w:i/>
          <w:sz w:val="21"/>
        </w:rPr>
        <w:t>(Blocks any agentic work.)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2. </w:t>
      </w:r>
      <w:r>
        <w:rPr>
          <w:rFonts w:ascii="Calibri" w:hAnsi="Calibri"/>
          <w:b/>
          <w:i w:val="0"/>
          <w:sz w:val="21"/>
        </w:rPr>
        <w:t>What entitlement does the instance actually hold</w:t>
      </w:r>
      <w:r>
        <w:rPr>
          <w:rFonts w:ascii="Calibri" w:hAnsi="Calibri"/>
          <w:b w:val="0"/>
          <w:i w:val="0"/>
          <w:sz w:val="21"/>
        </w:rPr>
        <w:t xml:space="preserve"> — Pro Plus, Enterprise Plus, or an AI SKU? </w:t>
      </w:r>
      <w:r>
        <w:rPr>
          <w:rFonts w:ascii="Calibri" w:hAnsi="Calibri"/>
          <w:b w:val="0"/>
          <w:i/>
          <w:sz w:val="21"/>
        </w:rPr>
        <w:t>(Prime is required to author agents.)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3. </w:t>
      </w:r>
      <w:r>
        <w:rPr>
          <w:rFonts w:ascii="Calibri" w:hAnsi="Calibri"/>
          <w:b/>
          <w:i w:val="0"/>
          <w:sz w:val="21"/>
        </w:rPr>
        <w:t>Who owns assist consumption budget</w:t>
      </w:r>
      <w:r>
        <w:rPr>
          <w:rFonts w:ascii="Calibri" w:hAnsi="Calibri"/>
          <w:b w:val="0"/>
          <w:i w:val="0"/>
          <w:sz w:val="21"/>
        </w:rPr>
        <w:t>, including sub-production testing?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4. </w:t>
      </w:r>
      <w:r>
        <w:rPr>
          <w:rFonts w:ascii="Calibri" w:hAnsi="Calibri"/>
          <w:b/>
          <w:i w:val="0"/>
          <w:sz w:val="21"/>
        </w:rPr>
        <w:t>Which registration ID is the service account authorised for</w:t>
      </w:r>
      <w:r>
        <w:rPr>
          <w:rFonts w:ascii="Calibri" w:hAnsi="Calibri"/>
          <w:b w:val="0"/>
          <w:i w:val="0"/>
          <w:sz w:val="21"/>
        </w:rPr>
        <w:t xml:space="preserve">, and what is the renewal process? </w:t>
      </w:r>
      <w:r>
        <w:rPr>
          <w:rFonts w:ascii="Calibri" w:hAnsi="Calibri"/>
          <w:b w:val="0"/>
          <w:i/>
          <w:sz w:val="21"/>
        </w:rPr>
        <w:t>(Live issue as of 1 October 2026.)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5. </w:t>
      </w:r>
      <w:r>
        <w:rPr>
          <w:rFonts w:ascii="Calibri" w:hAnsi="Calibri"/>
          <w:b/>
          <w:i w:val="0"/>
          <w:sz w:val="21"/>
        </w:rPr>
        <w:t>Does Internal Audit accept</w:t>
      </w:r>
      <w:r>
        <w:rPr>
          <w:rFonts w:ascii="Calibri" w:hAnsi="Calibri"/>
          <w:b w:val="0"/>
          <w:i w:val="0"/>
          <w:sz w:val="21"/>
        </w:rPr>
        <w:t xml:space="preserve"> a model-assisted orchestration layer above a deterministic settlement core, provided the settlement decision itself remains reconstructable?</w:t>
      </w:r>
    </w:p>
    <w:p>
      <w:pPr>
        <w:spacing w:before="80" w:after="200"/>
        <w:pBdr>
          <w:bottom w:val="single" w:sz="6" w:space="6" w:color="C8CDD6"/>
        </w:pBdr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F3864"/>
          <w:sz w:val="29"/>
        </w:rPr>
        <w:t>Appendix A — incident log</w:t>
      </w:r>
    </w:p>
    <w:p>
      <w:r>
        <w:rPr>
          <w:rFonts w:ascii="Calibri" w:hAnsi="Calibri"/>
          <w:b w:val="0"/>
          <w:i w:val="0"/>
          <w:sz w:val="21"/>
        </w:rPr>
        <w:t>Incidents from this programme that bear on the comparison.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850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3897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Incident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Route</w:t>
            </w:r>
          </w:p>
        </w:tc>
        <w:tc>
          <w:tcPr>
            <w:tcW w:type="dxa" w:w="4380"/>
            <w:shd w:val="clear" w:color="auto" w:fill="1F386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showed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897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Token ceiling truncating large emails; code change had no effect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Now Assist</w:t>
            </w:r>
          </w:p>
        </w:tc>
        <w:tc>
          <w:tcPr>
            <w:tcW w:type="dxa" w:w="438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Deployed artefact does not carry its setting; sixteen definition records updated by hand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897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Extraction outage traced to shared model configuration edits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Now Assist</w:t>
            </w:r>
          </w:p>
        </w:tc>
        <w:tc>
          <w:tcPr>
            <w:tcW w:type="dxa" w:w="438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Shared configuration is a single point of failure across scopes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897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Background-context calls could not reach the MID server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Now Assist</w:t>
            </w:r>
          </w:p>
        </w:tc>
        <w:tc>
          <w:tcPr>
            <w:tcW w:type="dxa" w:w="438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A bridge component existed only to satisfy the platform layer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13 Sep 2026</w:t>
            </w:r>
          </w:p>
        </w:tc>
        <w:tc>
          <w:tcPr>
            <w:tcW w:type="dxa" w:w="3897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HTTP 200 with an internal gateway error on every call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Direct</w:t>
            </w:r>
          </w:p>
        </w:tc>
        <w:tc>
          <w:tcPr>
            <w:tcW w:type="dxa" w:w="438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200-with-error-in-body presents as "found nothing"; proved central by cross-instance probe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29 Sep 2026</w:t>
            </w:r>
          </w:p>
        </w:tc>
        <w:tc>
          <w:tcPr>
            <w:tcW w:type="dxa" w:w="3897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Document extraction investigated as a PDF fault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Direct</w:t>
            </w:r>
          </w:p>
        </w:tc>
        <w:tc>
          <w:tcPr>
            <w:tcW w:type="dxa" w:w="438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Static analysis ruled out OCR, size and encoding; cause still open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1 Oct 2026</w:t>
            </w:r>
          </w:p>
        </w:tc>
        <w:tc>
          <w:tcPr>
            <w:tcW w:type="dxa" w:w="3897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Service account not authorised for its registration ID; </w:t>
            </w:r>
            <w:r>
              <w:rPr>
                <w:rFonts w:ascii="Calibri" w:hAnsi="Calibri"/>
                <w:b/>
                <w:i w:val="0"/>
                <w:sz w:val="18"/>
              </w:rPr>
              <w:t>total outage</w:t>
            </w:r>
            <w:r>
              <w:rPr>
                <w:rFonts w:ascii="Calibri" w:hAnsi="Calibri"/>
                <w:b w:val="0"/>
                <w:i w:val="0"/>
                <w:sz w:val="18"/>
              </w:rPr>
              <w:t>, text and document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Direct</w:t>
            </w:r>
          </w:p>
        </w:tc>
        <w:tc>
          <w:tcPr>
            <w:tcW w:type="dxa" w:w="4380"/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 w:val="0"/>
                <w:i w:val="0"/>
                <w:sz w:val="18"/>
              </w:rPr>
              <w:t>Compliance registration is a live dependency; refusals recorded as empty extractions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F3864"/>
          <w:sz w:val="29"/>
        </w:rPr>
        <w:t>Appendix B — sources</w:t>
      </w:r>
    </w:p>
    <w:p>
      <w:r>
        <w:rPr>
          <w:rFonts w:ascii="Calibri" w:hAnsi="Calibri"/>
          <w:b w:val="0"/>
          <w:i w:val="0"/>
          <w:sz w:val="21"/>
        </w:rPr>
        <w:t>Platform facts in section 3 were verified against ServiceNow's published material rather than assumed.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•  </w:t>
      </w:r>
      <w:r>
        <w:rPr>
          <w:rFonts w:ascii="Calibri" w:hAnsi="Calibri"/>
          <w:b w:val="0"/>
          <w:i w:val="0"/>
          <w:sz w:val="21"/>
        </w:rPr>
        <w:t xml:space="preserve">ServiceNow Community — </w:t>
      </w:r>
      <w:r>
        <w:rPr>
          <w:rFonts w:ascii="Calibri" w:hAnsi="Calibri"/>
          <w:b w:val="0"/>
          <w:i/>
          <w:sz w:val="21"/>
        </w:rPr>
        <w:t>Using external LLMs with Now Assist (including BYOK/BYOLLM)</w:t>
      </w:r>
      <w:r>
        <w:rPr>
          <w:rFonts w:ascii="Calibri" w:hAnsi="Calibri"/>
          <w:b w:val="0"/>
          <w:i w:val="0"/>
          <w:sz w:val="21"/>
        </w:rPr>
        <w:t>: connection types, and the statement that BYOK for Spokes and BYOLLM are not supported for out-of-the-box or custom AI Agents. https://www.servicenow.com/community/servicenow-otto-articles/using-external-llms-with-now-assist-including-byok-byollm/ta-p/3218103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•  </w:t>
      </w:r>
      <w:r>
        <w:rPr>
          <w:rFonts w:ascii="Calibri" w:hAnsi="Calibri"/>
          <w:b w:val="0"/>
          <w:i w:val="0"/>
          <w:sz w:val="21"/>
        </w:rPr>
        <w:t xml:space="preserve">ServiceNow Community — </w:t>
      </w:r>
      <w:r>
        <w:rPr>
          <w:rFonts w:ascii="Calibri" w:hAnsi="Calibri"/>
          <w:b w:val="0"/>
          <w:i/>
          <w:sz w:val="21"/>
        </w:rPr>
        <w:t>AI Agents FAQ and Troubleshooting</w:t>
      </w:r>
      <w:r>
        <w:rPr>
          <w:rFonts w:ascii="Calibri" w:hAnsi="Calibri"/>
          <w:b w:val="0"/>
          <w:i w:val="0"/>
          <w:sz w:val="21"/>
        </w:rPr>
        <w:t xml:space="preserve">: entitlement requirements, platform version, the </w:t>
      </w:r>
      <w:r>
        <w:rPr>
          <w:rFonts w:ascii="Consolas" w:hAnsi="Consolas"/>
          <w:b w:val="0"/>
          <w:color w:val="A31515"/>
          <w:sz w:val="19"/>
          <w:noProof/>
        </w:rPr>
        <w:t>sn_aia.admin</w:t>
      </w:r>
      <w:r>
        <w:rPr>
          <w:rFonts w:ascii="Calibri" w:hAnsi="Calibri"/>
          <w:b w:val="0"/>
          <w:i w:val="0"/>
          <w:sz w:val="21"/>
        </w:rPr>
        <w:t xml:space="preserve"> role, and assist consumption including sub-production testing. https://www.servicenow.com/community/now-assist-articles/ai-agents-faq-and-troubleshooting/ta-p/3200454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•  </w:t>
      </w:r>
      <w:r>
        <w:rPr>
          <w:rFonts w:ascii="Calibri" w:hAnsi="Calibri"/>
          <w:b w:val="0"/>
          <w:i w:val="0"/>
          <w:sz w:val="21"/>
        </w:rPr>
        <w:t xml:space="preserve">ServiceNow Community — </w:t>
      </w:r>
      <w:r>
        <w:rPr>
          <w:rFonts w:ascii="Calibri" w:hAnsi="Calibri"/>
          <w:b w:val="0"/>
          <w:i/>
          <w:sz w:val="21"/>
        </w:rPr>
        <w:t>Introducing AI Agents and Quick Start Guide</w:t>
      </w:r>
      <w:r>
        <w:rPr>
          <w:rFonts w:ascii="Calibri" w:hAnsi="Calibri"/>
          <w:b w:val="0"/>
          <w:i w:val="0"/>
          <w:sz w:val="21"/>
        </w:rPr>
        <w:t>: orchestrator model configuration and the integrated provider set. https://www.servicenow.com/community/now-assist-articles/introducing-ai-agents-and-quick-start-guide/ta-p/3200447</w:t>
      </w:r>
    </w:p>
    <w:p>
      <w:pPr>
        <w:spacing w:before="20" w:after="60"/>
        <w:ind w:left="312" w:hanging="227"/>
      </w:pPr>
      <w:r>
        <w:rPr>
          <w:rFonts w:ascii="Calibri" w:hAnsi="Calibri"/>
          <w:sz w:val="21"/>
        </w:rPr>
        <w:t xml:space="preserve">•  </w:t>
      </w:r>
      <w:r>
        <w:rPr>
          <w:rFonts w:ascii="Calibri" w:hAnsi="Calibri"/>
          <w:b w:val="0"/>
          <w:i w:val="0"/>
          <w:sz w:val="21"/>
        </w:rPr>
        <w:t xml:space="preserve">ServiceNow Community — </w:t>
      </w:r>
      <w:r>
        <w:rPr>
          <w:rFonts w:ascii="Calibri" w:hAnsi="Calibri"/>
          <w:b w:val="0"/>
          <w:i/>
          <w:sz w:val="21"/>
        </w:rPr>
        <w:t>Now Assist Skill Kit (NASK) FAQ</w:t>
      </w:r>
      <w:r>
        <w:rPr>
          <w:rFonts w:ascii="Calibri" w:hAnsi="Calibri"/>
          <w:b w:val="0"/>
          <w:i w:val="0"/>
          <w:sz w:val="21"/>
        </w:rPr>
        <w:t>: skill authoring and custom-skill model options. https://www.servicenow.com/community/now-assist-articles/now-assist-skill-kit-nask-faq/ta-p/3007953</w:t>
      </w:r>
    </w:p>
    <w:p>
      <w:r>
        <w:rPr>
          <w:rFonts w:ascii="Calibri" w:hAnsi="Calibri"/>
          <w:b w:val="0"/>
          <w:i w:val="0"/>
          <w:sz w:val="21"/>
        </w:rPr>
        <w:t>All other material in this document comes from the engagement itself and is attributable to the incidents in Appendix A.</w:t>
      </w:r>
    </w:p>
    <w:p>
      <w:r>
        <w:rPr>
          <w:rFonts w:ascii="Calibri" w:hAnsi="Calibri"/>
          <w:b w:val="0"/>
          <w:i/>
          <w:sz w:val="21"/>
        </w:rPr>
        <w:t>End of document.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964" w:bottom="107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6"/>
      </w:rPr>
      <w:t>Now Assist vs Direct Model Integration - NexAI OTC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9595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