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A2E33"/>
          <w:sz w:val="48"/>
        </w:rPr>
        <w:t>Analyst Experience — Settlement Portal</w:t>
      </w:r>
    </w:p>
    <w:p>
      <w:r>
        <w:rPr>
          <w:i/>
          <w:color w:val="667080"/>
          <w:sz w:val="24"/>
        </w:rPr>
        <w:t>Functional specification · FX / OTC Settlement Compare &amp; Match POC</w:t>
      </w:r>
    </w:p>
    <w:p>
      <w:r>
        <w:t>This document describes the analyst-facing flow of the Settlement Portal, aligned 1:1 with the Settlement-Portal-Wireframes deck. The analyst moves through four screens: Home (assigned workdrivers) → Dashboard (activity queue) → Trade Detail (mail ingestion &amp; extraction) → Compare &amp; Match (review, decision &amp; audit).</w:t>
      </w:r>
    </w:p>
    <w:p>
      <w:pPr>
        <w:pStyle w:val="Heading1"/>
      </w:pPr>
      <w:r>
        <w:rPr>
          <w:b/>
          <w:color w:val="C8102E"/>
          <w:sz w:val="30"/>
        </w:rPr>
        <w:t>Access &amp; Roles</w:t>
      </w:r>
    </w:p>
    <w:p>
      <w:pPr/>
      <w:r>
        <w:rPr>
          <w:b/>
        </w:rPr>
        <w:t>Input:</w:t>
      </w:r>
      <w:r>
        <w:t xml:space="preserve"> login credentials.</w:t>
      </w:r>
    </w:p>
    <w:p>
      <w:pPr/>
      <w:r>
        <w:rPr>
          <w:b/>
        </w:rPr>
        <w:t>Authorisation:</w:t>
      </w:r>
      <w:r>
        <w:t xml:space="preserve"> SSO (single sign-on).</w:t>
      </w:r>
    </w:p>
    <w:p>
      <w:pPr/>
      <w:r>
        <w:rPr>
          <w:b/>
        </w:rPr>
        <w:t>Access control:</w:t>
      </w:r>
      <w:r>
        <w:t xml:space="preserve"> RBAC — role-based; an analyst sees only the workdrivers and cases assigned to them.</w:t>
      </w:r>
    </w:p>
    <w:p>
      <w:pPr/>
      <w:r>
        <w:rPr>
          <w:b/>
        </w:rPr>
        <w:t>Audit (cross-cutting):</w:t>
      </w:r>
      <w:r>
        <w:t xml:space="preserve"> every analyst action is written to the audit trail and the case audit timeline with a timestamp.</w:t>
      </w:r>
    </w:p>
    <w:p>
      <w:pPr>
        <w:pStyle w:val="Heading1"/>
      </w:pPr>
      <w:r>
        <w:rPr>
          <w:b/>
          <w:color w:val="C8102E"/>
          <w:sz w:val="30"/>
        </w:rPr>
        <w:t>Screen 1 — Login &amp; Home (Workdrivers Assigned)</w:t>
      </w:r>
    </w:p>
    <w:p>
      <w:pPr>
        <w:pStyle w:val="ListBullet"/>
      </w:pPr>
      <w:r>
        <w:t>On successful sign-in, the portal opens the analyst's home, showing the workdrivers / activities assigned to them.</w:t>
      </w:r>
    </w:p>
    <w:p>
      <w:pPr>
        <w:pStyle w:val="ListBullet"/>
      </w:pPr>
      <w:r>
        <w:rPr>
          <w:b/>
        </w:rPr>
        <w:t>Activity =</w:t>
      </w:r>
      <w:r>
        <w:t xml:space="preserve"> the trade-settlement emails (alleges) assigned by the manager — retrieved via API.</w:t>
      </w:r>
    </w:p>
    <w:p>
      <w:pPr>
        <w:pStyle w:val="ListBullet"/>
      </w:pPr>
      <w:r>
        <w:t>Clicking an activity opens its queue in the Dashboard.</w:t>
      </w:r>
    </w:p>
    <w:p>
      <w:pPr>
        <w:pStyle w:val="Heading1"/>
      </w:pPr>
      <w:r>
        <w:rPr>
          <w:b/>
          <w:color w:val="C8102E"/>
          <w:sz w:val="30"/>
        </w:rPr>
        <w:t>Screen 2 — Dashboard (Activity Queue)</w:t>
      </w:r>
    </w:p>
    <w:p>
      <w:r>
        <w:t>The selected activity opens as a queue of alleges to be worked.</w:t>
      </w:r>
    </w:p>
    <w:p>
      <w:pPr>
        <w:pStyle w:val="ListBullet"/>
      </w:pPr>
      <w:r>
        <w:rPr>
          <w:b/>
        </w:rPr>
        <w:t>Widgets / KPIs —</w:t>
      </w:r>
      <w:r>
        <w:t xml:space="preserve"> sourced from the database / an API / an internal service (source to be confirmed).</w:t>
      </w:r>
    </w:p>
    <w:p>
      <w:pPr>
        <w:pStyle w:val="ListBullet"/>
      </w:pPr>
      <w:r>
        <w:rPr>
          <w:b/>
        </w:rPr>
        <w:t>Match Status filter —</w:t>
      </w:r>
      <w:r>
        <w:t xml:space="preserve"> All · Pending · Matched · Mismatch · No booking, derived from the classification logic.</w:t>
      </w:r>
    </w:p>
    <w:p>
      <w:pPr>
        <w:pStyle w:val="ListBullet"/>
      </w:pPr>
      <w:r>
        <w:t>Search &amp; filters:</w:t>
      </w:r>
    </w:p>
    <w:p>
      <w:pPr>
        <w:pStyle w:val="ListBullet2"/>
      </w:pPr>
      <w:r>
        <w:rPr>
          <w:b/>
        </w:rPr>
        <w:t>Allege ID —</w:t>
      </w:r>
      <w:r>
        <w:t xml:space="preserve"> lookup via the search API.</w:t>
      </w:r>
    </w:p>
    <w:p>
      <w:pPr>
        <w:pStyle w:val="ListBullet2"/>
      </w:pPr>
      <w:r>
        <w:rPr>
          <w:b/>
        </w:rPr>
        <w:t>Product —</w:t>
      </w:r>
      <w:r>
        <w:t xml:space="preserve"> via api/products.</w:t>
      </w:r>
    </w:p>
    <w:p>
      <w:pPr>
        <w:pStyle w:val="ListBullet2"/>
      </w:pPr>
      <w:r>
        <w:rPr>
          <w:b/>
        </w:rPr>
        <w:t>Counterparty —</w:t>
      </w:r>
      <w:r>
        <w:t xml:space="preserve"> populated from the internal team's list.</w:t>
      </w:r>
    </w:p>
    <w:p>
      <w:pPr>
        <w:pStyle w:val="Heading1"/>
      </w:pPr>
      <w:r>
        <w:rPr>
          <w:b/>
          <w:color w:val="C8102E"/>
          <w:sz w:val="30"/>
        </w:rPr>
        <w:t>Screen 3 — Trade Detail (Mail Ingestion &amp; Extraction)</w:t>
      </w:r>
    </w:p>
    <w:p>
      <w:r>
        <w:t>Opens when a mail is selected from the queue.</w:t>
      </w:r>
    </w:p>
    <w:p>
      <w:pPr>
        <w:pStyle w:val="ListNumber"/>
      </w:pPr>
      <w:r>
        <w:rPr>
          <w:b/>
        </w:rPr>
        <w:t>Trade-keyed extraction —</w:t>
      </w:r>
      <w:r>
        <w:t xml:space="preserve"> keyed on the trade ID → mail extraction. Status is derived from the AI confidence score; the final status is set by the agent; elapsed time is shown as an aging bucket.</w:t>
      </w:r>
    </w:p>
    <w:p>
      <w:pPr>
        <w:pStyle w:val="ListNumber"/>
      </w:pPr>
      <w:r>
        <w:rPr>
          <w:b/>
        </w:rPr>
        <w:t>Original mail —</w:t>
      </w:r>
      <w:r>
        <w:t xml:space="preserve"> show the mail contents as-is, via Microsoft Graph API (the mail-ingestion agent).</w:t>
      </w:r>
    </w:p>
    <w:p>
      <w:pPr>
        <w:pStyle w:val="ListNumber"/>
      </w:pPr>
      <w:r>
        <w:rPr>
          <w:b/>
        </w:rPr>
        <w:t>Field mapping —</w:t>
      </w:r>
      <w:r>
        <w:t xml:space="preserve"> a context parser maps the extracted fields.</w:t>
      </w:r>
    </w:p>
    <w:p>
      <w:pPr>
        <w:pStyle w:val="ListNumber"/>
      </w:pPr>
      <w:r>
        <w:rPr>
          <w:b/>
        </w:rPr>
        <w:t>Confirm extracted fields —</w:t>
      </w:r>
      <w:r>
        <w:t xml:space="preserve"> saved to the database and captured in the audit logs / trail and the case audit timeline.</w:t>
      </w:r>
    </w:p>
    <w:p>
      <w:pPr>
        <w:pStyle w:val="ListNumber"/>
      </w:pPr>
      <w:r>
        <w:rPr>
          <w:b/>
        </w:rPr>
        <w:t>Key actions —</w:t>
      </w:r>
      <w:r>
        <w:t xml:space="preserve"> proceed to Compare &amp; Match.</w:t>
      </w:r>
    </w:p>
    <w:p>
      <w:pPr>
        <w:pStyle w:val="Heading1"/>
      </w:pPr>
      <w:r>
        <w:rPr>
          <w:b/>
          <w:color w:val="C8102E"/>
          <w:sz w:val="30"/>
        </w:rPr>
        <w:t>Screen 4 — Compare &amp; Match</w:t>
      </w:r>
    </w:p>
    <w:p>
      <w:pPr>
        <w:pStyle w:val="ListNumber"/>
      </w:pPr>
      <w:r>
        <w:rPr>
          <w:b/>
        </w:rPr>
        <w:t>Input —</w:t>
      </w:r>
      <w:r>
        <w:t xml:space="preserve"> uses the extracted key fields from the Trade Detail screen.</w:t>
      </w:r>
    </w:p>
    <w:p>
      <w:pPr>
        <w:pStyle w:val="ListNumber"/>
      </w:pPr>
      <w:r>
        <w:t>Compare &amp; Match — two sides are placed side by side:</w:t>
      </w:r>
    </w:p>
    <w:p>
      <w:pPr>
        <w:pStyle w:val="ListBullet2"/>
      </w:pPr>
      <w:r>
        <w:rPr>
          <w:b/>
        </w:rPr>
        <w:t>Counterparty-submitted details —</w:t>
      </w:r>
      <w:r>
        <w:t xml:space="preserve"> from the email.</w:t>
      </w:r>
    </w:p>
    <w:p>
      <w:pPr>
        <w:pStyle w:val="ListBullet2"/>
      </w:pPr>
      <w:r>
        <w:rPr>
          <w:b/>
        </w:rPr>
        <w:t>Bank-booked details —</w:t>
      </w:r>
      <w:r>
        <w:t xml:space="preserve"> from Gloss API.</w:t>
      </w:r>
    </w:p>
    <w:p>
      <w:pPr>
        <w:pStyle w:val="ListNumber"/>
      </w:pPr>
      <w:r>
        <w:rPr>
          <w:b/>
        </w:rPr>
        <w:t>Field-level match —</w:t>
      </w:r>
      <w:r>
        <w:t xml:space="preserve"> the agent matches every field. A full (100%) match shows a tick; anything less is flagged as a mismatch.</w:t>
      </w:r>
    </w:p>
    <w:p>
      <w:pPr>
        <w:pStyle w:val="Heading2"/>
      </w:pPr>
      <w:r>
        <w:rPr>
          <w:b/>
          <w:color w:val="2A2E33"/>
          <w:sz w:val="24"/>
        </w:rPr>
        <w:t>Key actions — Analyst match review</w:t>
      </w:r>
    </w:p>
    <w:p>
      <w:pPr>
        <w:pStyle w:val="ListBullet"/>
      </w:pPr>
      <w:r>
        <w:rPr>
          <w:b/>
        </w:rPr>
        <w:t>Reset Dispute &amp; Override —</w:t>
      </w:r>
      <w:r>
        <w:t xml:space="preserve"> saves the analyst's action with a comment, and updates the audit trail &amp; case audit timeline.</w:t>
      </w:r>
    </w:p>
    <w:p>
      <w:pPr>
        <w:pStyle w:val="ListBullet"/>
      </w:pPr>
      <w:r>
        <w:rPr>
          <w:b/>
        </w:rPr>
        <w:t>Mark as No Booking —</w:t>
      </w:r>
      <w:r>
        <w:t xml:space="preserve"> if the mail has no corresponding booking (all fields mismatch), the analyst can save it as “no booking”.</w:t>
      </w:r>
    </w:p>
    <w:p>
      <w:pPr>
        <w:pStyle w:val="ListBullet"/>
      </w:pPr>
      <w:r>
        <w:rPr>
          <w:b/>
        </w:rPr>
        <w:t>Save Match Review —</w:t>
      </w:r>
      <w:r>
        <w:t xml:space="preserve"> on click, leads to the Next Action step (AI classification → a static message).</w:t>
      </w:r>
    </w:p>
    <w:p>
      <w:pPr>
        <w:pStyle w:val="Heading2"/>
      </w:pPr>
      <w:r>
        <w:rPr>
          <w:b/>
          <w:color w:val="2A2E33"/>
          <w:sz w:val="24"/>
        </w:rPr>
        <w:t>Next Action — Pick an action</w:t>
      </w:r>
    </w:p>
    <w:p>
      <w:pPr>
        <w:pStyle w:val="ListNumber"/>
      </w:pPr>
      <w:r>
        <w:rPr>
          <w:b/>
        </w:rPr>
        <w:t>Chase Counterparty —</w:t>
      </w:r>
      <w:r>
        <w:t xml:space="preserve"> generate an email to the counterparty requesting details.</w:t>
      </w:r>
    </w:p>
    <w:p>
      <w:pPr>
        <w:pStyle w:val="ListNumber"/>
      </w:pPr>
      <w:r>
        <w:rPr>
          <w:b/>
        </w:rPr>
        <w:t>Escalate to MO —</w:t>
      </w:r>
      <w:r>
        <w:t xml:space="preserve"> generate an email to Middle Office requesting details.</w:t>
      </w:r>
    </w:p>
    <w:p>
      <w:pPr>
        <w:pStyle w:val="ListNumber"/>
      </w:pPr>
      <w:r>
        <w:rPr>
          <w:b/>
        </w:rPr>
        <w:t>Escalate to SSI —</w:t>
      </w:r>
      <w:r>
        <w:t xml:space="preserve"> generate an email requesting SSI instructions.</w:t>
      </w:r>
    </w:p>
    <w:p>
      <w:pPr>
        <w:pStyle w:val="ListNumber"/>
      </w:pPr>
      <w:r>
        <w:rPr>
          <w:b/>
        </w:rPr>
        <w:t>Mark as Resolved —</w:t>
      </w:r>
      <w:r>
        <w:t xml:space="preserve"> save and close the flow.</w:t>
      </w:r>
    </w:p>
    <w:p>
      <w:pPr>
        <w:pStyle w:val="Heading2"/>
      </w:pPr>
      <w:r>
        <w:rPr>
          <w:b/>
          <w:color w:val="2A2E33"/>
          <w:sz w:val="24"/>
        </w:rPr>
        <w:t>Supporting</w:t>
      </w:r>
    </w:p>
    <w:p>
      <w:pPr>
        <w:pStyle w:val="ListBullet"/>
      </w:pPr>
      <w:r>
        <w:rPr>
          <w:b/>
        </w:rPr>
        <w:t>Similar Past Cases —</w:t>
      </w:r>
      <w:r>
        <w:t xml:space="preserve"> surfaced via reinforcement learning / RAID logs.</w:t>
      </w:r>
    </w:p>
    <w:p>
      <w:pPr>
        <w:pStyle w:val="ListBullet"/>
      </w:pPr>
      <w:r>
        <w:rPr>
          <w:b/>
        </w:rPr>
        <w:t>Case Audit Timeline —</w:t>
      </w:r>
      <w:r>
        <w:t xml:space="preserve"> every analyst activity on the case is captured with its timestamp.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A2E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