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2E33"/>
          <w:sz w:val="48"/>
        </w:rPr>
        <w:t>Manager Experience — Onboarding Wizard</w:t>
      </w:r>
    </w:p>
    <w:p>
      <w:r>
        <w:rPr>
          <w:i/>
          <w:color w:val="667080"/>
          <w:sz w:val="24"/>
        </w:rPr>
        <w:t>Functional specification · Work Driver Onboarding Wizard (Manager suite)</w:t>
      </w:r>
    </w:p>
    <w:p>
      <w:r>
        <w:t>This document describes the manager-facing flow of the Work Driver Onboarding Wizard, aligned with the Onboarding-Wizard-Manager-Wireframes deck. The manager builds, runs and monitors the wizards that drive OTC settlement matching, across six screens: Wizard List → Run Result → Create New Wizard → Wizard Builder → Dashboard → Reports.</w:t>
      </w:r>
    </w:p>
    <w:p>
      <w:pPr>
        <w:pStyle w:val="Heading1"/>
      </w:pPr>
      <w:r>
        <w:rPr>
          <w:b/>
          <w:color w:val="C8102E"/>
          <w:sz w:val="30"/>
        </w:rPr>
        <w:t>Access &amp; Roles</w:t>
      </w:r>
    </w:p>
    <w:p>
      <w:pPr/>
      <w:r>
        <w:rPr>
          <w:b/>
        </w:rPr>
        <w:t>Sign-in:</w:t>
      </w:r>
      <w:r>
        <w:t xml:space="preserve"> login credentials via SSO.</w:t>
      </w:r>
    </w:p>
    <w:p>
      <w:pPr/>
      <w:r>
        <w:rPr>
          <w:b/>
        </w:rPr>
        <w:t>Access control:</w:t>
      </w:r>
      <w:r>
        <w:t xml:space="preserve"> RBAC — role-based access.</w:t>
      </w:r>
    </w:p>
    <w:p>
      <w:pPr/>
      <w:r>
        <w:rPr>
          <w:b/>
        </w:rPr>
        <w:t>Landing:</w:t>
      </w:r>
      <w:r>
        <w:t xml:space="preserve"> on sign-in, the manager lands on the Onboarding Wizard page (Screen 1).</w:t>
      </w:r>
    </w:p>
    <w:p>
      <w:pPr>
        <w:pStyle w:val="Heading1"/>
      </w:pPr>
      <w:r>
        <w:rPr>
          <w:b/>
          <w:color w:val="C8102E"/>
          <w:sz w:val="30"/>
        </w:rPr>
        <w:t>Screen 1 — Wizard List (Onboarding Wizard page)</w:t>
      </w:r>
    </w:p>
    <w:p>
      <w:pPr>
        <w:pStyle w:val="ListBullet"/>
      </w:pPr>
      <w:r>
        <w:rPr>
          <w:b/>
        </w:rPr>
        <w:t>Search —</w:t>
      </w:r>
      <w:r>
        <w:t xml:space="preserve"> via API; the manager can search across all workdrivers that have been created.</w:t>
      </w:r>
    </w:p>
    <w:p>
      <w:pPr>
        <w:pStyle w:val="ListBullet"/>
      </w:pPr>
      <w:r>
        <w:t>Filters:</w:t>
      </w:r>
    </w:p>
    <w:p>
      <w:pPr>
        <w:pStyle w:val="ListBullet2"/>
      </w:pPr>
      <w:r>
        <w:rPr>
          <w:b/>
        </w:rPr>
        <w:t>Workdriver —</w:t>
      </w:r>
      <w:r>
        <w:t xml:space="preserve"> select the workdriver name from the list (api/workdrivers).</w:t>
      </w:r>
    </w:p>
    <w:p>
      <w:pPr>
        <w:pStyle w:val="ListBullet2"/>
      </w:pPr>
      <w:r>
        <w:rPr>
          <w:b/>
        </w:rPr>
        <w:t>Activity —</w:t>
      </w:r>
      <w:r>
        <w:t xml:space="preserve"> the assigned activity from the list of Agents.</w:t>
      </w:r>
    </w:p>
    <w:p>
      <w:pPr>
        <w:pStyle w:val="ListBullet"/>
      </w:pPr>
      <w:r>
        <w:rPr>
          <w:b/>
        </w:rPr>
        <w:t>New Wizard —</w:t>
      </w:r>
      <w:r>
        <w:t xml:space="preserve"> creates a new wizard via a 4-step process (see Screens 3–4).</w:t>
      </w:r>
    </w:p>
    <w:p>
      <w:pPr>
        <w:pStyle w:val="ListBullet"/>
      </w:pPr>
      <w:r>
        <w:rPr>
          <w:b/>
        </w:rPr>
        <w:t>Two divisions —</w:t>
      </w:r>
      <w:r>
        <w:t xml:space="preserve"> Published and Unpublished workdrivers are shown separately.</w:t>
      </w:r>
    </w:p>
    <w:p>
      <w:pPr>
        <w:pStyle w:val="Heading1"/>
      </w:pPr>
      <w:r>
        <w:rPr>
          <w:b/>
          <w:color w:val="C8102E"/>
          <w:sz w:val="30"/>
        </w:rPr>
        <w:t>Screen 2 — Run Result (on selecting a wizard)</w:t>
      </w:r>
    </w:p>
    <w:p>
      <w:pPr>
        <w:pStyle w:val="ListBullet"/>
      </w:pPr>
      <w:r>
        <w:rPr>
          <w:b/>
        </w:rPr>
        <w:t>Wizard name —</w:t>
      </w:r>
      <w:r>
        <w:t xml:space="preserve"> on selecting a workdriver, the wizard name is populated (e.g. “OTC Allege Wizard”, from the database).</w:t>
      </w:r>
    </w:p>
    <w:p>
      <w:pPr>
        <w:pStyle w:val="ListBullet"/>
      </w:pPr>
      <w:r>
        <w:rPr>
          <w:b/>
        </w:rPr>
        <w:t>Pre-populated —</w:t>
      </w:r>
      <w:r>
        <w:t xml:space="preserve"> BU name and the Activity / Agent to be used.</w:t>
      </w:r>
    </w:p>
    <w:p>
      <w:pPr>
        <w:pStyle w:val="ListBullet"/>
      </w:pPr>
      <w:r>
        <w:rPr>
          <w:b/>
        </w:rPr>
        <w:t>Mailbox &amp; target —</w:t>
      </w:r>
      <w:r>
        <w:t xml:space="preserve"> mailbox from the pre-populated fields, and the target system.</w:t>
      </w:r>
    </w:p>
    <w:p>
      <w:pPr>
        <w:pStyle w:val="ListBullet"/>
      </w:pPr>
      <w:r>
        <w:rPr>
          <w:b/>
        </w:rPr>
        <w:t>Description —</w:t>
      </w:r>
      <w:r>
        <w:t xml:space="preserve"> of the wizard.</w:t>
      </w:r>
    </w:p>
    <w:p>
      <w:pPr>
        <w:pStyle w:val="ListBullet"/>
      </w:pPr>
      <w:r>
        <w:rPr>
          <w:b/>
        </w:rPr>
        <w:t>Comparison Result —</w:t>
      </w:r>
      <w:r>
        <w:t xml:space="preserve"> reference (dummy) data that demonstrates the capability on a sample trade.</w:t>
      </w:r>
    </w:p>
    <w:p>
      <w:pPr>
        <w:pStyle w:val="ListBullet"/>
      </w:pPr>
      <w:r>
        <w:rPr>
          <w:b/>
        </w:rPr>
        <w:t>Options —</w:t>
      </w:r>
      <w:r>
        <w:t xml:space="preserve"> Edit (API to update / modify the wizard).</w:t>
      </w:r>
    </w:p>
    <w:p>
      <w:pPr>
        <w:pStyle w:val="Heading1"/>
      </w:pPr>
      <w:r>
        <w:rPr>
          <w:b/>
          <w:color w:val="C8102E"/>
          <w:sz w:val="30"/>
        </w:rPr>
        <w:t>Screen 3 — Create New Wizard</w:t>
      </w:r>
    </w:p>
    <w:p>
      <w:pPr>
        <w:pStyle w:val="ListBullet"/>
      </w:pPr>
      <w:r>
        <w:rPr>
          <w:b/>
        </w:rPr>
        <w:t>Trigger —</w:t>
      </w:r>
      <w:r>
        <w:t xml:space="preserve"> on clicking “New Wizard” → api/new-wizard/create.</w:t>
      </w:r>
    </w:p>
    <w:p>
      <w:pPr>
        <w:pStyle w:val="ListBullet"/>
      </w:pPr>
      <w:r>
        <w:rPr>
          <w:b/>
        </w:rPr>
        <w:t>Starting point —</w:t>
      </w:r>
      <w:r>
        <w:t xml:space="preserve"> create a brand-new wizard, or copy &amp; edit an existing one — populated via API.</w:t>
      </w:r>
    </w:p>
    <w:p>
      <w:pPr>
        <w:pStyle w:val="ListBullet"/>
      </w:pPr>
      <w:r>
        <w:rPr>
          <w:b/>
        </w:rPr>
        <w:t>Workdriver —</w:t>
      </w:r>
      <w:r>
        <w:t xml:space="preserve"> all workdrivers are populated from api/workdrivers (select one).</w:t>
      </w:r>
    </w:p>
    <w:p>
      <w:pPr>
        <w:pStyle w:val="ListBullet"/>
      </w:pPr>
      <w:r>
        <w:rPr>
          <w:b/>
        </w:rPr>
        <w:t>Start —</w:t>
      </w:r>
      <w:r>
        <w:t xml:space="preserve"> begins the creation workflow and opens the Wizard Builder.</w:t>
      </w:r>
    </w:p>
    <w:p>
      <w:pPr>
        <w:pStyle w:val="Heading1"/>
      </w:pPr>
      <w:r>
        <w:rPr>
          <w:b/>
          <w:color w:val="C8102E"/>
          <w:sz w:val="30"/>
        </w:rPr>
        <w:t>Screen 4 — Wizard Builder (4-step)</w:t>
      </w:r>
    </w:p>
    <w:p>
      <w:pPr>
        <w:pStyle w:val="Heading2"/>
      </w:pPr>
      <w:r>
        <w:rPr>
          <w:b/>
          <w:color w:val="2A2E33"/>
          <w:sz w:val="24"/>
        </w:rPr>
        <w:t>Step 1 — Define</w:t>
      </w:r>
    </w:p>
    <w:p>
      <w:pPr>
        <w:pStyle w:val="ListBullet"/>
      </w:pPr>
      <w:r>
        <w:rPr>
          <w:b/>
        </w:rPr>
        <w:t>Fields —</w:t>
      </w:r>
      <w:r>
        <w:t xml:space="preserve"> Name, Description, BU, Sub BU, Activity, Workdriver.</w:t>
      </w:r>
    </w:p>
    <w:p>
      <w:pPr>
        <w:pStyle w:val="ListBullet"/>
      </w:pPr>
      <w:r>
        <w:rPr>
          <w:b/>
        </w:rPr>
        <w:t>Mandatory —</w:t>
      </w:r>
      <w:r>
        <w:t xml:space="preserve"> Name and Activity.</w:t>
      </w:r>
    </w:p>
    <w:p>
      <w:pPr>
        <w:pStyle w:val="ListBullet"/>
      </w:pPr>
      <w:r>
        <w:rPr>
          <w:b/>
        </w:rPr>
        <w:t>Workflow —</w:t>
      </w:r>
      <w:r>
        <w:t xml:space="preserve"> to be confirmed.</w:t>
      </w:r>
    </w:p>
    <w:p>
      <w:pPr>
        <w:pStyle w:val="Heading2"/>
      </w:pPr>
      <w:r>
        <w:rPr>
          <w:b/>
          <w:color w:val="2A2E33"/>
          <w:sz w:val="24"/>
        </w:rPr>
        <w:t>Step 2 — Input Sources</w:t>
      </w:r>
    </w:p>
    <w:p>
      <w:pPr>
        <w:pStyle w:val="ListBullet"/>
      </w:pPr>
      <w:r>
        <w:rPr>
          <w:b/>
        </w:rPr>
        <w:t>Input format —</w:t>
      </w:r>
      <w:r>
        <w:t xml:space="preserve"> the list of allowed formats.</w:t>
      </w:r>
    </w:p>
    <w:p>
      <w:pPr>
        <w:pStyle w:val="ListBullet"/>
      </w:pPr>
      <w:r>
        <w:rPr>
          <w:b/>
        </w:rPr>
        <w:t>Frequency —</w:t>
      </w:r>
      <w:r>
        <w:t xml:space="preserve"> hourly / daily / monthly / yearly.</w:t>
      </w:r>
    </w:p>
    <w:p>
      <w:pPr>
        <w:pStyle w:val="ListBullet"/>
      </w:pPr>
      <w:r>
        <w:rPr>
          <w:b/>
        </w:rPr>
        <w:t>Mailbox —</w:t>
      </w:r>
      <w:r>
        <w:t xml:space="preserve"> the configured address; the input is captured in the database.</w:t>
      </w:r>
    </w:p>
    <w:p>
      <w:r>
        <w:t>E-mail identification rules:</w:t>
      </w:r>
    </w:p>
    <w:p>
      <w:pPr>
        <w:pStyle w:val="ListBullet2"/>
      </w:pPr>
      <w:r>
        <w:rPr>
          <w:b/>
        </w:rPr>
        <w:t>Email identification —</w:t>
      </w:r>
      <w:r>
        <w:t xml:space="preserve"> mandatory field.</w:t>
      </w:r>
    </w:p>
    <w:p>
      <w:pPr>
        <w:pStyle w:val="ListBullet2"/>
      </w:pPr>
      <w:r>
        <w:rPr>
          <w:b/>
        </w:rPr>
        <w:t>Context of email to filter —</w:t>
      </w:r>
      <w:r>
        <w:t xml:space="preserve"> uses the context parser, called via Graph API.</w:t>
      </w:r>
    </w:p>
    <w:p>
      <w:pPr>
        <w:pStyle w:val="ListBullet2"/>
      </w:pPr>
      <w:r>
        <w:rPr>
          <w:b/>
        </w:rPr>
        <w:t>Keywords present —</w:t>
      </w:r>
      <w:r>
        <w:t xml:space="preserve"> stored in the database; used by the agent to perform actions.</w:t>
      </w:r>
    </w:p>
    <w:p>
      <w:pPr>
        <w:pStyle w:val="ListBullet2"/>
      </w:pPr>
      <w:r>
        <w:rPr>
          <w:b/>
        </w:rPr>
        <w:t>Subject line —</w:t>
      </w:r>
      <w:r>
        <w:t xml:space="preserve"> e.g. “FX Ops Settlement”.</w:t>
      </w:r>
    </w:p>
    <w:p>
      <w:pPr>
        <w:pStyle w:val="ListBullet2"/>
      </w:pPr>
      <w:r>
        <w:rPr>
          <w:b/>
        </w:rPr>
        <w:t>Specific sender to filter —</w:t>
      </w:r>
      <w:r>
        <w:t xml:space="preserve"> e.g. xx@bank1.com.</w:t>
      </w:r>
    </w:p>
    <w:p>
      <w:pPr>
        <w:pStyle w:val="ListBullet2"/>
      </w:pPr>
      <w:r>
        <w:rPr>
          <w:b/>
        </w:rPr>
        <w:t>Exclusion mails —</w:t>
      </w:r>
      <w:r>
        <w:t xml:space="preserve"> OOO and other irrelevant mails.</w:t>
      </w:r>
    </w:p>
    <w:p>
      <w:pPr>
        <w:pStyle w:val="ListBullet"/>
      </w:pPr>
      <w:r>
        <w:rPr>
          <w:b/>
        </w:rPr>
        <w:t>Next —</w:t>
      </w:r>
      <w:r>
        <w:t xml:space="preserve"> on click, the step is saved and the flow moves on.</w:t>
      </w:r>
    </w:p>
    <w:p>
      <w:pPr>
        <w:pStyle w:val="Heading2"/>
      </w:pPr>
      <w:r>
        <w:rPr>
          <w:b/>
          <w:color w:val="2A2E33"/>
          <w:sz w:val="24"/>
        </w:rPr>
        <w:t>Step 3 — Input Fields &amp; Target Mapping</w:t>
      </w:r>
    </w:p>
    <w:p>
      <w:pPr>
        <w:pStyle w:val="ListBullet"/>
      </w:pPr>
      <w:r>
        <w:rPr>
          <w:b/>
        </w:rPr>
        <w:t>Retrieve —</w:t>
      </w:r>
      <w:r>
        <w:t xml:space="preserve"> the fields from the database and map them to the target system using the trade fields.</w:t>
      </w:r>
    </w:p>
    <w:p>
      <w:pPr>
        <w:pStyle w:val="ListBullet"/>
      </w:pPr>
      <w:r>
        <w:rPr>
          <w:b/>
        </w:rPr>
        <w:t>Map —</w:t>
      </w:r>
      <w:r>
        <w:t xml:space="preserve"> correctly, using the drill-down filters.</w:t>
      </w:r>
    </w:p>
    <w:p>
      <w:pPr>
        <w:pStyle w:val="ListBullet"/>
      </w:pPr>
      <w:r>
        <w:rPr>
          <w:b/>
        </w:rPr>
        <w:t>Next —</w:t>
      </w:r>
      <w:r>
        <w:t xml:space="preserve"> saves progress and moves to Step 4.</w:t>
      </w:r>
    </w:p>
    <w:p>
      <w:pPr>
        <w:pStyle w:val="Heading2"/>
      </w:pPr>
      <w:r>
        <w:rPr>
          <w:b/>
          <w:color w:val="2A2E33"/>
          <w:sz w:val="24"/>
        </w:rPr>
        <w:t>Step 4 — Review &amp; Run</w:t>
      </w:r>
    </w:p>
    <w:p>
      <w:pPr>
        <w:pStyle w:val="ListBullet"/>
      </w:pPr>
      <w:r>
        <w:rPr>
          <w:b/>
        </w:rPr>
        <w:t>Review —</w:t>
      </w:r>
      <w:r>
        <w:t xml:space="preserve"> shows all the fields created across the previous steps.</w:t>
      </w:r>
    </w:p>
    <w:p>
      <w:pPr>
        <w:pStyle w:val="ListBullet"/>
      </w:pPr>
      <w:r>
        <w:rPr>
          <w:b/>
        </w:rPr>
        <w:t>History —</w:t>
      </w:r>
      <w:r>
        <w:t xml:space="preserve"> the history activity is displayed.</w:t>
      </w:r>
    </w:p>
    <w:p>
      <w:pPr>
        <w:pStyle w:val="ListBullet"/>
      </w:pPr>
      <w:r>
        <w:rPr>
          <w:b/>
        </w:rPr>
        <w:t>Assigned users —</w:t>
      </w:r>
      <w:r>
        <w:t xml:space="preserve"> a function to show the users assigned to the wizard.</w:t>
      </w:r>
    </w:p>
    <w:p>
      <w:pPr>
        <w:pStyle w:val="ListBullet"/>
      </w:pPr>
      <w:r>
        <w:rPr>
          <w:b/>
        </w:rPr>
        <w:t>Run —</w:t>
      </w:r>
      <w:r>
        <w:t xml:space="preserve"> on click, the workflow is created and stamped with a version.</w:t>
      </w:r>
    </w:p>
    <w:p>
      <w:pPr>
        <w:pStyle w:val="ListBullet"/>
      </w:pPr>
      <w:r>
        <w:rPr>
          <w:b/>
        </w:rPr>
        <w:t>Back —</w:t>
      </w:r>
      <w:r>
        <w:t xml:space="preserve"> a Back button is available throughout, so the manager can always step back.</w:t>
      </w:r>
    </w:p>
    <w:p>
      <w:pPr>
        <w:pStyle w:val="Heading1"/>
      </w:pPr>
      <w:r>
        <w:rPr>
          <w:b/>
          <w:color w:val="C8102E"/>
          <w:sz w:val="30"/>
        </w:rPr>
        <w:t>Screen 5 — Dashboard</w:t>
      </w:r>
    </w:p>
    <w:p>
      <w:pPr>
        <w:pStyle w:val="ListBullet"/>
      </w:pPr>
      <w:r>
        <w:rPr>
          <w:b/>
        </w:rPr>
        <w:t>Widgets / KPIs —</w:t>
      </w:r>
      <w:r>
        <w:t xml:space="preserve"> per-workdriver tiles; on-click drill-down into a workdriver (e.g. average time to action, SLA breaches, AI-override status).</w:t>
      </w:r>
    </w:p>
    <w:p>
      <w:pPr>
        <w:pStyle w:val="ListBullet"/>
      </w:pPr>
      <w:r>
        <w:rPr>
          <w:b/>
        </w:rPr>
        <w:t>Unactioned items by Analyst —</w:t>
      </w:r>
      <w:r>
        <w:t xml:space="preserve"> populated by an API call per analyst: their total pending items, the oldest alert (by activity), the total time elapsed, and a manager action (nudge / remind).</w:t>
      </w:r>
    </w:p>
    <w:p>
      <w:pPr>
        <w:pStyle w:val="ListBullet"/>
      </w:pPr>
      <w:r>
        <w:rPr>
          <w:b/>
        </w:rPr>
        <w:t>SLA breaches —</w:t>
      </w:r>
      <w:r>
        <w:t xml:space="preserve"> listed for the manager, with an escalate-to-me action.</w:t>
      </w:r>
    </w:p>
    <w:p>
      <w:pPr>
        <w:pStyle w:val="Heading1"/>
      </w:pPr>
      <w:r>
        <w:rPr>
          <w:b/>
          <w:color w:val="C8102E"/>
          <w:sz w:val="30"/>
        </w:rPr>
        <w:t>Screen 6 — Reports</w:t>
      </w:r>
    </w:p>
    <w:p>
      <w:r>
        <w:t>(Added to align with the wireframe deck.)</w:t>
      </w:r>
    </w:p>
    <w:p>
      <w:pPr>
        <w:pStyle w:val="ListBullet"/>
      </w:pPr>
      <w:r>
        <w:rPr>
          <w:b/>
        </w:rPr>
        <w:t>Daily break summary —</w:t>
      </w:r>
      <w:r>
        <w:t xml:space="preserve"> by counterparty, with Excel export.</w:t>
      </w:r>
    </w:p>
    <w:p>
      <w:pPr>
        <w:pStyle w:val="ListBullet"/>
      </w:pPr>
      <w:r>
        <w:rPr>
          <w:b/>
        </w:rPr>
        <w:t>Weekly Trend Report —</w:t>
      </w:r>
      <w:r>
        <w:t xml:space="preserve"> with the Top-5 root causes, and Export.</w:t>
      </w:r>
    </w:p>
    <w:p>
      <w:pPr>
        <w:pStyle w:val="ListBullet"/>
      </w:pPr>
      <w:r>
        <w:rPr>
          <w:b/>
        </w:rPr>
        <w:t>Counterparty fail league table —</w:t>
      </w:r>
      <w:r>
        <w:t xml:space="preserve"> rank · counterparty · total fails · common reason · average resolution, with Export.</w:t>
      </w:r>
    </w:p>
    <w:p>
      <w:pPr>
        <w:pStyle w:val="Heading1"/>
      </w:pPr>
      <w:r>
        <w:rPr>
          <w:b/>
          <w:color w:val="C8102E"/>
          <w:sz w:val="30"/>
        </w:rPr>
        <w:t>Notes</w:t>
      </w:r>
    </w:p>
    <w:p>
      <w:pPr>
        <w:pStyle w:val="ListBullet"/>
      </w:pPr>
      <w:r>
        <w:rPr>
          <w:b/>
        </w:rPr>
        <w:t>Alignment —</w:t>
      </w:r>
      <w:r>
        <w:t xml:space="preserve"> Reports (Screen 6) and the SLA-breach / per-workdriver drill-down on the Dashboard were added to match the Onboarding-Wizard-Manager wireframe deck.</w:t>
      </w:r>
    </w:p>
    <w:p>
      <w:pPr>
        <w:pStyle w:val="ListBullet"/>
      </w:pPr>
      <w:r>
        <w:rPr>
          <w:b/>
        </w:rPr>
        <w:t>Builder steps —</w:t>
      </w:r>
      <w:r>
        <w:t xml:space="preserve"> the wizard builder is documented as a 4-step process per this spec; the wireframe splits “Target &amp; Mapping” into its own step, so the same content maps to a 5-step stepper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E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