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9A24C" w14:textId="77777777" w:rsidR="00DC2600" w:rsidRDefault="00A0722F">
      <w:pPr>
        <w:spacing w:before="200" w:after="100"/>
        <w:jc w:val="center"/>
      </w:pPr>
      <w:r>
        <w:rPr>
          <w:b/>
          <w:bCs/>
          <w:color w:val="1F3864"/>
          <w:sz w:val="48"/>
          <w:szCs w:val="48"/>
        </w:rPr>
        <w:t>Minutes of Meeting</w:t>
      </w:r>
    </w:p>
    <w:p w14:paraId="0714155B" w14:textId="77777777" w:rsidR="00DC2600" w:rsidRDefault="00A0722F">
      <w:pPr>
        <w:spacing w:before="60" w:after="300"/>
        <w:jc w:val="center"/>
      </w:pPr>
      <w:r>
        <w:rPr>
          <w:i/>
          <w:iCs/>
          <w:color w:val="2E4D91"/>
          <w:sz w:val="26"/>
          <w:szCs w:val="26"/>
        </w:rPr>
        <w:t>AI Compare &amp; Match Project — Kick-off / Status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C2600" w14:paraId="0753C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3EC12" w14:textId="77777777" w:rsidR="00DC2600" w:rsidRDefault="00A0722F">
            <w:r>
              <w:rPr>
                <w:b/>
                <w:bCs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483A" w14:textId="0C89FC6E" w:rsidR="00DC2600" w:rsidRDefault="00A0722F">
            <w:r>
              <w:t>21.05.2026</w:t>
            </w:r>
          </w:p>
        </w:tc>
      </w:tr>
    </w:tbl>
    <w:p w14:paraId="28DF8DD5" w14:textId="77777777" w:rsidR="00DC2600" w:rsidRDefault="00DC2600">
      <w:pPr>
        <w:spacing w:before="240"/>
      </w:pPr>
    </w:p>
    <w:p w14:paraId="2350DFE0" w14:textId="77777777" w:rsidR="00DC2600" w:rsidRDefault="00A0722F">
      <w:pPr>
        <w:pStyle w:val="Heading1"/>
        <w:pBdr>
          <w:bottom w:val="single" w:sz="6" w:space="1" w:color="1F3864"/>
        </w:pBdr>
      </w:pPr>
      <w:r>
        <w:t>1. Purpose &amp; Context</w:t>
      </w:r>
    </w:p>
    <w:p w14:paraId="70A95064" w14:textId="49B128E4" w:rsidR="00DC2600" w:rsidRDefault="00A0722F">
      <w:pPr>
        <w:spacing w:before="60" w:after="60"/>
      </w:pPr>
      <w:r>
        <w:t xml:space="preserve"> The session aimed to review progress made over the past month, align on the technical approach for the AI-powered Compare &amp; Match solution, and discuss tooling feasibility.</w:t>
      </w:r>
    </w:p>
    <w:p w14:paraId="2A7DF920" w14:textId="77777777" w:rsidR="00DC2600" w:rsidRDefault="00DC2600">
      <w:pPr>
        <w:spacing w:before="120"/>
      </w:pPr>
    </w:p>
    <w:p w14:paraId="3DCB1093" w14:textId="77777777" w:rsidR="00DC2600" w:rsidRDefault="00A0722F">
      <w:pPr>
        <w:pStyle w:val="Heading1"/>
        <w:pBdr>
          <w:bottom w:val="single" w:sz="6" w:space="1" w:color="1F3864"/>
        </w:pBdr>
      </w:pPr>
      <w:r>
        <w:t>2. Progress Update</w:t>
      </w:r>
    </w:p>
    <w:p w14:paraId="3247A9F9" w14:textId="77777777" w:rsidR="00DC2600" w:rsidRDefault="00A0722F">
      <w:pPr>
        <w:spacing w:before="60" w:after="60"/>
      </w:pPr>
      <w:r>
        <w:t>The following progress was noted since the last engagement:</w:t>
      </w:r>
    </w:p>
    <w:p w14:paraId="025095BE" w14:textId="560D2C94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The Protiviti</w:t>
      </w:r>
      <w:r>
        <w:t xml:space="preserve"> team has been working with Nomura operations users for approximately one month.</w:t>
      </w:r>
    </w:p>
    <w:p w14:paraId="688D5D28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 detailed Business Requirements Document (BRD) has been drafted covering the pilot phase, with a focus on the OTC settlement use cases (allergies/pre-matching around OTC settlement areas).</w:t>
      </w:r>
    </w:p>
    <w:p w14:paraId="123BBE26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The BRD is ready for sharing but cannot be emailed until the contract is signed. Distribution is expected next week, subject to contract execution.</w:t>
      </w:r>
    </w:p>
    <w:p w14:paraId="18FA7087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 xml:space="preserve">Satya will assist in expanding the scope beyond the initial pilot once </w:t>
      </w:r>
      <w:proofErr w:type="gramStart"/>
      <w:r>
        <w:t>onboarded, and</w:t>
      </w:r>
      <w:proofErr w:type="gramEnd"/>
      <w:r>
        <w:t xml:space="preserve"> will support testing activities.</w:t>
      </w:r>
    </w:p>
    <w:p w14:paraId="5ABBB1C6" w14:textId="0E18F93B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Akshit</w:t>
      </w:r>
      <w:r>
        <w:t xml:space="preserve"> and Manav have already begun building core solution components (ingestion, unstructured-to-structured conversion, compare &amp; match) using agentic AI techniques — independently of the final tooling decision.</w:t>
      </w:r>
    </w:p>
    <w:p w14:paraId="6D9FE4C0" w14:textId="77777777" w:rsidR="00DC2600" w:rsidRDefault="00DC2600">
      <w:pPr>
        <w:spacing w:before="120"/>
      </w:pPr>
    </w:p>
    <w:p w14:paraId="2A178234" w14:textId="77777777" w:rsidR="00DC2600" w:rsidRDefault="00A0722F">
      <w:pPr>
        <w:pStyle w:val="Heading1"/>
        <w:pBdr>
          <w:bottom w:val="single" w:sz="6" w:space="1" w:color="1F3864"/>
        </w:pBdr>
      </w:pPr>
      <w:r>
        <w:t>3. Tooling Feasibility Analysis</w:t>
      </w:r>
    </w:p>
    <w:p w14:paraId="62EAC075" w14:textId="77777777" w:rsidR="00DC2600" w:rsidRDefault="00A0722F">
      <w:pPr>
        <w:spacing w:before="60" w:after="60"/>
      </w:pPr>
      <w:r>
        <w:t>Amit presented an overview of the tools currently under evaluation. Three platforms are being explored:</w:t>
      </w:r>
    </w:p>
    <w:p w14:paraId="62E631DA" w14:textId="77777777" w:rsidR="00DC2600" w:rsidRDefault="00A0722F">
      <w:pPr>
        <w:pStyle w:val="Heading2"/>
      </w:pPr>
      <w:r>
        <w:t>3.1 ServiceNow (Now Assist)</w:t>
      </w:r>
    </w:p>
    <w:p w14:paraId="341360DF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ServiceNow is currently top of the list as Nomura already uses it heavily for settlements, confirmations, and workflow management.</w:t>
      </w:r>
    </w:p>
    <w:p w14:paraId="66781B55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The Now Assist AI layer would be leveraged to build capabilities including email ingestion and classification within the existing ServiceNow framework.</w:t>
      </w:r>
    </w:p>
    <w:p w14:paraId="28BD814B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 xml:space="preserve">ServiceNow does not provide ready-made tools — a custom </w:t>
      </w:r>
      <w:proofErr w:type="gramStart"/>
      <w:r>
        <w:t>build</w:t>
      </w:r>
      <w:proofErr w:type="gramEnd"/>
      <w:r>
        <w:t xml:space="preserve"> within their framework will be required.</w:t>
      </w:r>
    </w:p>
    <w:p w14:paraId="0915E5ED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Nomura will raise a New Technology Initiative (NTI) request internally to begin the proof of concept (POC) process.</w:t>
      </w:r>
    </w:p>
    <w:p w14:paraId="28227A1C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ServiceNow is expected to provide technical guidance rather than dedicated developers for the POC.</w:t>
      </w:r>
    </w:p>
    <w:p w14:paraId="4DB342D0" w14:textId="77777777" w:rsidR="00DC2600" w:rsidRDefault="00A0722F">
      <w:pPr>
        <w:pStyle w:val="Heading2"/>
      </w:pPr>
      <w:r>
        <w:t>3.2 AWS Bedrock</w:t>
      </w:r>
    </w:p>
    <w:p w14:paraId="7116F9B4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AWS is being explored for data extraction and document comparison/matching capabilities.</w:t>
      </w:r>
    </w:p>
    <w:p w14:paraId="19766DEC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AWS Bedrock provides a framework (Lambda, Python scripts, etc.) — custom development will still be required.</w:t>
      </w:r>
    </w:p>
    <w:p w14:paraId="6F63B034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Nomura met with AWS representatives two days prior. Details on end-to-end coverage are still pending.</w:t>
      </w:r>
    </w:p>
    <w:p w14:paraId="5E6BA0F1" w14:textId="77777777" w:rsidR="00DC2600" w:rsidRDefault="00A0722F">
      <w:pPr>
        <w:pStyle w:val="Heading2"/>
      </w:pPr>
      <w:r>
        <w:t>3.3 Microsoft 365 / Graph API</w:t>
      </w:r>
    </w:p>
    <w:p w14:paraId="620A26AC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Microsoft 365 Graph API is under consideration for email ingestion and classification.</w:t>
      </w:r>
    </w:p>
    <w:p w14:paraId="3A7A8E9E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One tool from the M365 suite is being assessed.</w:t>
      </w:r>
    </w:p>
    <w:p w14:paraId="0ABE2017" w14:textId="77777777" w:rsidR="00DC2600" w:rsidRDefault="00A0722F">
      <w:pPr>
        <w:pStyle w:val="Heading2"/>
      </w:pPr>
      <w:r>
        <w:t>3.4 In-House / Hybrid Approach</w:t>
      </w:r>
    </w:p>
    <w:p w14:paraId="3AE1B9EB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If no single tool addresses all requirements, a hybrid model will be adopted: vendor frameworks combined with in-house built components.</w:t>
      </w:r>
    </w:p>
    <w:p w14:paraId="00A6429E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The final architecture is expected to be clarified within the next one to two weeks.</w:t>
      </w:r>
    </w:p>
    <w:p w14:paraId="05565D80" w14:textId="77777777" w:rsidR="00DC2600" w:rsidRDefault="00DC2600">
      <w:pPr>
        <w:spacing w:before="120"/>
      </w:pPr>
    </w:p>
    <w:p w14:paraId="5D4DB085" w14:textId="77777777" w:rsidR="00DC2600" w:rsidRDefault="00A0722F">
      <w:pPr>
        <w:pStyle w:val="Heading1"/>
        <w:pBdr>
          <w:bottom w:val="single" w:sz="6" w:space="1" w:color="1F3864"/>
        </w:pBdr>
      </w:pPr>
      <w:r>
        <w:t>4. Solution Architecture Discussion</w:t>
      </w:r>
    </w:p>
    <w:p w14:paraId="0879CC6C" w14:textId="77777777" w:rsidR="00DC2600" w:rsidRDefault="00A0722F">
      <w:pPr>
        <w:spacing w:before="60" w:after="60"/>
      </w:pPr>
      <w:r>
        <w:t>Mayur presented a diagram outlining the proposed solution architecture. Key discussion points:</w:t>
      </w:r>
    </w:p>
    <w:p w14:paraId="43A40741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Ingestion Layer: Must handle all incoming data types — emails (with attachments, with inline screenshots), TRAMP feeds, and system feeds. The target is a universal ingestion utility.</w:t>
      </w:r>
    </w:p>
    <w:p w14:paraId="06B70F0D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Unstructured to Structured Conversion: The first processing step after ingestion, irrespective of hosting platform.</w:t>
      </w:r>
    </w:p>
    <w:p w14:paraId="37C90F4F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Intent Tagging: AI to classify emails by intent using keywords and context. For example, from 100 emails, 20 may be tagged as a specific process type.</w:t>
      </w:r>
    </w:p>
    <w:p w14:paraId="375D1C45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 xml:space="preserve">Compare &amp; Match: Fuzzy logic </w:t>
      </w:r>
      <w:proofErr w:type="gramStart"/>
      <w:r>
        <w:t>matching of</w:t>
      </w:r>
      <w:proofErr w:type="gramEnd"/>
      <w:r>
        <w:t xml:space="preserve"> extracted structured data against source/target systems via MCPs or APIs. Each process will have defined fields to match.</w:t>
      </w:r>
    </w:p>
    <w:p w14:paraId="0A12635A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Scalability by Design: The architecture is designed to start with a small POC (e.g., 5 scenarios/work drivers) and scale up by simply adding new keyword sets, contexts, and target system mappings.</w:t>
      </w:r>
    </w:p>
    <w:p w14:paraId="7E7A36D4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Admin Interface: A configuration interface is required to manage keyword mappings, context definitions, and target systems — avoiding hardcoded configurations.</w:t>
      </w:r>
    </w:p>
    <w:p w14:paraId="319659A1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Human-in-the-Loop: Screens will be required for analysts to review, approve, or reject AI recommendations, with full audit logging — preferred platform for these screens is ServiceNow.</w:t>
      </w:r>
    </w:p>
    <w:p w14:paraId="6FF93DA4" w14:textId="77777777" w:rsidR="00DC2600" w:rsidRDefault="00A0722F">
      <w:pPr>
        <w:spacing w:before="60" w:after="60"/>
      </w:pPr>
      <w:r>
        <w:t>Estimated data volumes at POC level:</w:t>
      </w:r>
    </w:p>
    <w:p w14:paraId="47BEB9B5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Email ingestion: ~300–400 emails per cycle, with 4 cycles every 3 hours.</w:t>
      </w:r>
    </w:p>
    <w:p w14:paraId="7AE73BC7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Trade data: ~4,000–</w:t>
      </w:r>
      <w:proofErr w:type="gramStart"/>
      <w:r>
        <w:t>5,000 line</w:t>
      </w:r>
      <w:proofErr w:type="gramEnd"/>
      <w:r>
        <w:t xml:space="preserve"> items (Excel).</w:t>
      </w:r>
    </w:p>
    <w:p w14:paraId="13ED3822" w14:textId="77777777" w:rsidR="00DC2600" w:rsidRDefault="00DC2600">
      <w:pPr>
        <w:spacing w:before="120"/>
      </w:pPr>
    </w:p>
    <w:p w14:paraId="0E8F2721" w14:textId="77777777" w:rsidR="00DC2600" w:rsidRDefault="00A0722F">
      <w:pPr>
        <w:pStyle w:val="Heading1"/>
        <w:pBdr>
          <w:bottom w:val="single" w:sz="6" w:space="1" w:color="1F3864"/>
        </w:pBdr>
      </w:pPr>
      <w:r>
        <w:lastRenderedPageBreak/>
        <w:t>5. Onboarding &amp; Access Requirements</w:t>
      </w:r>
    </w:p>
    <w:p w14:paraId="24DCC800" w14:textId="47B8431C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The Protiviti</w:t>
      </w:r>
      <w:r>
        <w:t xml:space="preserve"> team (4 resources) will be engaged as Contingent Workers (CWRs) on-site at Nomura in a hybrid model — they will have access to Nomura's environment.</w:t>
      </w:r>
    </w:p>
    <w:p w14:paraId="44F16584" w14:textId="4EB7156D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The NTI process is entirely internal to Nomura; Protiviti</w:t>
      </w:r>
      <w:r>
        <w:t xml:space="preserve"> has no action items on this until they are onboarded.</w:t>
      </w:r>
    </w:p>
    <w:p w14:paraId="7BD057A9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Post-contract signing, an onboarding process will create system IDs and provision access to internal applications (IACs, service accounts, etc.).</w:t>
      </w:r>
    </w:p>
    <w:p w14:paraId="02BFDF04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Mayur and Amit are working internally to ensure sufficient ServiceNow licenses are provisioned ahead of the team's arrival.</w:t>
      </w:r>
    </w:p>
    <w:p w14:paraId="15DB503B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 xml:space="preserve">Until the contract is signed and resources are formally </w:t>
      </w:r>
      <w:proofErr w:type="gramStart"/>
      <w:r>
        <w:t>onboarded</w:t>
      </w:r>
      <w:proofErr w:type="gramEnd"/>
      <w:r>
        <w:t>, no access provisioning actions can proceed.</w:t>
      </w:r>
    </w:p>
    <w:p w14:paraId="19A1AE9F" w14:textId="024F823B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Protiviti</w:t>
      </w:r>
      <w:r>
        <w:t xml:space="preserve">'s team profiles will be shared with the </w:t>
      </w:r>
      <w:r>
        <w:t xml:space="preserve">Nomura team </w:t>
      </w:r>
    </w:p>
    <w:p w14:paraId="6AB4C34E" w14:textId="77777777" w:rsidR="00DC2600" w:rsidRDefault="00DC2600">
      <w:pPr>
        <w:spacing w:before="120"/>
      </w:pPr>
    </w:p>
    <w:p w14:paraId="33B5745C" w14:textId="77777777" w:rsidR="00DC2600" w:rsidRDefault="00A0722F">
      <w:pPr>
        <w:pStyle w:val="Heading1"/>
        <w:pBdr>
          <w:bottom w:val="single" w:sz="6" w:space="1" w:color="1F3864"/>
        </w:pBdr>
      </w:pPr>
      <w:r>
        <w:t>6. Pre-Onboarding Parallel Activities</w:t>
      </w:r>
    </w:p>
    <w:p w14:paraId="533DABE9" w14:textId="54E5E3FD" w:rsidR="00DC2600" w:rsidRDefault="00A0722F">
      <w:pPr>
        <w:spacing w:before="60" w:after="60"/>
      </w:pPr>
      <w:r>
        <w:t>The following activities can proceed in parallel while the contract is being finalized</w:t>
      </w:r>
      <w:r>
        <w:t>:</w:t>
      </w:r>
    </w:p>
    <w:p w14:paraId="7FF8F636" w14:textId="6EF0467E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Protiviti</w:t>
      </w:r>
      <w:r>
        <w:t xml:space="preserve"> (Akshit</w:t>
      </w:r>
      <w:r>
        <w:t xml:space="preserve"> &amp; Manav) to continue building core components (ingestion, conversion, compare &amp; match) in their own environment using their own infrastructure.</w:t>
      </w:r>
    </w:p>
    <w:p w14:paraId="0D0A7D64" w14:textId="7698551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As components are developed, Protiviti</w:t>
      </w:r>
      <w:r>
        <w:t xml:space="preserve"> to share details of libraries and functionalities used, so Mayur can verify availability within Nomura's environment (e.g., TensorFlow usage constraints).</w:t>
      </w:r>
    </w:p>
    <w:p w14:paraId="66791DE6" w14:textId="5D5869AB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Once Nomura confirms the hosting platform and tooling, Protiviti</w:t>
      </w:r>
      <w:r>
        <w:t xml:space="preserve"> will replicate the solution in the Nomura environment.</w:t>
      </w:r>
    </w:p>
    <w:p w14:paraId="4F7CDFB7" w14:textId="15A3AE72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 joint call to be scheduled (Monday or Tuesday) including the Protiviti</w:t>
      </w:r>
      <w:r>
        <w:t xml:space="preserve"> team, Brett, and IT partners to discuss requirements in detail and explore access to ServiceNow modules.</w:t>
      </w:r>
    </w:p>
    <w:p w14:paraId="049F3D2F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 xml:space="preserve">Gautam to provide </w:t>
      </w:r>
      <w:proofErr w:type="gramStart"/>
      <w:r>
        <w:t>Brett</w:t>
      </w:r>
      <w:proofErr w:type="gramEnd"/>
      <w:r>
        <w:t xml:space="preserve"> a heads-up on the planned call agenda.</w:t>
      </w:r>
    </w:p>
    <w:p w14:paraId="6BFAF569" w14:textId="0A9880C0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Once legally permissible, Nomura to share sample data, process maps, email examples, and BRD with Protiviti</w:t>
      </w:r>
      <w:r>
        <w:t xml:space="preserve">. All materials are ready and waiting </w:t>
      </w:r>
      <w:proofErr w:type="gramStart"/>
      <w:r>
        <w:t>on</w:t>
      </w:r>
      <w:proofErr w:type="gramEnd"/>
      <w:r>
        <w:t xml:space="preserve"> contract execution.</w:t>
      </w:r>
    </w:p>
    <w:p w14:paraId="4D22D9F5" w14:textId="77777777" w:rsidR="00DC2600" w:rsidRDefault="00DC2600">
      <w:pPr>
        <w:spacing w:before="120"/>
      </w:pPr>
    </w:p>
    <w:p w14:paraId="4D1074D4" w14:textId="43D05843" w:rsidR="00DC2600" w:rsidRDefault="00A0722F">
      <w:pPr>
        <w:pStyle w:val="Heading1"/>
        <w:pBdr>
          <w:bottom w:val="single" w:sz="6" w:space="1" w:color="1F3864"/>
        </w:pBdr>
      </w:pPr>
      <w:r>
        <w:t>7</w:t>
      </w:r>
      <w:r>
        <w:t>. Next Steps &amp; Upcoming Milestones</w:t>
      </w:r>
    </w:p>
    <w:p w14:paraId="0B5EC747" w14:textId="5B896841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 xml:space="preserve">Contract signing — </w:t>
      </w:r>
      <w:r>
        <w:t>enables BRD sharing, data sharing, and formal onboarding to begin.</w:t>
      </w:r>
    </w:p>
    <w:p w14:paraId="4E0FB59A" w14:textId="44C4FC5C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Joint technical call (Mon/Tue)</w:t>
      </w:r>
      <w:r>
        <w:t xml:space="preserve"> requirements deep dive with Brett and IT partners.</w:t>
      </w:r>
    </w:p>
    <w:p w14:paraId="4BB6A15F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NTI requests submitted (next 1–2 weeks) — unlocks POC initiation with ServiceNow and AWS.</w:t>
      </w:r>
    </w:p>
    <w:p w14:paraId="38599DD7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POC timelines confirmed from ServiceNow / AWS (est. 2–3 weeks).</w:t>
      </w:r>
    </w:p>
    <w:p w14:paraId="61092343" w14:textId="1E288535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Core component prototypes ready from Protiviti</w:t>
      </w:r>
      <w:r>
        <w:t xml:space="preserve"> (targeting ~1 month).</w:t>
      </w:r>
    </w:p>
    <w:p w14:paraId="369A993B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 xml:space="preserve">Tooling/hosting decision </w:t>
      </w:r>
      <w:proofErr w:type="spellStart"/>
      <w:r>
        <w:t>finalised</w:t>
      </w:r>
      <w:proofErr w:type="spellEnd"/>
      <w:r>
        <w:t xml:space="preserve"> — expected once POCs and onboarding are further advanced.</w:t>
      </w:r>
    </w:p>
    <w:p w14:paraId="63F548BE" w14:textId="77777777" w:rsidR="00DC2600" w:rsidRDefault="00A0722F">
      <w:pPr>
        <w:pStyle w:val="ListParagraph"/>
        <w:numPr>
          <w:ilvl w:val="0"/>
          <w:numId w:val="2"/>
        </w:numPr>
        <w:spacing w:before="40" w:after="40"/>
      </w:pPr>
      <w:r>
        <w:t>A follow-up session can be scheduled next week if needed to maintain alignment.</w:t>
      </w:r>
    </w:p>
    <w:p w14:paraId="53F498D5" w14:textId="77777777" w:rsidR="00DC2600" w:rsidRDefault="00DC2600">
      <w:pPr>
        <w:spacing w:before="240"/>
      </w:pPr>
    </w:p>
    <w:p w14:paraId="69980E39" w14:textId="77777777" w:rsidR="00DC2600" w:rsidRDefault="00A0722F"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</w:t>
      </w:r>
      <w:proofErr w:type="gramStart"/>
      <w:r>
        <w:rPr>
          <w:i/>
          <w:iCs/>
          <w:color w:val="999999"/>
          <w:sz w:val="20"/>
          <w:szCs w:val="20"/>
        </w:rPr>
        <w:t>Minutes —</w:t>
      </w:r>
      <w:proofErr w:type="gramEnd"/>
    </w:p>
    <w:sectPr w:rsidR="00DC260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A5C7" w14:textId="77777777" w:rsidR="00A0722F" w:rsidRDefault="00A0722F">
      <w:r>
        <w:separator/>
      </w:r>
    </w:p>
  </w:endnote>
  <w:endnote w:type="continuationSeparator" w:id="0">
    <w:p w14:paraId="7F2008BF" w14:textId="77777777" w:rsidR="00A0722F" w:rsidRDefault="00A0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2E717" w14:textId="77777777" w:rsidR="00DC2600" w:rsidRDefault="00A0722F">
    <w:pPr>
      <w:pBdr>
        <w:top w:val="single" w:sz="4" w:space="1" w:color="CCCCCC"/>
      </w:pBdr>
      <w:tabs>
        <w:tab w:val="right" w:pos="9360"/>
      </w:tabs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ab/>
      <w:t>Proactivity &amp; Nomura | AI Compare &amp; Match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49B06" w14:textId="77777777" w:rsidR="00A0722F" w:rsidRDefault="00A0722F">
      <w:r>
        <w:separator/>
      </w:r>
    </w:p>
  </w:footnote>
  <w:footnote w:type="continuationSeparator" w:id="0">
    <w:p w14:paraId="5FEA8A2D" w14:textId="77777777" w:rsidR="00A0722F" w:rsidRDefault="00A072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E3B47" w14:textId="77777777" w:rsidR="00DC2600" w:rsidRDefault="00A0722F">
    <w:pPr>
      <w:pBdr>
        <w:bottom w:val="single" w:sz="4" w:space="1" w:color="1F3864"/>
      </w:pBdr>
      <w:tabs>
        <w:tab w:val="right" w:pos="9360"/>
      </w:tabs>
      <w:spacing w:after="100"/>
    </w:pPr>
    <w:r>
      <w:rPr>
        <w:b/>
        <w:bCs/>
        <w:color w:val="1F3864"/>
        <w:sz w:val="20"/>
        <w:szCs w:val="20"/>
      </w:rPr>
      <w:t>MINUTES OF MEETING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83BE9"/>
    <w:multiLevelType w:val="hybridMultilevel"/>
    <w:tmpl w:val="8926FDEE"/>
    <w:lvl w:ilvl="0" w:tplc="1FFC5922">
      <w:start w:val="1"/>
      <w:numFmt w:val="bullet"/>
      <w:lvlText w:val="●"/>
      <w:lvlJc w:val="left"/>
      <w:pPr>
        <w:ind w:left="720" w:hanging="360"/>
      </w:pPr>
    </w:lvl>
    <w:lvl w:ilvl="1" w:tplc="D45A061C">
      <w:start w:val="1"/>
      <w:numFmt w:val="bullet"/>
      <w:lvlText w:val="○"/>
      <w:lvlJc w:val="left"/>
      <w:pPr>
        <w:ind w:left="1440" w:hanging="360"/>
      </w:pPr>
    </w:lvl>
    <w:lvl w:ilvl="2" w:tplc="DF123246">
      <w:start w:val="1"/>
      <w:numFmt w:val="bullet"/>
      <w:lvlText w:val="■"/>
      <w:lvlJc w:val="left"/>
      <w:pPr>
        <w:ind w:left="2160" w:hanging="360"/>
      </w:pPr>
    </w:lvl>
    <w:lvl w:ilvl="3" w:tplc="2FF67CC0">
      <w:start w:val="1"/>
      <w:numFmt w:val="bullet"/>
      <w:lvlText w:val="●"/>
      <w:lvlJc w:val="left"/>
      <w:pPr>
        <w:ind w:left="2880" w:hanging="360"/>
      </w:pPr>
    </w:lvl>
    <w:lvl w:ilvl="4" w:tplc="505EA638">
      <w:start w:val="1"/>
      <w:numFmt w:val="bullet"/>
      <w:lvlText w:val="○"/>
      <w:lvlJc w:val="left"/>
      <w:pPr>
        <w:ind w:left="3600" w:hanging="360"/>
      </w:pPr>
    </w:lvl>
    <w:lvl w:ilvl="5" w:tplc="4922ED76">
      <w:start w:val="1"/>
      <w:numFmt w:val="bullet"/>
      <w:lvlText w:val="■"/>
      <w:lvlJc w:val="left"/>
      <w:pPr>
        <w:ind w:left="4320" w:hanging="360"/>
      </w:pPr>
    </w:lvl>
    <w:lvl w:ilvl="6" w:tplc="8CA2A112">
      <w:start w:val="1"/>
      <w:numFmt w:val="bullet"/>
      <w:lvlText w:val="●"/>
      <w:lvlJc w:val="left"/>
      <w:pPr>
        <w:ind w:left="5040" w:hanging="360"/>
      </w:pPr>
    </w:lvl>
    <w:lvl w:ilvl="7" w:tplc="B948873A">
      <w:start w:val="1"/>
      <w:numFmt w:val="bullet"/>
      <w:lvlText w:val="●"/>
      <w:lvlJc w:val="left"/>
      <w:pPr>
        <w:ind w:left="5760" w:hanging="360"/>
      </w:pPr>
    </w:lvl>
    <w:lvl w:ilvl="8" w:tplc="364C6C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BE6DEF"/>
    <w:multiLevelType w:val="hybridMultilevel"/>
    <w:tmpl w:val="8C7E5624"/>
    <w:lvl w:ilvl="0" w:tplc="F5A2E9A0">
      <w:start w:val="1"/>
      <w:numFmt w:val="bullet"/>
      <w:lvlText w:val="•"/>
      <w:lvlJc w:val="left"/>
      <w:pPr>
        <w:ind w:left="720" w:hanging="360"/>
      </w:pPr>
    </w:lvl>
    <w:lvl w:ilvl="1" w:tplc="5AC47C5C">
      <w:numFmt w:val="decimal"/>
      <w:lvlText w:val=""/>
      <w:lvlJc w:val="left"/>
    </w:lvl>
    <w:lvl w:ilvl="2" w:tplc="6A0251C8">
      <w:numFmt w:val="decimal"/>
      <w:lvlText w:val=""/>
      <w:lvlJc w:val="left"/>
    </w:lvl>
    <w:lvl w:ilvl="3" w:tplc="EDCAF194">
      <w:numFmt w:val="decimal"/>
      <w:lvlText w:val=""/>
      <w:lvlJc w:val="left"/>
    </w:lvl>
    <w:lvl w:ilvl="4" w:tplc="72BACAFA">
      <w:numFmt w:val="decimal"/>
      <w:lvlText w:val=""/>
      <w:lvlJc w:val="left"/>
    </w:lvl>
    <w:lvl w:ilvl="5" w:tplc="690EBE52">
      <w:numFmt w:val="decimal"/>
      <w:lvlText w:val=""/>
      <w:lvlJc w:val="left"/>
    </w:lvl>
    <w:lvl w:ilvl="6" w:tplc="D38AD002">
      <w:numFmt w:val="decimal"/>
      <w:lvlText w:val=""/>
      <w:lvlJc w:val="left"/>
    </w:lvl>
    <w:lvl w:ilvl="7" w:tplc="61543C42">
      <w:numFmt w:val="decimal"/>
      <w:lvlText w:val=""/>
      <w:lvlJc w:val="left"/>
    </w:lvl>
    <w:lvl w:ilvl="8" w:tplc="3674552A">
      <w:numFmt w:val="decimal"/>
      <w:lvlText w:val=""/>
      <w:lvlJc w:val="left"/>
    </w:lvl>
  </w:abstractNum>
  <w:num w:numId="1" w16cid:durableId="139421472">
    <w:abstractNumId w:val="0"/>
    <w:lvlOverride w:ilvl="0">
      <w:startOverride w:val="1"/>
    </w:lvlOverride>
  </w:num>
  <w:num w:numId="2" w16cid:durableId="11379191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600"/>
    <w:rsid w:val="00A0722F"/>
    <w:rsid w:val="00BA5047"/>
    <w:rsid w:val="00D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DCE90"/>
  <w15:docId w15:val="{F04FB347-A00B-421A-8C0E-0312D383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4D9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964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Akshit Mahajan (IND)</cp:lastModifiedBy>
  <cp:revision>2</cp:revision>
  <dcterms:created xsi:type="dcterms:W3CDTF">2026-05-21T11:28:00Z</dcterms:created>
  <dcterms:modified xsi:type="dcterms:W3CDTF">2026-05-21T11:28:00Z</dcterms:modified>
</cp:coreProperties>
</file>