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2050"/>
        <w:gridCol w:w="2400"/>
        <w:gridCol w:w="4910"/>
      </w:tblGrid>
      <w:tr>
        <w:trPr>
          <w:tblHeader w:val="true"/>
        </w:trPr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Payment option</w:t>
            </w:r>
          </w:p>
        </w:tc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Billing arrangement</w:t>
            </w:r>
          </w:p>
        </w:tc>
        <w:tc>
          <w:tcPr>
            <w:tcW w:type="dxa" w:w="49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Important conditions</w:t>
            </w:r>
          </w:p>
        </w:tc>
      </w:tr>
      <w:tr>
        <w:tc>
          <w:tcPr>
            <w:tcW w:type="dxa" w:w="205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02A35"/>
                <w:sz w:val="20"/>
              </w:rPr>
              <w:t>UPI</w:t>
            </w:r>
          </w:p>
        </w:tc>
        <w:tc>
          <w:tcPr>
            <w:tcW w:type="dxa" w:w="240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Automatic monthly payments or manual payments</w:t>
            </w:r>
          </w:p>
        </w:tc>
        <w:tc>
          <w:tcPr>
            <w:tcW w:type="dxa" w:w="491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Available to qualified Indian organisations paying in INR. Requires an Indian billing address, Indian bank account and registered UPI account. Google normally requests an initial ₹500-₹1,000 prepayment.</w:t>
            </w:r>
          </w:p>
        </w:tc>
      </w:tr>
      <w:tr>
        <w:tc>
          <w:tcPr>
            <w:tcW w:type="dxa" w:w="205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02A35"/>
                <w:sz w:val="20"/>
              </w:rPr>
              <w:t>Credit/debit card</w:t>
            </w:r>
          </w:p>
        </w:tc>
        <w:tc>
          <w:tcPr>
            <w:tcW w:type="dxa" w:w="240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Automatic postpaid billing or manual early payment</w:t>
            </w:r>
          </w:p>
        </w:tc>
        <w:tc>
          <w:tcPr>
            <w:tcW w:type="dxa" w:w="491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Visa, Mastercard, American Express and Visa/Mastercard debit cards are supported. RBI rules may cause recurring charges above ₹15,000 to require approval or fail.</w:t>
            </w:r>
          </w:p>
        </w:tc>
      </w:tr>
      <w:tr>
        <w:tc>
          <w:tcPr>
            <w:tcW w:type="dxa" w:w="205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02A35"/>
                <w:sz w:val="20"/>
              </w:rPr>
              <w:t>Manual advance payment</w:t>
            </w:r>
          </w:p>
        </w:tc>
        <w:tc>
          <w:tcPr>
            <w:tcW w:type="dxa" w:w="240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Pay early and maintain a positive account balance</w:t>
            </w:r>
          </w:p>
        </w:tc>
        <w:tc>
          <w:tcPr>
            <w:tcW w:type="dxa" w:w="491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Can be made using an available card or UPI method. Particularly useful when expected monthly charges exceed ₹15,000.</w:t>
            </w:r>
          </w:p>
        </w:tc>
      </w:tr>
      <w:tr>
        <w:tc>
          <w:tcPr>
            <w:tcW w:type="dxa" w:w="205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02A35"/>
                <w:sz w:val="20"/>
              </w:rPr>
              <w:t>Bank account/direct debit</w:t>
            </w:r>
          </w:p>
        </w:tc>
        <w:tc>
          <w:tcPr>
            <w:tcW w:type="dxa" w:w="240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Automatic postpaid billing</w:t>
            </w:r>
          </w:p>
        </w:tc>
        <w:tc>
          <w:tcPr>
            <w:tcW w:type="dxa" w:w="491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Available only if Google displays it in your billing profile. Verification can take 5-10 business days and the bank account cannot be a backup method.</w:t>
            </w:r>
          </w:p>
        </w:tc>
      </w:tr>
      <w:tr>
        <w:tc>
          <w:tcPr>
            <w:tcW w:type="dxa" w:w="205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02A35"/>
                <w:sz w:val="20"/>
              </w:rPr>
              <w:t>Monthly invoiced billing</w:t>
            </w:r>
          </w:p>
        </w:tc>
        <w:tc>
          <w:tcPr>
            <w:tcW w:type="dxa" w:w="240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Google issues a monthly invoice under agreed payment terms</w:t>
            </w:r>
          </w:p>
        </w:tc>
        <w:tc>
          <w:tcPr>
            <w:tcW w:type="dxa" w:w="491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Requires approval from Google. Invoices can be paid through EFT, wire transfer or, in India, UPI. Suitable for purchase orders and enterprise procurement.</w:t>
            </w:r>
          </w:p>
        </w:tc>
      </w:tr>
      <w:tr>
        <w:tc>
          <w:tcPr>
            <w:tcW w:type="dxa" w:w="205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02A35"/>
                <w:sz w:val="20"/>
              </w:rPr>
              <w:t>Google Cloud reseller</w:t>
            </w:r>
          </w:p>
        </w:tc>
        <w:tc>
          <w:tcPr>
            <w:tcW w:type="dxa" w:w="240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Reseller invoices your organisation</w:t>
            </w:r>
          </w:p>
        </w:tc>
        <w:tc>
          <w:tcPr>
            <w:tcW w:type="dxa" w:w="4910"/>
            <w:vAlign w:val="center"/>
            <w:shd w:val="clear" w:color="auto"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5"/>
                <w:sz w:val="20"/>
              </w:rPr>
              <w:t>Useful when Google does not approve direct monthly invoicing or company policy does not permit cards. Payment terms depend on the reseller.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