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3026" w14:textId="303F25D3" w:rsidR="00492A04" w:rsidRDefault="00000000">
      <w:r>
        <w:rPr>
          <w:b/>
          <w:sz w:val="44"/>
        </w:rPr>
        <w:t xml:space="preserve">XYZ Bank – Audit Department Policy </w:t>
      </w:r>
    </w:p>
    <w:p w14:paraId="4FD2EC0F" w14:textId="77777777" w:rsidR="00492A04" w:rsidRDefault="00000000">
      <w:r>
        <w:t>Effective Date: &lt;to be inserted&gt; | Version: 1.1 | Owner: Chief Internal Auditor (CIA)</w:t>
      </w:r>
    </w:p>
    <w:p w14:paraId="69B6D583" w14:textId="77777777" w:rsidR="00492A04" w:rsidRDefault="00000000">
      <w:r>
        <w:t>Classification: Internal | Approved by: Audit Committee of the Board (ACB)</w:t>
      </w:r>
    </w:p>
    <w:p w14:paraId="2629E92B" w14:textId="77777777" w:rsidR="00492A04" w:rsidRDefault="00000000">
      <w:r>
        <w:t>Disclaimer: This policy template is intended for a bank operating in India. It should be vetted by Legal/Compliance and aligned to applicable laws and supervisory expectations (e.g., RBI guidance on RBIA, cyber security, outsourcing, KYC/AML) before adoption.</w:t>
      </w:r>
    </w:p>
    <w:p w14:paraId="30E2E3A6" w14:textId="77777777" w:rsidR="00492A04" w:rsidRDefault="00000000">
      <w:pPr>
        <w:pStyle w:val="Heading1"/>
      </w:pPr>
      <w:r>
        <w:t>Table of Contents</w:t>
      </w:r>
    </w:p>
    <w:p w14:paraId="0B4426A8" w14:textId="77777777" w:rsidR="00492A04" w:rsidRDefault="00000000">
      <w:r>
        <w:t>(This document contains automatic headings. Insert Table of Contents from Word &gt; References &gt; Table of Contents.)</w:t>
      </w:r>
    </w:p>
    <w:p w14:paraId="508BBC38" w14:textId="77777777" w:rsidR="00492A04" w:rsidRDefault="00000000">
      <w:pPr>
        <w:pStyle w:val="Heading1"/>
      </w:pPr>
      <w:r>
        <w:t>1. Purpose, Objectives &amp; Three Lines of Defence</w:t>
      </w:r>
    </w:p>
    <w:p w14:paraId="1BC08B3C" w14:textId="77777777" w:rsidR="00492A04" w:rsidRDefault="00000000">
      <w:r>
        <w:t>This policy establishes the mandate, governance, authority, and operating procedures for the Internal Audit Function (IAF) of XYZ Bank, providing independent and objective assurance on the adequacy and effectiveness of risk management, internal controls, governance, and regulatory compliance.</w:t>
      </w:r>
    </w:p>
    <w:p w14:paraId="44AA3CEF" w14:textId="77777777" w:rsidR="00492A04" w:rsidRDefault="00000000">
      <w:pPr>
        <w:pStyle w:val="ListBullet"/>
      </w:pPr>
      <w:r>
        <w:t>Operate as the Third Line of Defence, independent of business (First Line) and Risk/Compliance (Second Line).</w:t>
      </w:r>
    </w:p>
    <w:p w14:paraId="51F0893F" w14:textId="77777777" w:rsidR="00492A04" w:rsidRDefault="00000000">
      <w:pPr>
        <w:pStyle w:val="ListBullet"/>
      </w:pPr>
      <w:r>
        <w:t>Provide risk-based assurance and advisory services to the Board, ACB, and Executive Management.</w:t>
      </w:r>
    </w:p>
    <w:p w14:paraId="13CE095C" w14:textId="77777777" w:rsidR="00492A04" w:rsidRDefault="00000000">
      <w:pPr>
        <w:pStyle w:val="ListBullet"/>
      </w:pPr>
      <w:r>
        <w:t>Support safe and sound operations by providing timely, balanced, and practical recommendations.</w:t>
      </w:r>
    </w:p>
    <w:p w14:paraId="6249CF3C" w14:textId="77777777" w:rsidR="00492A04" w:rsidRDefault="00000000">
      <w:pPr>
        <w:pStyle w:val="Heading1"/>
      </w:pPr>
      <w:r>
        <w:t>2. Regulatory &amp; Professional References</w:t>
      </w:r>
    </w:p>
    <w:p w14:paraId="44A00F35" w14:textId="77777777" w:rsidR="00492A04" w:rsidRDefault="00000000">
      <w:pPr>
        <w:pStyle w:val="ListBullet"/>
      </w:pPr>
      <w:r>
        <w:t>Reserve Bank of India (RBI) guidance relevant to internal audit, RBIA, IT/cybersecurity, outsourcing of IT &amp; business processes, KYC/AML, consumer protection, and credit operations (as applicable).</w:t>
      </w:r>
    </w:p>
    <w:p w14:paraId="4B7438FF" w14:textId="77777777" w:rsidR="00492A04" w:rsidRDefault="00000000">
      <w:pPr>
        <w:pStyle w:val="ListBullet"/>
      </w:pPr>
      <w:r>
        <w:t>Companies Act requirements relevant to internal financial controls (where applicable).</w:t>
      </w:r>
    </w:p>
    <w:p w14:paraId="44BB792F" w14:textId="77777777" w:rsidR="00492A04" w:rsidRDefault="00000000">
      <w:pPr>
        <w:pStyle w:val="ListBullet"/>
      </w:pPr>
      <w:r>
        <w:t>The Institute of Internal Auditors (IIA) International Standards for the Professional Practice of Internal Auditing.</w:t>
      </w:r>
    </w:p>
    <w:p w14:paraId="6724E527" w14:textId="77777777" w:rsidR="00492A04" w:rsidRDefault="00000000">
      <w:pPr>
        <w:pStyle w:val="ListBullet"/>
      </w:pPr>
      <w:r>
        <w:t>Other statutory, tax, and information security standards adopted by the Bank.</w:t>
      </w:r>
    </w:p>
    <w:p w14:paraId="0D77E449" w14:textId="77777777" w:rsidR="00492A04" w:rsidRDefault="00000000">
      <w:pPr>
        <w:pStyle w:val="Heading1"/>
      </w:pPr>
      <w:r>
        <w:t>3. Scope &amp; Applicability</w:t>
      </w:r>
    </w:p>
    <w:p w14:paraId="4B7D7333" w14:textId="77777777" w:rsidR="00492A04" w:rsidRDefault="00000000">
      <w:r>
        <w:t xml:space="preserve">This policy covers all entities, functions, branches, delivery channels, products, outsourced activities, and IT assets of XYZ Bank including subsidiaries/JVs where the Bank has oversight responsibility. It extends to Core Banking, Digital Channels, Treasury, Credit, </w:t>
      </w:r>
      <w:r>
        <w:lastRenderedPageBreak/>
        <w:t>Operations, Finance, HR, Procurement, Information Security, Data Centres/Cloud, and third-party service providers handling customer or bank data.</w:t>
      </w:r>
    </w:p>
    <w:p w14:paraId="26B94B96" w14:textId="77777777" w:rsidR="00492A04" w:rsidRDefault="00000000">
      <w:pPr>
        <w:pStyle w:val="Heading1"/>
      </w:pPr>
      <w:r>
        <w:t>4. Independence, Authority &amp; Access</w:t>
      </w:r>
    </w:p>
    <w:p w14:paraId="2D958E16" w14:textId="77777777" w:rsidR="00492A04" w:rsidRDefault="00000000">
      <w:pPr>
        <w:pStyle w:val="ListBullet"/>
      </w:pPr>
      <w:r>
        <w:t>Functional reporting to the ACB; administrative reporting to MD &amp; CEO (or as approved by the Board).</w:t>
      </w:r>
    </w:p>
    <w:p w14:paraId="5D78BE9A" w14:textId="77777777" w:rsidR="00492A04" w:rsidRDefault="00000000">
      <w:pPr>
        <w:pStyle w:val="ListBullet"/>
      </w:pPr>
      <w:r>
        <w:t>Unrestricted access to premises, systems, data, records, personnel, and third parties, subject to confidentiality and data privacy requirements.</w:t>
      </w:r>
    </w:p>
    <w:p w14:paraId="7C350743" w14:textId="77777777" w:rsidR="00492A04" w:rsidRDefault="00000000">
      <w:pPr>
        <w:pStyle w:val="ListBullet"/>
      </w:pPr>
      <w:r>
        <w:t>Authority to allocate resources, determine scopes, apply techniques, and communicate results without management interference.</w:t>
      </w:r>
    </w:p>
    <w:p w14:paraId="19649612" w14:textId="77777777" w:rsidR="00492A04" w:rsidRDefault="00000000">
      <w:pPr>
        <w:pStyle w:val="ListBullet"/>
      </w:pPr>
      <w:r>
        <w:t>Right to validate and re‑test remediation and conduct follow‑up audits.</w:t>
      </w:r>
    </w:p>
    <w:p w14:paraId="42DDE66A" w14:textId="77777777" w:rsidR="00492A04" w:rsidRDefault="00000000">
      <w:pPr>
        <w:pStyle w:val="Heading1"/>
      </w:pPr>
      <w:r>
        <w:t>5. Organization Structure &amp; Roles</w:t>
      </w:r>
    </w:p>
    <w:p w14:paraId="55DD3AFC" w14:textId="77777777" w:rsidR="00492A04" w:rsidRDefault="00000000">
      <w:r>
        <w:t>The IAF is led by the Chief Internal Auditor (CIA). The function may be organized into domain teams: Branch &amp; Operations Audit, Credit Audit, Treasury &amp; Market Risk Audit, IT &amp; Cyber Audit, Digital &amp; Analytics, and Quality Assurance.</w:t>
      </w:r>
    </w:p>
    <w:p w14:paraId="232CC485" w14:textId="77777777" w:rsidR="00492A04" w:rsidRDefault="00000000">
      <w:pPr>
        <w:pStyle w:val="ListBullet"/>
      </w:pPr>
      <w:r>
        <w:t>CIA: Strategy, RBIA plan, independence, stakeholder management, and reporting to ACB.</w:t>
      </w:r>
    </w:p>
    <w:p w14:paraId="077BD62C" w14:textId="77777777" w:rsidR="00492A04" w:rsidRDefault="00000000">
      <w:pPr>
        <w:pStyle w:val="ListBullet"/>
      </w:pPr>
      <w:r>
        <w:t>Engagement Managers: Planning, supervision, quality of assignments, issue negotiation.</w:t>
      </w:r>
    </w:p>
    <w:p w14:paraId="34D3FDC6" w14:textId="77777777" w:rsidR="00492A04" w:rsidRDefault="00000000">
      <w:pPr>
        <w:pStyle w:val="ListBullet"/>
      </w:pPr>
      <w:r>
        <w:t>Auditors/SMEs: Fieldwork, testing, documentation, and evidence management.</w:t>
      </w:r>
    </w:p>
    <w:p w14:paraId="43BB59B7" w14:textId="77777777" w:rsidR="00492A04" w:rsidRDefault="00000000">
      <w:pPr>
        <w:pStyle w:val="ListBullet"/>
      </w:pPr>
      <w:r>
        <w:t>QA Team: Methodology, file reviews, training, and continuous improvement.</w:t>
      </w:r>
    </w:p>
    <w:p w14:paraId="056D9195" w14:textId="77777777" w:rsidR="00492A04" w:rsidRDefault="00000000">
      <w:pPr>
        <w:pStyle w:val="Heading1"/>
      </w:pPr>
      <w:r>
        <w:t>6. RBIA Framework &amp; Planning</w:t>
      </w:r>
    </w:p>
    <w:p w14:paraId="5776BB46" w14:textId="77777777" w:rsidR="00492A04" w:rsidRDefault="00000000">
      <w:r>
        <w:t>The IAF adopts a Risk-Based Internal Audit (RBIA) approach to prioritize audit coverage proportional to risk and aligned to the Bank’s risk appetite.</w:t>
      </w:r>
    </w:p>
    <w:p w14:paraId="00FB4479" w14:textId="77777777" w:rsidR="00492A04" w:rsidRDefault="00000000">
      <w:pPr>
        <w:pStyle w:val="ListBullet"/>
      </w:pPr>
      <w:r>
        <w:t>Audit Universe: Comprehensive inventory of auditable entities (branches, processes, IT assets, products, vendors).</w:t>
      </w:r>
    </w:p>
    <w:p w14:paraId="427E99D8" w14:textId="77777777" w:rsidR="00492A04" w:rsidRDefault="00000000">
      <w:pPr>
        <w:pStyle w:val="ListBullet"/>
      </w:pPr>
      <w:r>
        <w:t>Risk Assessment: Annual/rolling assessment using indicators such as inherent risk, control maturity, loss events, regulatory observations, customer impact, change intensity, outsourcing/digital complexity.</w:t>
      </w:r>
    </w:p>
    <w:p w14:paraId="0DE0BCAE" w14:textId="77777777" w:rsidR="00492A04" w:rsidRDefault="00000000">
      <w:pPr>
        <w:pStyle w:val="ListBullet"/>
      </w:pPr>
      <w:r>
        <w:t>Plan Development: Annual RBIA plan with quarterly/half‑yearly refresh; inclusion of regulatory commitments and management requests with ACB oversight.</w:t>
      </w:r>
    </w:p>
    <w:p w14:paraId="01B3098D" w14:textId="77777777" w:rsidR="00492A04" w:rsidRDefault="00000000">
      <w:pPr>
        <w:pStyle w:val="ListBullet"/>
      </w:pPr>
      <w:r>
        <w:t>Coverage Expectations: High‑risk areas annually; medium risk 18–24 months; low risk 24–36 months (unless otherwise directed).</w:t>
      </w:r>
    </w:p>
    <w:p w14:paraId="4C820B63" w14:textId="77777777" w:rsidR="00492A04" w:rsidRDefault="00000000">
      <w:pPr>
        <w:pStyle w:val="ListBullet"/>
      </w:pPr>
      <w:r>
        <w:t>Thematic &amp; Surprise Audits: Emerging risks, new products, rapid technology changes, fraud hotspots.</w:t>
      </w:r>
    </w:p>
    <w:p w14:paraId="33FBB267" w14:textId="77777777" w:rsidR="00492A04" w:rsidRDefault="00000000">
      <w:pPr>
        <w:pStyle w:val="ListBullet"/>
      </w:pPr>
      <w:r>
        <w:t>Continuous Auditing/Monitoring: Use of analytics to test controls and KRIs routinely.</w:t>
      </w:r>
    </w:p>
    <w:p w14:paraId="59F7F74D" w14:textId="77777777" w:rsidR="00492A04" w:rsidRDefault="00000000">
      <w:pPr>
        <w:pStyle w:val="Heading1"/>
      </w:pPr>
      <w:r>
        <w:lastRenderedPageBreak/>
        <w:t>7. Audit Methodology</w:t>
      </w:r>
    </w:p>
    <w:p w14:paraId="18D735AB" w14:textId="77777777" w:rsidR="00492A04" w:rsidRDefault="00000000">
      <w:pPr>
        <w:pStyle w:val="ListNumber"/>
      </w:pPr>
      <w:r>
        <w:t>Engagement Initiation: Terms of reference/engagement letter, scope, period under review, team, timelines.</w:t>
      </w:r>
    </w:p>
    <w:p w14:paraId="13329BCB" w14:textId="77777777" w:rsidR="00492A04" w:rsidRDefault="00000000">
      <w:pPr>
        <w:pStyle w:val="ListNumber"/>
      </w:pPr>
      <w:r>
        <w:t>Planning: Process understanding, risk/control mapping, sampling strategy, data requisitions, walkthroughs.</w:t>
      </w:r>
    </w:p>
    <w:p w14:paraId="178F76D7" w14:textId="77777777" w:rsidR="00492A04" w:rsidRDefault="00000000">
      <w:pPr>
        <w:pStyle w:val="ListNumber"/>
      </w:pPr>
      <w:r>
        <w:t>Fieldwork &amp; Testing: Design and operating effectiveness testing, data analytics, re-performance, inspection, observation.</w:t>
      </w:r>
    </w:p>
    <w:p w14:paraId="75CEE381" w14:textId="77777777" w:rsidR="00492A04" w:rsidRDefault="00000000">
      <w:pPr>
        <w:pStyle w:val="ListNumber"/>
      </w:pPr>
      <w:r>
        <w:t>IT &amp; Cyber Coverage: Information security governance, access management, change management, backup/DR, network security, cloud controls, vendor security, SOC monitoring, incident response.</w:t>
      </w:r>
    </w:p>
    <w:p w14:paraId="1CFABE0E" w14:textId="77777777" w:rsidR="00492A04" w:rsidRDefault="00000000">
      <w:pPr>
        <w:pStyle w:val="ListNumber"/>
      </w:pPr>
      <w:r>
        <w:t>Branch &amp; Ops: Cash/ATM surprise checks, account opening/KYC, vault controls, clearing/RTGS/NEFT/UPI, AML monitoring interfaces, locker operations, reconciliations.</w:t>
      </w:r>
    </w:p>
    <w:p w14:paraId="5A59F208" w14:textId="77777777" w:rsidR="00492A04" w:rsidRDefault="00000000">
      <w:pPr>
        <w:pStyle w:val="ListNumber"/>
      </w:pPr>
      <w:r>
        <w:t>Credit Audits: Underwriting adherence, delegation matrix, collateral/valuation, documentation, post‑disbursement monitoring, EWS adherence, NPA classification, restructuring, write‑offs.</w:t>
      </w:r>
    </w:p>
    <w:p w14:paraId="47A6F9AB" w14:textId="77777777" w:rsidR="00492A04" w:rsidRDefault="00000000">
      <w:pPr>
        <w:pStyle w:val="ListNumber"/>
      </w:pPr>
      <w:r>
        <w:t>Treasury: Front‑mid‑back office segregation, deal capture, limits/SFT, valuation, liquidity management, investment classification, ALM controls.</w:t>
      </w:r>
    </w:p>
    <w:p w14:paraId="6BC4EA03" w14:textId="77777777" w:rsidR="00492A04" w:rsidRDefault="00000000">
      <w:pPr>
        <w:pStyle w:val="ListNumber"/>
      </w:pPr>
      <w:r>
        <w:t>Compliance &amp; Regulatory: Adherence to circulars, supervisory instructions, reporting accuracy and timeliness.</w:t>
      </w:r>
    </w:p>
    <w:p w14:paraId="7C526D92" w14:textId="77777777" w:rsidR="00492A04" w:rsidRDefault="00000000">
      <w:pPr>
        <w:pStyle w:val="ListNumber"/>
      </w:pPr>
      <w:r>
        <w:t>Reporting: Draft report with observations (criteria‑condition‑cause‑consequence‑corrective action), risk rating, ownership, and due dates.</w:t>
      </w:r>
    </w:p>
    <w:p w14:paraId="01427D3E" w14:textId="77777777" w:rsidR="00492A04" w:rsidRDefault="00000000">
      <w:pPr>
        <w:pStyle w:val="ListNumber"/>
      </w:pPr>
      <w:r>
        <w:t>Exit Meeting &amp; Final Report: Validation of facts, management agreement, and issuance as per timelines.</w:t>
      </w:r>
    </w:p>
    <w:p w14:paraId="6ECB6918" w14:textId="77777777" w:rsidR="00492A04" w:rsidRDefault="00000000">
      <w:pPr>
        <w:pStyle w:val="Heading1"/>
      </w:pPr>
      <w:r>
        <w:t>8. Ratings, Issue Classification &amp; Timelines</w:t>
      </w:r>
    </w:p>
    <w:p w14:paraId="0C8BB90E" w14:textId="77777777" w:rsidR="00492A04" w:rsidRDefault="00000000">
      <w:pPr>
        <w:pStyle w:val="ListBullet"/>
      </w:pPr>
      <w:r>
        <w:t>Entity Rating: Satisfactory / Needs Improvement / Unsatisfactory (or numeric scale) with heat‑maps.</w:t>
      </w:r>
    </w:p>
    <w:p w14:paraId="67470C59" w14:textId="77777777" w:rsidR="00492A04" w:rsidRDefault="00000000">
      <w:pPr>
        <w:pStyle w:val="ListBullet"/>
      </w:pPr>
      <w:r>
        <w:t>Issue Severity: High (urgent/critical risk), Medium (significant), Low (improvement).</w:t>
      </w:r>
    </w:p>
    <w:p w14:paraId="2BB1B05D" w14:textId="77777777" w:rsidR="00492A04" w:rsidRDefault="00000000">
      <w:pPr>
        <w:pStyle w:val="ListBullet"/>
      </w:pPr>
      <w:r>
        <w:t>Turnaround Time: Draft report within 10 business days of fieldwork closure; management responses within 10 business days; final report within 5 business days thereafter (illustrative; bank to set).</w:t>
      </w:r>
    </w:p>
    <w:p w14:paraId="5AC7A731" w14:textId="77777777" w:rsidR="00492A04" w:rsidRDefault="00000000">
      <w:pPr>
        <w:pStyle w:val="ListBullet"/>
      </w:pPr>
      <w:r>
        <w:t>Ageing &amp; Escalation: High severity overdue &gt;30 days escalated to CXO; &gt;60 days to ACB; periodic status reporting.</w:t>
      </w:r>
    </w:p>
    <w:p w14:paraId="3865E09D" w14:textId="77777777" w:rsidR="00492A04" w:rsidRDefault="00000000">
      <w:pPr>
        <w:pStyle w:val="Heading1"/>
      </w:pPr>
      <w:r>
        <w:t>9. Follow‑up, Validation &amp; Closure</w:t>
      </w:r>
    </w:p>
    <w:p w14:paraId="3766AA66" w14:textId="77777777" w:rsidR="00492A04" w:rsidRDefault="00000000">
      <w:pPr>
        <w:pStyle w:val="ListBullet"/>
      </w:pPr>
      <w:r>
        <w:t>Centralized issue tracker with ownership, milestones, and evidence.</w:t>
      </w:r>
    </w:p>
    <w:p w14:paraId="78A3C9D7" w14:textId="77777777" w:rsidR="00492A04" w:rsidRDefault="00000000">
      <w:pPr>
        <w:pStyle w:val="ListBullet"/>
      </w:pPr>
      <w:r>
        <w:t>Closure based on evidence review and, where necessary, re‑testing by IAF.</w:t>
      </w:r>
    </w:p>
    <w:p w14:paraId="3E83458D" w14:textId="77777777" w:rsidR="00492A04" w:rsidRDefault="00000000">
      <w:pPr>
        <w:pStyle w:val="ListBullet"/>
      </w:pPr>
      <w:r>
        <w:t>Re‑open protocol if controls fail post‑closure or repeat occurrences are identified.</w:t>
      </w:r>
    </w:p>
    <w:p w14:paraId="4D100338" w14:textId="77777777" w:rsidR="00492A04" w:rsidRDefault="00000000">
      <w:pPr>
        <w:pStyle w:val="Heading1"/>
      </w:pPr>
      <w:r>
        <w:lastRenderedPageBreak/>
        <w:t>10. Fraud Risk &amp; Investigations Interface</w:t>
      </w:r>
    </w:p>
    <w:p w14:paraId="7A5862BE" w14:textId="77777777" w:rsidR="00492A04" w:rsidRDefault="00000000">
      <w:pPr>
        <w:pStyle w:val="ListBullet"/>
      </w:pPr>
      <w:r>
        <w:t>Coordination with Fraud Risk Management (FRM) and Vigilance for investigations and red‑flag analytics.</w:t>
      </w:r>
    </w:p>
    <w:p w14:paraId="2BD10657" w14:textId="77777777" w:rsidR="00492A04" w:rsidRDefault="00000000">
      <w:pPr>
        <w:pStyle w:val="ListBullet"/>
      </w:pPr>
      <w:r>
        <w:t>Chain of custody for evidence; secure storage of digital artefacts; independence of investigation teams.</w:t>
      </w:r>
    </w:p>
    <w:p w14:paraId="0CED0011" w14:textId="77777777" w:rsidR="00492A04" w:rsidRDefault="00000000">
      <w:pPr>
        <w:pStyle w:val="ListBullet"/>
      </w:pPr>
      <w:r>
        <w:t>Regulatory Reporting: Support timely reporting to regulators/law enforcement as per applicable thresholds and timelines.</w:t>
      </w:r>
    </w:p>
    <w:p w14:paraId="7B283216" w14:textId="77777777" w:rsidR="00492A04" w:rsidRDefault="00000000">
      <w:pPr>
        <w:pStyle w:val="ListBullet"/>
      </w:pPr>
      <w:r>
        <w:t>Post‑incident reviews and control remediation validation.</w:t>
      </w:r>
    </w:p>
    <w:p w14:paraId="501672BF" w14:textId="77777777" w:rsidR="00492A04" w:rsidRDefault="00000000">
      <w:pPr>
        <w:pStyle w:val="Heading1"/>
      </w:pPr>
      <w:r>
        <w:t>11. Outsourcing &amp; Third‑Party Risk Coverage</w:t>
      </w:r>
    </w:p>
    <w:p w14:paraId="083CF3DD" w14:textId="77777777" w:rsidR="00492A04" w:rsidRDefault="00000000">
      <w:pPr>
        <w:pStyle w:val="ListBullet"/>
      </w:pPr>
      <w:r>
        <w:t>Right‑to‑audit clauses in critical vendor contracts; periodic onsite/remote audits based on risk.</w:t>
      </w:r>
    </w:p>
    <w:p w14:paraId="25641D09" w14:textId="77777777" w:rsidR="00492A04" w:rsidRDefault="00000000">
      <w:pPr>
        <w:pStyle w:val="ListBullet"/>
      </w:pPr>
      <w:r>
        <w:t>Review of SOC reports, SLA adherence, subcontracting, data residency, and resilience.</w:t>
      </w:r>
    </w:p>
    <w:p w14:paraId="0CBA9B25" w14:textId="77777777" w:rsidR="00492A04" w:rsidRDefault="00000000">
      <w:pPr>
        <w:pStyle w:val="ListBullet"/>
      </w:pPr>
      <w:r>
        <w:t>Cybersecurity controls at vendors, including access, encryption, monitoring, incident reporting, and exit management.</w:t>
      </w:r>
    </w:p>
    <w:p w14:paraId="6DDE88BF" w14:textId="77777777" w:rsidR="00492A04" w:rsidRDefault="00000000">
      <w:pPr>
        <w:pStyle w:val="Heading1"/>
      </w:pPr>
      <w:r>
        <w:t>12. Data, Confidentiality &amp; Record Retention</w:t>
      </w:r>
    </w:p>
    <w:p w14:paraId="0D30EAF8" w14:textId="77777777" w:rsidR="00492A04" w:rsidRDefault="00000000">
      <w:pPr>
        <w:pStyle w:val="ListBullet"/>
      </w:pPr>
      <w:r>
        <w:t>Confidential handling of customer and bank data with need‑to‑know access.</w:t>
      </w:r>
    </w:p>
    <w:p w14:paraId="28B2EF02" w14:textId="77777777" w:rsidR="00492A04" w:rsidRDefault="00000000">
      <w:pPr>
        <w:pStyle w:val="ListBullet"/>
      </w:pPr>
      <w:r>
        <w:t>Secure audit repositories with encryption and tamper‑evident logs.</w:t>
      </w:r>
    </w:p>
    <w:p w14:paraId="7387DB11" w14:textId="77777777" w:rsidR="00492A04" w:rsidRDefault="00000000">
      <w:pPr>
        <w:pStyle w:val="ListBullet"/>
      </w:pPr>
      <w:r>
        <w:t>Retention of working papers, reports, and evidence for minimum of 8 years (illustrative—bank to confirm regulatory requirement).</w:t>
      </w:r>
    </w:p>
    <w:p w14:paraId="3DEC15FC" w14:textId="77777777" w:rsidR="00492A04" w:rsidRDefault="00000000">
      <w:pPr>
        <w:pStyle w:val="ListBullet"/>
      </w:pPr>
      <w:r>
        <w:t>Prohibition on transfer to personal devices or unauthorized cloud storage.</w:t>
      </w:r>
    </w:p>
    <w:p w14:paraId="2514334C" w14:textId="77777777" w:rsidR="00492A04" w:rsidRDefault="00000000">
      <w:pPr>
        <w:pStyle w:val="Heading1"/>
      </w:pPr>
      <w:r>
        <w:t>13. Ethics, Conflicts &amp; Independence</w:t>
      </w:r>
    </w:p>
    <w:p w14:paraId="1300C0C8" w14:textId="77777777" w:rsidR="00492A04" w:rsidRDefault="00000000">
      <w:pPr>
        <w:pStyle w:val="ListBullet"/>
      </w:pPr>
      <w:r>
        <w:t>Auditors shall follow IIA Code of Ethics and the Bank’s Code of Conduct.</w:t>
      </w:r>
    </w:p>
    <w:p w14:paraId="1EF067CA" w14:textId="77777777" w:rsidR="00492A04" w:rsidRDefault="00000000">
      <w:pPr>
        <w:pStyle w:val="ListBullet"/>
      </w:pPr>
      <w:r>
        <w:t>Cooling‑off: Auditors shall not audit functions where they had operational responsibility within the previous 12 months (or as approved by ACB).</w:t>
      </w:r>
    </w:p>
    <w:p w14:paraId="07CA6D87" w14:textId="77777777" w:rsidR="00492A04" w:rsidRDefault="00000000">
      <w:pPr>
        <w:pStyle w:val="ListBullet"/>
      </w:pPr>
      <w:r>
        <w:t>Annual conflict‑of‑interest declarations and ad‑hoc disclosures for specific engagements.</w:t>
      </w:r>
    </w:p>
    <w:p w14:paraId="7BD88FE8" w14:textId="77777777" w:rsidR="00492A04" w:rsidRDefault="00000000">
      <w:pPr>
        <w:pStyle w:val="Heading1"/>
      </w:pPr>
      <w:r>
        <w:t>14. Resourcing, Competency &amp; Training</w:t>
      </w:r>
    </w:p>
    <w:p w14:paraId="3E15BC81" w14:textId="77777777" w:rsidR="00492A04" w:rsidRDefault="00000000">
      <w:pPr>
        <w:pStyle w:val="ListBullet"/>
      </w:pPr>
      <w:r>
        <w:t>Competency matrix covering banking operations, credit risk, treasury, IT/cybersecurity, analytics, and regulation.</w:t>
      </w:r>
    </w:p>
    <w:p w14:paraId="62ED7934" w14:textId="77777777" w:rsidR="00492A04" w:rsidRDefault="00000000">
      <w:pPr>
        <w:pStyle w:val="ListBullet"/>
      </w:pPr>
      <w:r>
        <w:t>Targeted certifications (CIA, CISA, CFE, FRM, cloud/security) and minimum annual CPE hours.</w:t>
      </w:r>
    </w:p>
    <w:p w14:paraId="4B4F9FA6" w14:textId="77777777" w:rsidR="00492A04" w:rsidRDefault="00000000">
      <w:pPr>
        <w:pStyle w:val="ListBullet"/>
      </w:pPr>
      <w:r>
        <w:t>Rotation of staff across domains and locations to preserve objectivity and develop capability.</w:t>
      </w:r>
    </w:p>
    <w:p w14:paraId="48AC8263" w14:textId="77777777" w:rsidR="00492A04" w:rsidRDefault="00000000">
      <w:pPr>
        <w:pStyle w:val="Heading1"/>
      </w:pPr>
      <w:r>
        <w:lastRenderedPageBreak/>
        <w:t>15. Quality Assurance &amp; Improvement Program (QAIP)</w:t>
      </w:r>
    </w:p>
    <w:p w14:paraId="1D12FD10" w14:textId="77777777" w:rsidR="00492A04" w:rsidRDefault="00000000">
      <w:pPr>
        <w:pStyle w:val="ListBullet"/>
      </w:pPr>
      <w:r>
        <w:t>Ongoing internal quality reviews, thematic file inspections, and post‑audit feedback.</w:t>
      </w:r>
    </w:p>
    <w:p w14:paraId="7C831445" w14:textId="77777777" w:rsidR="00492A04" w:rsidRDefault="00000000">
      <w:pPr>
        <w:pStyle w:val="ListBullet"/>
      </w:pPr>
      <w:r>
        <w:t>External Quality Assessment by an independent reviewer at least once every 3–5 years; results to ACB.</w:t>
      </w:r>
    </w:p>
    <w:p w14:paraId="4BAD8384" w14:textId="77777777" w:rsidR="00492A04" w:rsidRDefault="00000000">
      <w:pPr>
        <w:pStyle w:val="ListBullet"/>
      </w:pPr>
      <w:r>
        <w:t>KPI dashboard: plan delivery, cycle time, severity mix, repeat findings, stakeholder satisfaction.</w:t>
      </w:r>
    </w:p>
    <w:p w14:paraId="5A9B40E2" w14:textId="77777777" w:rsidR="00492A04" w:rsidRDefault="00000000">
      <w:pPr>
        <w:pStyle w:val="Heading1"/>
      </w:pPr>
      <w:r>
        <w:t>16. Technology Enablement</w:t>
      </w:r>
    </w:p>
    <w:p w14:paraId="11150774" w14:textId="77777777" w:rsidR="00492A04" w:rsidRDefault="00000000">
      <w:pPr>
        <w:pStyle w:val="ListBullet"/>
      </w:pPr>
      <w:r>
        <w:t>Audit Management System for planning, fieldwork, reporting, and action tracking with role‑based access.</w:t>
      </w:r>
    </w:p>
    <w:p w14:paraId="6ECBAF73" w14:textId="77777777" w:rsidR="00492A04" w:rsidRDefault="00000000">
      <w:pPr>
        <w:pStyle w:val="ListBullet"/>
      </w:pPr>
      <w:r>
        <w:t>Data analytics for continuous controls testing, sampling, and anomaly detection.</w:t>
      </w:r>
    </w:p>
    <w:p w14:paraId="1716C577" w14:textId="77777777" w:rsidR="00492A04" w:rsidRDefault="00000000">
      <w:pPr>
        <w:pStyle w:val="ListBullet"/>
      </w:pPr>
      <w:r>
        <w:t>Secure collaboration and e‑workpaper tools; integration with BI dashboards for MIS.</w:t>
      </w:r>
    </w:p>
    <w:p w14:paraId="5FA23547" w14:textId="77777777" w:rsidR="00492A04" w:rsidRDefault="00000000">
      <w:pPr>
        <w:pStyle w:val="Heading1"/>
      </w:pPr>
      <w:r>
        <w:t>17. Communication, Reporting &amp; MIS</w:t>
      </w:r>
    </w:p>
    <w:p w14:paraId="6CE2D6D5" w14:textId="77777777" w:rsidR="00492A04" w:rsidRDefault="00000000">
      <w:pPr>
        <w:pStyle w:val="ListBullet"/>
      </w:pPr>
      <w:r>
        <w:t>Quarterly report to ACB: Plan status, key findings/themes, overdue actions, resource utilization, QA results.</w:t>
      </w:r>
    </w:p>
    <w:p w14:paraId="555894C0" w14:textId="77777777" w:rsidR="00492A04" w:rsidRDefault="00000000">
      <w:pPr>
        <w:pStyle w:val="ListBullet"/>
      </w:pPr>
      <w:r>
        <w:t>Immediate escalation of material control failures, suspected frauds above defined thresholds, and regulatory breaches.</w:t>
      </w:r>
    </w:p>
    <w:p w14:paraId="424F6ED4" w14:textId="77777777" w:rsidR="00492A04" w:rsidRDefault="00000000">
      <w:pPr>
        <w:pStyle w:val="ListBullet"/>
      </w:pPr>
      <w:r>
        <w:t>Periodic management dashboards to CXOs and Business Heads with risk heat‑maps and trend analysis.</w:t>
      </w:r>
    </w:p>
    <w:p w14:paraId="7C5B9620" w14:textId="77777777" w:rsidR="00492A04" w:rsidRDefault="00000000">
      <w:pPr>
        <w:pStyle w:val="Heading1"/>
      </w:pPr>
      <w:r>
        <w:t>18. Interaction with Regulators &amp; External Auditors</w:t>
      </w:r>
    </w:p>
    <w:p w14:paraId="609B4508" w14:textId="77777777" w:rsidR="00492A04" w:rsidRDefault="00000000">
      <w:pPr>
        <w:pStyle w:val="ListBullet"/>
      </w:pPr>
      <w:r>
        <w:t>Co‑ordination with Statutory Central Auditors/branch auditors; sharing significant internal audit observations and remediation status.</w:t>
      </w:r>
    </w:p>
    <w:p w14:paraId="3FB4240A" w14:textId="77777777" w:rsidR="00492A04" w:rsidRDefault="00000000">
      <w:pPr>
        <w:pStyle w:val="ListBullet"/>
      </w:pPr>
      <w:r>
        <w:t>Support regulatory inspections and provide requested artefacts; monitor closure of regulatory observations.</w:t>
      </w:r>
    </w:p>
    <w:p w14:paraId="7CD76F31" w14:textId="77777777" w:rsidR="00492A04" w:rsidRDefault="00000000">
      <w:pPr>
        <w:pStyle w:val="ListBullet"/>
      </w:pPr>
      <w:r>
        <w:t>Provide inputs, where applicable, to LFAR and other regulatory deliverables.</w:t>
      </w:r>
    </w:p>
    <w:p w14:paraId="6FD1A9A7" w14:textId="77777777" w:rsidR="00492A04" w:rsidRDefault="00000000">
      <w:pPr>
        <w:pStyle w:val="Heading1"/>
      </w:pPr>
      <w:r>
        <w:t>19. Policy Administration, Exceptions &amp; Review</w:t>
      </w:r>
    </w:p>
    <w:p w14:paraId="59665970" w14:textId="77777777" w:rsidR="00492A04" w:rsidRDefault="00000000">
      <w:pPr>
        <w:pStyle w:val="ListBullet"/>
      </w:pPr>
      <w:r>
        <w:t>Exceptions to this policy must be approved by the CIA and reported to ACB with justification and compensating controls.</w:t>
      </w:r>
    </w:p>
    <w:p w14:paraId="4681FB93" w14:textId="77777777" w:rsidR="00492A04" w:rsidRDefault="00000000">
      <w:pPr>
        <w:pStyle w:val="ListBullet"/>
      </w:pPr>
      <w:r>
        <w:t>This policy will be reviewed at least annually or upon significant regulatory/business changes.</w:t>
      </w:r>
    </w:p>
    <w:p w14:paraId="039D00BC" w14:textId="77777777" w:rsidR="00492A04" w:rsidRDefault="00000000">
      <w:pPr>
        <w:pStyle w:val="ListBullet"/>
      </w:pPr>
      <w:r>
        <w:t>All changes require ACB approval and Board noting as applicable.</w:t>
      </w:r>
    </w:p>
    <w:p w14:paraId="3931E6F7" w14:textId="77777777" w:rsidR="00492A04" w:rsidRDefault="00000000">
      <w:pPr>
        <w:pStyle w:val="Heading1"/>
      </w:pPr>
      <w:r>
        <w:t>20. Annexures (Illustrative Templates)</w:t>
      </w:r>
    </w:p>
    <w:p w14:paraId="4A767430" w14:textId="77777777" w:rsidR="00492A04" w:rsidRDefault="00000000">
      <w:r>
        <w:t>Annexure A: Audit Rating Scale &amp; Heat‑Map Criteria</w:t>
      </w:r>
    </w:p>
    <w:p w14:paraId="3D5422D7" w14:textId="77777777" w:rsidR="00492A04" w:rsidRDefault="00000000">
      <w:pPr>
        <w:pStyle w:val="ListBullet"/>
      </w:pPr>
      <w:r>
        <w:lastRenderedPageBreak/>
        <w:t>Satisfactory: Controls designed and operating effectively; minor improvements only.</w:t>
      </w:r>
    </w:p>
    <w:p w14:paraId="5FC95DEE" w14:textId="77777777" w:rsidR="00492A04" w:rsidRDefault="00000000">
      <w:pPr>
        <w:pStyle w:val="ListBullet"/>
      </w:pPr>
      <w:r>
        <w:t>Needs Improvement: Some controls ineffective; risk exposure requires timely remediation.</w:t>
      </w:r>
    </w:p>
    <w:p w14:paraId="4B256CC5" w14:textId="77777777" w:rsidR="00492A04" w:rsidRDefault="00000000">
      <w:pPr>
        <w:pStyle w:val="ListBullet"/>
      </w:pPr>
      <w:r>
        <w:t>Unsatisfactory: Significant control failures; immediate corrective actions required; heightened monitoring.</w:t>
      </w:r>
    </w:p>
    <w:p w14:paraId="75CA9E53" w14:textId="77777777" w:rsidR="00492A04" w:rsidRDefault="00000000">
      <w:r>
        <w:t>Annexure B: Standard Audit Report Structure</w:t>
      </w:r>
    </w:p>
    <w:p w14:paraId="7928D168" w14:textId="77777777" w:rsidR="00492A04" w:rsidRDefault="00000000">
      <w:pPr>
        <w:pStyle w:val="ListBullet"/>
      </w:pPr>
      <w:r>
        <w:t>Executive Summary (overall rating, key themes)</w:t>
      </w:r>
    </w:p>
    <w:p w14:paraId="2DF67B58" w14:textId="77777777" w:rsidR="00492A04" w:rsidRDefault="00000000">
      <w:pPr>
        <w:pStyle w:val="ListBullet"/>
      </w:pPr>
      <w:r>
        <w:t>Detailed Observations (criteria, condition, cause, consequence, corrective action)</w:t>
      </w:r>
    </w:p>
    <w:p w14:paraId="63E69C7C" w14:textId="77777777" w:rsidR="00492A04" w:rsidRDefault="00000000">
      <w:pPr>
        <w:pStyle w:val="ListBullet"/>
      </w:pPr>
      <w:r>
        <w:t>Management Action Plan (owner, milestones, due date)</w:t>
      </w:r>
    </w:p>
    <w:p w14:paraId="210E1FC2" w14:textId="77777777" w:rsidR="00492A04" w:rsidRDefault="00000000">
      <w:pPr>
        <w:pStyle w:val="ListBullet"/>
      </w:pPr>
      <w:r>
        <w:t>Annexes (sample details, data tests, artefacts)</w:t>
      </w:r>
    </w:p>
    <w:p w14:paraId="35E51FBB" w14:textId="77777777" w:rsidR="00492A04" w:rsidRDefault="00000000">
      <w:r>
        <w:t>Annexure C: Issue Tracker – Minimum Fields</w:t>
      </w:r>
    </w:p>
    <w:p w14:paraId="31FF2300" w14:textId="77777777" w:rsidR="00492A04" w:rsidRDefault="00000000">
      <w:pPr>
        <w:pStyle w:val="ListBullet"/>
      </w:pPr>
      <w:r>
        <w:t>Reference ID, Function/Entity, Observation Title, Severity, Root Cause</w:t>
      </w:r>
    </w:p>
    <w:p w14:paraId="23EE7737" w14:textId="77777777" w:rsidR="00492A04" w:rsidRDefault="00000000">
      <w:pPr>
        <w:pStyle w:val="ListBullet"/>
      </w:pPr>
      <w:r>
        <w:t>Action Plan, Owner, Due Date, Status, Evidence Link, Validation Date</w:t>
      </w:r>
    </w:p>
    <w:p w14:paraId="0E604603" w14:textId="77777777" w:rsidR="00492A04" w:rsidRDefault="00000000">
      <w:r>
        <w:t>Annexure D: RBIA – Illustrative Risk Indicators</w:t>
      </w:r>
    </w:p>
    <w:p w14:paraId="1E6A8A14" w14:textId="77777777" w:rsidR="00492A04" w:rsidRDefault="00000000">
      <w:pPr>
        <w:pStyle w:val="ListBullet"/>
      </w:pPr>
      <w:r>
        <w:t>Regulatory findings and penalties</w:t>
      </w:r>
    </w:p>
    <w:p w14:paraId="783FE273" w14:textId="77777777" w:rsidR="00492A04" w:rsidRDefault="00000000">
      <w:pPr>
        <w:pStyle w:val="ListBullet"/>
      </w:pPr>
      <w:r>
        <w:t>Financial impact and customer harm potential</w:t>
      </w:r>
    </w:p>
    <w:p w14:paraId="45DF5707" w14:textId="77777777" w:rsidR="00492A04" w:rsidRDefault="00000000">
      <w:pPr>
        <w:pStyle w:val="ListBullet"/>
      </w:pPr>
      <w:r>
        <w:t>Change intensity (new products, systems, org changes)</w:t>
      </w:r>
    </w:p>
    <w:p w14:paraId="241A8E1F" w14:textId="77777777" w:rsidR="00492A04" w:rsidRDefault="00000000">
      <w:pPr>
        <w:pStyle w:val="ListBullet"/>
      </w:pPr>
      <w:r>
        <w:t>Outsourcing and technology complexity</w:t>
      </w:r>
    </w:p>
    <w:p w14:paraId="29CB084A" w14:textId="77777777" w:rsidR="00492A04" w:rsidRDefault="00000000">
      <w:pPr>
        <w:pStyle w:val="ListBullet"/>
      </w:pPr>
      <w:r>
        <w:t>Historical audit ratings and repeat findings</w:t>
      </w:r>
    </w:p>
    <w:p w14:paraId="6D09CE3B" w14:textId="77777777" w:rsidR="00492A04" w:rsidRDefault="00000000">
      <w:r>
        <w:t>Annexure E: Independence &amp; Conflict Declaration Template</w:t>
      </w:r>
    </w:p>
    <w:p w14:paraId="2C3994FC" w14:textId="77777777" w:rsidR="00492A04" w:rsidRDefault="00000000">
      <w:pPr>
        <w:pStyle w:val="ListBullet"/>
      </w:pPr>
      <w:r>
        <w:t>Engagement Name/Code</w:t>
      </w:r>
    </w:p>
    <w:p w14:paraId="38156296" w14:textId="77777777" w:rsidR="00492A04" w:rsidRDefault="00000000">
      <w:pPr>
        <w:pStyle w:val="ListBullet"/>
      </w:pPr>
      <w:r>
        <w:t>Auditor Declaration of no conflict (past roles, relationships)</w:t>
      </w:r>
    </w:p>
    <w:p w14:paraId="2773E292" w14:textId="77777777" w:rsidR="00492A04" w:rsidRDefault="00000000">
      <w:pPr>
        <w:pStyle w:val="ListBullet"/>
      </w:pPr>
      <w:r>
        <w:t>Manager Review &amp; Sign‑off</w:t>
      </w:r>
    </w:p>
    <w:sectPr w:rsidR="00492A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470686">
    <w:abstractNumId w:val="8"/>
  </w:num>
  <w:num w:numId="2" w16cid:durableId="308360261">
    <w:abstractNumId w:val="6"/>
  </w:num>
  <w:num w:numId="3" w16cid:durableId="1585063368">
    <w:abstractNumId w:val="5"/>
  </w:num>
  <w:num w:numId="4" w16cid:durableId="522667819">
    <w:abstractNumId w:val="4"/>
  </w:num>
  <w:num w:numId="5" w16cid:durableId="2133747178">
    <w:abstractNumId w:val="7"/>
  </w:num>
  <w:num w:numId="6" w16cid:durableId="1262835259">
    <w:abstractNumId w:val="3"/>
  </w:num>
  <w:num w:numId="7" w16cid:durableId="1220242769">
    <w:abstractNumId w:val="2"/>
  </w:num>
  <w:num w:numId="8" w16cid:durableId="2013600113">
    <w:abstractNumId w:val="1"/>
  </w:num>
  <w:num w:numId="9" w16cid:durableId="65472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A30"/>
    <w:rsid w:val="0029639D"/>
    <w:rsid w:val="00326F90"/>
    <w:rsid w:val="00492A04"/>
    <w:rsid w:val="009B77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A0029"/>
  <w14:defaultImageDpi w14:val="300"/>
  <w15:docId w15:val="{64845D5A-1217-4A75-95E0-B5DC25E5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1675</Words>
  <Characters>9553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Dheeraj Khatri (IND)</cp:lastModifiedBy>
  <cp:revision>3</cp:revision>
  <dcterms:created xsi:type="dcterms:W3CDTF">2013-12-23T23:15:00Z</dcterms:created>
  <dcterms:modified xsi:type="dcterms:W3CDTF">2026-03-16T15:45:00Z</dcterms:modified>
  <cp:category/>
</cp:coreProperties>
</file>