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320"/>
        <w:jc w:val="center"/>
      </w:pPr>
      <w:r>
        <w:rPr>
          <w:rFonts w:ascii="Calibri" w:hAnsi="Calibri"/>
          <w:b/>
          <w:color w:val="B7791F"/>
          <w:sz w:val="20"/>
        </w:rPr>
        <w:t>PRODUCT AND DELIVERY GUIDE</w:t>
      </w:r>
    </w:p>
    <w:p>
      <w:pPr>
        <w:spacing w:after="200"/>
        <w:jc w:val="center"/>
      </w:pPr>
      <w:r>
        <w:rPr>
          <w:rFonts w:ascii="Calibri" w:hAnsi="Calibri"/>
          <w:b/>
          <w:color w:val="16324F"/>
          <w:sz w:val="60"/>
        </w:rPr>
        <w:t>AI Model Validation Tool</w:t>
      </w:r>
    </w:p>
    <w:p>
      <w:pPr>
        <w:spacing w:after="480"/>
        <w:jc w:val="center"/>
      </w:pPr>
      <w:r>
        <w:rPr>
          <w:rFonts w:ascii="Calibri" w:hAnsi="Calibri"/>
          <w:color w:val="1F4D78"/>
          <w:sz w:val="30"/>
        </w:rPr>
        <w:t>MVP validation guide for the ranked top 10 checks</w:t>
      </w:r>
    </w:p>
    <w:p>
      <w:pPr>
        <w:spacing w:after="1240"/>
        <w:jc w:val="center"/>
      </w:pPr>
      <w:r>
        <w:rPr>
          <w:rFonts w:ascii="Calibri" w:hAnsi="Calibri"/>
          <w:i/>
          <w:color w:val="64748B"/>
          <w:sz w:val="22"/>
        </w:rPr>
        <w:t>A model-agnostic framework for deciding whether an AI model is ready, where it fails, and what evidence should support the release decision.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Prepared for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Aswin and Soumyajit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Version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30 July 2026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Scope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Predictive-model MVP with an extension path to GenAI, RAG, and agents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rFonts w:ascii="Calibri" w:hAnsi="Calibri"/>
          <w:color w:val="64748B"/>
          <w:sz w:val="18"/>
        </w:rPr>
        <w:t>Reference baseline reviewed 30 July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strongest validation product is not a catalogue of metrics. It is a decision system that connects intended use, error costs, evidence, thresholds, affected groups, remediation, and a clear release outcome. NIST frames AI risk work as govern, map, measure, and manage, with repeatable test, evaluation, verification, and validation practices across the lifecycle.</w:t>
      </w:r>
      <w:r>
        <w:t xml:space="preserve"> </w:t>
      </w:r>
      <w:hyperlink r:id="rId11">
        <w:r>
          <w:rPr>
            <w:rFonts w:ascii="Calibri" w:hAnsi="Calibri"/>
            <w:color w:val="2E74B5"/>
          </w:rPr>
          <w:t>[1]</w:t>
        </w:r>
      </w:hyperlink>
      <w:r>
        <w:t xml:space="preserve"> </w:t>
      </w:r>
      <w:hyperlink r:id="rId12">
        <w:r>
          <w:rPr>
            <w:rFonts w:ascii="Calibri" w:hAnsi="Calibri"/>
            <w:color w:val="2E74B5"/>
          </w:rPr>
          <w:t>[2]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Recommended MVP: </w:t>
            </w:r>
            <w:r>
              <w:rPr>
                <w:rFonts w:ascii="Calibri" w:hAnsi="Calibri"/>
                <w:color w:val="243244"/>
                <w:sz w:val="21"/>
              </w:rPr>
              <w:t>Start with the ten checks in this guide, require a short evaluation contract before every run, and produce evidence-first pass, warning, or fail findings. Add GenAI, RAG, agent, privacy, and security packs after the core workflow is reliable.</w:t>
            </w:r>
          </w:p>
        </w:tc>
      </w:tr>
    </w:tbl>
    <w:p>
      <w:pPr>
        <w:spacing w:after="0"/>
      </w:pPr>
    </w:p>
    <w:p>
      <w:r>
        <w:t>The ranking below is a product-prioritization judgment based on breadth of use, dependency order, and value in preventing misleading evaluation. It is not a universal legal or industry ranking. A high-risk use case may legitimately move fairness, robustness, privacy, or human oversight higher.</w:t>
      </w:r>
      <w:r>
        <w:t xml:space="preserve"> </w:t>
      </w:r>
      <w:hyperlink r:id="rId11">
        <w:r>
          <w:rPr>
            <w:rFonts w:ascii="Calibri" w:hAnsi="Calibri"/>
            <w:color w:val="2E74B5"/>
          </w:rPr>
          <w:t>[1]</w:t>
        </w:r>
      </w:hyperlink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  <w:r>
        <w:t xml:space="preserve"> </w:t>
      </w:r>
      <w:hyperlink r:id="rId14">
        <w:r>
          <w:rPr>
            <w:rFonts w:ascii="Calibri" w:hAnsi="Calibri"/>
            <w:color w:val="2E74B5"/>
          </w:rPr>
          <w:t>[5]</w:t>
        </w:r>
      </w:hyperlink>
    </w:p>
    <w:p>
      <w:pPr>
        <w:pStyle w:val="Heading2"/>
      </w:pPr>
      <w:r>
        <w:t>What model-agnostic should mean</w:t>
      </w:r>
    </w:p>
    <w:p>
      <w:pPr>
        <w:numPr>
          <w:ilvl w:val="0"/>
          <w:numId w:val="50"/>
        </w:numPr>
      </w:pPr>
      <w:r>
        <w:t>The tool evaluates standardized evidence - inputs, expected outputs, predictions, probabilities, groups, timestamps, metadata, and optional traces - rather than depending on one model framework.</w:t>
      </w:r>
    </w:p>
    <w:p>
      <w:pPr>
        <w:numPr>
          <w:ilvl w:val="0"/>
          <w:numId w:val="50"/>
        </w:numPr>
      </w:pPr>
      <w:r>
        <w:t>The core finding format stays consistent across task types: score, threshold, status, severity, affected records or slices, evidence, method, remediation, limitations, and provenance.</w:t>
      </w:r>
    </w:p>
    <w:p>
      <w:pPr>
        <w:numPr>
          <w:ilvl w:val="0"/>
          <w:numId w:val="50"/>
        </w:numPr>
      </w:pPr>
      <w:r>
        <w:t>Task-specific metric packs can vary for classification, regression, forecasting, ranking, GenAI, RAG, and agents without changing the overall evaluation and reporting workflow.</w:t>
      </w:r>
    </w:p>
    <w:p>
      <w:pPr>
        <w:pStyle w:val="Heading2"/>
      </w:pPr>
      <w:r>
        <w:t>The evaluation contract</w:t>
      </w:r>
    </w:p>
    <w:p>
      <w:r>
        <w:t>Before metrics are selected, every run should capture the following information. This prevents the tool from presenting context-free scores as a validation decision.</w:t>
      </w:r>
      <w:r>
        <w:t xml:space="preserve"> </w:t>
      </w:r>
      <w:hyperlink r:id="rId12">
        <w:r>
          <w:rPr>
            <w:rFonts w:ascii="Calibri" w:hAnsi="Calibri"/>
            <w:color w:val="2E74B5"/>
          </w:rPr>
          <w:t>[2]</w:t>
        </w:r>
      </w:hyperlink>
      <w:r>
        <w:t xml:space="preserve"> </w:t>
      </w:r>
      <w:hyperlink r:id="rId15">
        <w:r>
          <w:rPr>
            <w:rFonts w:ascii="Calibri" w:hAnsi="Calibri"/>
            <w:color w:val="2E74B5"/>
          </w:rPr>
          <w:t>[3]</w:t>
        </w:r>
      </w:hyperlink>
    </w:p>
    <w:p>
      <w:pPr>
        <w:numPr>
          <w:ilvl w:val="0"/>
          <w:numId w:val="50"/>
        </w:numPr>
      </w:pPr>
      <w:r>
        <w:t>Intended use, intended users, and prohibited uses.</w:t>
      </w:r>
    </w:p>
    <w:p>
      <w:pPr>
        <w:numPr>
          <w:ilvl w:val="0"/>
          <w:numId w:val="50"/>
        </w:numPr>
      </w:pPr>
      <w:r>
        <w:t>Decision being supported and the cost of false positives, false negatives, or large errors.</w:t>
      </w:r>
    </w:p>
    <w:p>
      <w:pPr>
        <w:numPr>
          <w:ilvl w:val="0"/>
          <w:numId w:val="50"/>
        </w:numPr>
      </w:pPr>
      <w:r>
        <w:t>Evaluation population, time window, data source, and expected deployment conditions.</w:t>
      </w:r>
    </w:p>
    <w:p>
      <w:pPr>
        <w:numPr>
          <w:ilvl w:val="0"/>
          <w:numId w:val="50"/>
        </w:numPr>
      </w:pPr>
      <w:r>
        <w:t>Baseline model or business rule and the metrics that reflect the real decision.</w:t>
      </w:r>
    </w:p>
    <w:p>
      <w:pPr>
        <w:numPr>
          <w:ilvl w:val="0"/>
          <w:numId w:val="50"/>
        </w:numPr>
      </w:pPr>
      <w:r>
        <w:t>Critical slices, protected or vulnerable groups, and minimum sample-size rules.</w:t>
      </w:r>
    </w:p>
    <w:p>
      <w:pPr>
        <w:numPr>
          <w:ilvl w:val="0"/>
          <w:numId w:val="50"/>
        </w:numPr>
      </w:pPr>
      <w:r>
        <w:t>Pass, warning, and fail thresholds, including any worst-slice or regression limits.</w:t>
      </w:r>
    </w:p>
    <w:p>
      <w:pPr>
        <w:numPr>
          <w:ilvl w:val="0"/>
          <w:numId w:val="50"/>
        </w:numPr>
      </w:pPr>
      <w:r>
        <w:t>Release owner, reviewers, limitations, override process, and monitoring plan.</w:t>
      </w:r>
    </w:p>
    <w:p>
      <w:pPr>
        <w:pStyle w:val="Heading1"/>
      </w:pPr>
      <w:r>
        <w:t>Ranked top 10 validation checks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3000"/>
        <w:gridCol w:w="4700"/>
        <w:gridCol w:w="16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Validation check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Primary decision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1. Data Quality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Is the evaluation data complete, valid, consistent, and usable?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Aswin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2. Leakage and Split Integrity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Can the evaluation be trusted as a measure of generalization?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Aswin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3. Model Performance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Does the model meet the intended-use quality target?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Aswin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4. Baseline and Model Comparison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Is the candidate materially better than the alternatives?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Soumyajit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5. Slice Performance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Where does performance degrade for important segments?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Soumyajit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6. Robustness and Stress Testing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Does the model remain dependable under realistic disruption?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Soumyajit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7. Calibration and Uncertainty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Can confidence and uncertainty be used safely?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Aswin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8. Fairness and Bias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Are outcomes and errors acceptable across relevant groups?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Soumyajit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9. Drift and Monitoring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Is the model staying healthy after release?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Aswin</w:t>
            </w:r>
          </w:p>
        </w:tc>
      </w:tr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10. Reporting and Scorecards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Can reviewers reproduce and act on the evidence?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Soumyajit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64748B"/>
          <w:sz w:val="18"/>
        </w:rPr>
        <w:t>The selection synthesizes common evaluation practice with NIST AI RMF, EU AI Act, ISO/IEC 42001, and established model-evaluation guidance.</w:t>
      </w:r>
      <w:r>
        <w:t xml:space="preserve"> </w:t>
      </w:r>
      <w:hyperlink r:id="rId11">
        <w:r>
          <w:rPr>
            <w:rFonts w:ascii="Calibri" w:hAnsi="Calibri"/>
            <w:color w:val="2E74B5"/>
          </w:rPr>
          <w:t>[1]</w:t>
        </w:r>
      </w:hyperlink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  <w:r>
        <w:t xml:space="preserve"> </w:t>
      </w:r>
      <w:hyperlink r:id="rId14">
        <w:r>
          <w:rPr>
            <w:rFonts w:ascii="Calibri" w:hAnsi="Calibri"/>
            <w:color w:val="2E74B5"/>
          </w:rPr>
          <w:t>[5]</w:t>
        </w:r>
      </w:hyperlink>
      <w:r>
        <w:t xml:space="preserve"> </w:t>
      </w:r>
      <w:hyperlink r:id="rId16">
        <w:r>
          <w:rPr>
            <w:rFonts w:ascii="Calibri" w:hAnsi="Calibri"/>
            <w:color w:val="2E74B5"/>
          </w:rPr>
          <w:t>[6]</w:t>
        </w:r>
      </w:hyperlink>
    </w:p>
    <w:p>
      <w:pPr>
        <w:pStyle w:val="Heading1"/>
      </w:pPr>
      <w:r>
        <w:t>Detailed guide to each check</w:t>
      </w:r>
    </w:p>
    <w:p>
      <w:pPr>
        <w:pStyle w:val="Heading2"/>
      </w:pPr>
      <w:r>
        <w:t>1. Data Quality</w:t>
      </w:r>
    </w:p>
    <w:p>
      <w:r>
        <w:t>Poor-quality evaluation data invalidates every downstream metric. The tool should establish whether the dataset is usable, representative enough for the stated context, and free from critical defects.</w:t>
      </w:r>
      <w:r>
        <w:t xml:space="preserve"> </w:t>
      </w:r>
      <w:hyperlink r:id="rId15">
        <w:r>
          <w:rPr>
            <w:rFonts w:ascii="Calibri" w:hAnsi="Calibri"/>
            <w:color w:val="2E74B5"/>
          </w:rPr>
          <w:t>[3]</w:t>
        </w:r>
      </w:hyperlink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Schema, data types, required fields, accepted categories, and cross-field rules.</w:t>
      </w:r>
    </w:p>
    <w:p>
      <w:pPr>
        <w:numPr>
          <w:ilvl w:val="0"/>
          <w:numId w:val="50"/>
        </w:numPr>
      </w:pPr>
      <w:r>
        <w:t>Missingness, duplicates, impossible values, unusual ranges, and inconsistent encodings.</w:t>
      </w:r>
    </w:p>
    <w:p>
      <w:pPr>
        <w:numPr>
          <w:ilvl w:val="0"/>
          <w:numId w:val="50"/>
        </w:numPr>
      </w:pPr>
      <w:r>
        <w:t>Freshness, volume, class balance, and differences from the intended population.</w:t>
      </w:r>
    </w:p>
    <w:p>
      <w:pPr>
        <w:numPr>
          <w:ilvl w:val="0"/>
          <w:numId w:val="50"/>
        </w:numPr>
      </w:pPr>
      <w:r>
        <w:t>Label availability and suspicious label patterns when a target is present.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Completeness rate, validity rate, duplicate rate, freshness lag, unexpected-category rate, outlier rate, and label distribution.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Evaluation dataset, expected schema, field rules, target column, timestamps, and optional reference dataset.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field-level and record-level issue list with severity, counts, examples, and recommended correction.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Infer likely field meaning, group related anomalies, and draft plain-language explanations. Guardrail: Never silently repair, remove, or relabel records; proposed changes require explicit approval and must be logged.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No critical schema or target defects; all remaining issues are within approved tolerances and visible in the report.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Aswin</w:t>
      </w:r>
    </w:p>
    <w:p>
      <w:pPr>
        <w:pStyle w:val="Heading2"/>
      </w:pPr>
      <w:r>
        <w:t>2. Data Leakage and Split Integrity</w:t>
      </w:r>
    </w:p>
    <w:p>
      <w:r>
        <w:t>A model can appear excellent when information from the target, future, or test set reaches training. Leakage checks protect the credibility of the evaluation rather than the model itself.</w:t>
      </w:r>
      <w:r>
        <w:t xml:space="preserve"> </w:t>
      </w:r>
      <w:hyperlink r:id="rId17">
        <w:r>
          <w:rPr>
            <w:rFonts w:ascii="Calibri" w:hAnsi="Calibri"/>
            <w:color w:val="2E74B5"/>
          </w:rPr>
          <w:t>[7]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Target or proxy leakage through features derived from the answer.</w:t>
      </w:r>
    </w:p>
    <w:p>
      <w:pPr>
        <w:numPr>
          <w:ilvl w:val="0"/>
          <w:numId w:val="50"/>
        </w:numPr>
      </w:pPr>
      <w:r>
        <w:t>Temporal leakage where future information is used to predict an earlier event.</w:t>
      </w:r>
    </w:p>
    <w:p>
      <w:pPr>
        <w:numPr>
          <w:ilvl w:val="0"/>
          <w:numId w:val="50"/>
        </w:numPr>
      </w:pPr>
      <w:r>
        <w:t>Entity, customer, patient, device, or household overlap across splits.</w:t>
      </w:r>
    </w:p>
    <w:p>
      <w:pPr>
        <w:numPr>
          <w:ilvl w:val="0"/>
          <w:numId w:val="50"/>
        </w:numPr>
      </w:pPr>
      <w:r>
        <w:t>Exact and near-duplicate records across training and evaluation data.</w:t>
      </w:r>
    </w:p>
    <w:p>
      <w:pPr>
        <w:numPr>
          <w:ilvl w:val="0"/>
          <w:numId w:val="50"/>
        </w:numPr>
      </w:pPr>
      <w:r>
        <w:t>Preprocessing fitted on the full dataset and repeated tuning against the final test set.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Entity-overlap rate, duplicate-overlap rate, temporal violations, suspicious feature associations, and train-validation-test distribution comparisons.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Split identifiers or separate datasets, timestamps, entity keys, feature definitions, preprocessing notes, and lineage.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leakage risk summary with offending features or records and a recommended split or preprocessing correction.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Use semantic similarity to find near-duplicates and use field descriptions to suggest features that may encode the target. Guardrail: AI signals are investigative leads; deterministic overlap checks and reviewer confirmation remain authoritative.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No known target or future leakage, no prohibited entity overlap, and a final test set that has not influenced tuning.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Aswin</w:t>
      </w:r>
    </w:p>
    <w:p>
      <w:pPr>
        <w:pStyle w:val="Heading2"/>
      </w:pPr>
      <w:r>
        <w:t>3. Model Performance</w:t>
      </w:r>
    </w:p>
    <w:p>
      <w:r>
        <w:t>Performance must be measured with metrics that match the task and the cost of errors. A single headline number is rarely sufficient, especially for imbalanced or high-stakes decisions.</w:t>
      </w:r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  <w:r>
        <w:t xml:space="preserve"> </w:t>
      </w:r>
      <w:hyperlink r:id="rId16">
        <w:r>
          <w:rPr>
            <w:rFonts w:ascii="Calibri" w:hAnsi="Calibri"/>
            <w:color w:val="2E74B5"/>
          </w:rPr>
          <w:t>[6]</w:t>
        </w:r>
      </w:hyperlink>
      <w:r>
        <w:t xml:space="preserve"> </w:t>
      </w:r>
      <w:hyperlink r:id="rId17">
        <w:r>
          <w:rPr>
            <w:rFonts w:ascii="Calibri" w:hAnsi="Calibri"/>
            <w:color w:val="2E74B5"/>
          </w:rPr>
          <w:t>[7]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Classification quality at the operating threshold and across meaningful thresholds.</w:t>
      </w:r>
    </w:p>
    <w:p>
      <w:pPr>
        <w:numPr>
          <w:ilvl w:val="0"/>
          <w:numId w:val="50"/>
        </w:numPr>
      </w:pPr>
      <w:r>
        <w:t>Regression error distribution, bias, and large-error behaviour.</w:t>
      </w:r>
    </w:p>
    <w:p>
      <w:pPr>
        <w:numPr>
          <w:ilvl w:val="0"/>
          <w:numId w:val="50"/>
        </w:numPr>
      </w:pPr>
      <w:r>
        <w:t>Generalization using a held-out test set or appropriate cross-validation.</w:t>
      </w:r>
    </w:p>
    <w:p>
      <w:pPr>
        <w:numPr>
          <w:ilvl w:val="0"/>
          <w:numId w:val="50"/>
        </w:numPr>
      </w:pPr>
      <w:r>
        <w:t>Performance against the business acceptance criteria defined in the evaluation contract.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Classification: confusion matrix, accuracy, balanced accuracy, precision, recall, specificity, F1, ROC-AUC, PR-AUC, log loss, and Brier score. Regression: MAE, median absolute error, RMSE, R-squared, bias, and pinball loss where quantiles matter.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Ground truth, predictions, probability or confidence scores where available, task type, and decision threshold.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metric scorecard, confidence intervals where practical, threshold curves, representative errors, and gate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Recommend a metric pack from the stated use case, class balance, and error costs; explain metric trade-offs in plain language. Guardrail: Metric recommendations must be reviewable and thresholds must be user-approved rather than invented by the AI.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All required metrics meet approved thresholds and no critical error mode is hidden by an aggregate average.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Aswin</w:t>
      </w:r>
    </w:p>
    <w:p>
      <w:pPr>
        <w:pStyle w:val="Heading2"/>
      </w:pPr>
      <w:r>
        <w:t>4. Baseline and Model Comparison</w:t>
      </w:r>
    </w:p>
    <w:p>
      <w:r>
        <w:t>A candidate should be judged against a meaningful alternative: a simple rule, a naive estimator, the current production model, or another candidate. Improvement should be practical, not merely numerical.</w:t>
      </w:r>
      <w:r>
        <w:t xml:space="preserve"> </w:t>
      </w:r>
      <w:hyperlink r:id="rId12">
        <w:r>
          <w:rPr>
            <w:rFonts w:ascii="Calibri" w:hAnsi="Calibri"/>
            <w:color w:val="2E74B5"/>
          </w:rPr>
          <w:t>[2]</w:t>
        </w:r>
      </w:hyperlink>
      <w:r>
        <w:t xml:space="preserve"> </w:t>
      </w:r>
      <w:hyperlink r:id="rId16">
        <w:r>
          <w:rPr>
            <w:rFonts w:ascii="Calibri" w:hAnsi="Calibri"/>
            <w:color w:val="2E74B5"/>
          </w:rPr>
          <w:t>[6]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Candidate and baseline evaluated on the same records, labels, slices, and thresholds.</w:t>
      </w:r>
    </w:p>
    <w:p>
      <w:pPr>
        <w:numPr>
          <w:ilvl w:val="0"/>
          <w:numId w:val="50"/>
        </w:numPr>
      </w:pPr>
      <w:r>
        <w:t>Absolute and relative metric changes, including any deterioration in critical metrics.</w:t>
      </w:r>
    </w:p>
    <w:p>
      <w:pPr>
        <w:numPr>
          <w:ilvl w:val="0"/>
          <w:numId w:val="50"/>
        </w:numPr>
      </w:pPr>
      <w:r>
        <w:t>Uncertainty through paired bootstrap intervals or another suitable paired method.</w:t>
      </w:r>
    </w:p>
    <w:p>
      <w:pPr>
        <w:numPr>
          <w:ilvl w:val="0"/>
          <w:numId w:val="50"/>
        </w:numPr>
      </w:pPr>
      <w:r>
        <w:t>Trade-offs across quality, fairness, robustness, latency, and cost.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Metric deltas, relative lift, confidence intervals, effect size, win-loss counts, latency change, and cost change.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Predictions from each model on the same evaluation set, baseline definition, and comparison policy.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champion-challenger view showing improvements, regressions, uncertainty, and the recommended decision.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Summarize where each model wins, cluster disagreement cases, and explain likely drivers of trade-offs. Guardrail: AI-generated explanations must link to the underlying records and statistics; they cannot replace the comparison test.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The candidate meets minimum quality and risk gates and delivers an approved material benefit over the baseline.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Soumyajit</w:t>
      </w:r>
    </w:p>
    <w:p>
      <w:pPr>
        <w:pStyle w:val="Heading2"/>
      </w:pPr>
      <w:r>
        <w:t>5. Slice Performance</w:t>
      </w:r>
    </w:p>
    <w:p>
      <w:r>
        <w:t>Aggregate metrics can hide severe failures. Slice analysis measures declared groups and searches for credible weak segments that correspond to real deployment conditions.</w:t>
      </w:r>
      <w:r>
        <w:t xml:space="preserve"> </w:t>
      </w:r>
      <w:hyperlink r:id="rId12">
        <w:r>
          <w:rPr>
            <w:rFonts w:ascii="Calibri" w:hAnsi="Calibri"/>
            <w:color w:val="2E74B5"/>
          </w:rPr>
          <w:t>[2]</w:t>
        </w:r>
      </w:hyperlink>
      <w:r>
        <w:t xml:space="preserve"> </w:t>
      </w:r>
      <w:hyperlink r:id="rId15">
        <w:r>
          <w:rPr>
            <w:rFonts w:ascii="Calibri" w:hAnsi="Calibri"/>
            <w:color w:val="2E74B5"/>
          </w:rPr>
          <w:t>[3]</w:t>
        </w:r>
      </w:hyperlink>
      <w:r>
        <w:t xml:space="preserve"> </w:t>
      </w:r>
      <w:hyperlink r:id="rId18">
        <w:r>
          <w:rPr>
            <w:rFonts w:ascii="Calibri" w:hAnsi="Calibri"/>
            <w:color w:val="2E74B5"/>
          </w:rPr>
          <w:t>[9]</w:t>
        </w:r>
      </w:hyperlink>
      <w:r>
        <w:t xml:space="preserve"> </w:t>
      </w:r>
      <w:hyperlink r:id="rId19">
        <w:r>
          <w:rPr>
            <w:rFonts w:ascii="Calibri" w:hAnsi="Calibri"/>
            <w:color w:val="2E74B5"/>
          </w:rPr>
          <w:t>[11]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Performance across business-critical, geographic, temporal, demographic, and operational groups.</w:t>
      </w:r>
    </w:p>
    <w:p>
      <w:pPr>
        <w:numPr>
          <w:ilvl w:val="0"/>
          <w:numId w:val="50"/>
        </w:numPr>
      </w:pPr>
      <w:r>
        <w:t>Worst-slice results, gap from overall performance, and gap from the best-performing slice.</w:t>
      </w:r>
    </w:p>
    <w:p>
      <w:pPr>
        <w:numPr>
          <w:ilvl w:val="0"/>
          <w:numId w:val="50"/>
        </w:numPr>
      </w:pPr>
      <w:r>
        <w:t>Intersectional slices where sample size supports a defensible conclusion.</w:t>
      </w:r>
    </w:p>
    <w:p>
      <w:pPr>
        <w:numPr>
          <w:ilvl w:val="0"/>
          <w:numId w:val="50"/>
        </w:numPr>
      </w:pPr>
      <w:r>
        <w:t>Stability of the finding across resamples, time windows, or repeated evaluations.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Per-slice base metrics, worst-slice value, absolute and relative gaps, support count, confidence interval, and minimum-sample warning.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Group columns, predictions, ground truth, critical-slice list, and minimum-sample policy.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ranked weak-slice list with statistical support, affected records, likely drivers, and remediation suggestions.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Discover candidate combinations of attributes where performance degrades and translate them into reviewable findings. Guardrail: Control for small samples and repeated searching; do not promote a discovered slice without stability evidence and domain review.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Every declared critical slice meets its gate, or the failure has an approved mitigation, limitation, or non-release decision.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Soumyajit</w:t>
      </w:r>
    </w:p>
    <w:p>
      <w:pPr>
        <w:pStyle w:val="Heading2"/>
      </w:pPr>
      <w:r>
        <w:t>6. Robustness and Stress Testing</w:t>
      </w:r>
    </w:p>
    <w:p>
      <w:r>
        <w:t>Robustness asks whether the model remains dependable when inputs are imperfect or deployment conditions change within a realistic range. Tests should be tied to known failure modes, not arbitrary corruption.</w:t>
      </w:r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  <w:r>
        <w:t xml:space="preserve"> </w:t>
      </w:r>
      <w:hyperlink r:id="rId20">
        <w:r>
          <w:rPr>
            <w:rFonts w:ascii="Calibri" w:hAnsi="Calibri"/>
            <w:color w:val="2E74B5"/>
          </w:rPr>
          <w:t>[13]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Missing or partially available fields, noisy values, formatting changes, and boundary values.</w:t>
      </w:r>
    </w:p>
    <w:p>
      <w:pPr>
        <w:numPr>
          <w:ilvl w:val="0"/>
          <w:numId w:val="50"/>
        </w:numPr>
      </w:pPr>
      <w:r>
        <w:t>Realistic distribution shifts, rare events, seasonal conditions, and operational constraints.</w:t>
      </w:r>
    </w:p>
    <w:p>
      <w:pPr>
        <w:numPr>
          <w:ilvl w:val="0"/>
          <w:numId w:val="50"/>
        </w:numPr>
      </w:pPr>
      <w:r>
        <w:t>Counterfactual changes that should not produce unreasonable output changes.</w:t>
      </w:r>
    </w:p>
    <w:p>
      <w:pPr>
        <w:numPr>
          <w:ilvl w:val="0"/>
          <w:numId w:val="50"/>
        </w:numPr>
      </w:pPr>
      <w:r>
        <w:t>Safe failure, abstention, fallback, or escalation when the model leaves its supported operating range.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Performance degradation, critical-failure rate, worst-case metric, abstention rate, recovery rate, and scenario pass rate.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Base evaluation set, domain-defined perturbations or scenarios, constraints, and fallback expectations.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scenario matrix with baseline result, stressed result, degradation, severity, examples, and recommended control.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Generate domain-specific test ideas and diverse edge cases from the documented use case and historical failures. Guardrail: Domain experts must approve realism and expected behaviour; generated stress tests cannot define policy on their own.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No critical scenario breaches the safety boundary, and degraded conditions trigger the expected fallback or warning.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Soumyajit</w:t>
      </w:r>
    </w:p>
    <w:p>
      <w:pPr>
        <w:pStyle w:val="Heading2"/>
      </w:pPr>
      <w:r>
        <w:t>7. Calibration and Uncertainty</w:t>
      </w:r>
    </w:p>
    <w:p>
      <w:r>
        <w:t>When decisions depend on confidence, a score of 0.8 should correspond to roughly the expected success frequency in comparable cases. Ranking ability and probability reliability are different properties.</w:t>
      </w:r>
      <w:r>
        <w:t xml:space="preserve"> </w:t>
      </w:r>
      <w:hyperlink r:id="rId21">
        <w:r>
          <w:rPr>
            <w:rFonts w:ascii="Calibri" w:hAnsi="Calibri"/>
            <w:color w:val="2E74B5"/>
          </w:rPr>
          <w:t>[8]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Reliability across probability bands and important slices.</w:t>
      </w:r>
    </w:p>
    <w:p>
      <w:pPr>
        <w:numPr>
          <w:ilvl w:val="0"/>
          <w:numId w:val="50"/>
        </w:numPr>
      </w:pPr>
      <w:r>
        <w:t>Whether confidence remains valid near the operating threshold.</w:t>
      </w:r>
    </w:p>
    <w:p>
      <w:pPr>
        <w:numPr>
          <w:ilvl w:val="0"/>
          <w:numId w:val="50"/>
        </w:numPr>
      </w:pPr>
      <w:r>
        <w:t>Prediction-interval coverage and width for regression where intervals are available.</w:t>
      </w:r>
    </w:p>
    <w:p>
      <w:pPr>
        <w:numPr>
          <w:ilvl w:val="0"/>
          <w:numId w:val="50"/>
        </w:numPr>
      </w:pPr>
      <w:r>
        <w:t>Abstention or escalation behaviour as uncertain cases are withheld.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Reliability diagram, Brier score, log loss, expected calibration error with a documented estimator, coverage, interval width, and risk-coverage curve.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Probability or confidence scores, ground truth, decision threshold, group columns, and optional intervals.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Calibration curves, overconfidence and underconfidence findings, uncertain-record examples, and threshold guidance.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Explain confidence gaps, suggest bins or slices for investigation, and propose abstention thresholds for review. Guardrail: AI must not fabricate probabilities or select a risk tolerance; calibration remains a statistical test tied to real outcomes.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Calibration is within the approved tolerance for the operating range, or recalibration and abstention controls are documented.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Aswin</w:t>
      </w:r>
    </w:p>
    <w:p>
      <w:pPr>
        <w:pStyle w:val="Heading2"/>
      </w:pPr>
      <w:r>
        <w:t>8. Fairness and Bias</w:t>
      </w:r>
    </w:p>
    <w:p>
      <w:r>
        <w:t>Fairness is contextual and socio-technical. The tool should reveal disparities and support a documented decision; it should not claim that one universal metric proves a system is fair.</w:t>
      </w:r>
      <w:r>
        <w:t xml:space="preserve"> </w:t>
      </w:r>
      <w:hyperlink r:id="rId18">
        <w:r>
          <w:rPr>
            <w:rFonts w:ascii="Calibri" w:hAnsi="Calibri"/>
            <w:color w:val="2E74B5"/>
          </w:rPr>
          <w:t>[9]</w:t>
        </w:r>
      </w:hyperlink>
      <w:r>
        <w:t xml:space="preserve"> </w:t>
      </w:r>
      <w:hyperlink r:id="rId22">
        <w:r>
          <w:rPr>
            <w:rFonts w:ascii="Calibri" w:hAnsi="Calibri"/>
            <w:color w:val="2E74B5"/>
          </w:rPr>
          <w:t>[10]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Base performance and error rates disaggregated by relevant groups.</w:t>
      </w:r>
    </w:p>
    <w:p>
      <w:pPr>
        <w:numPr>
          <w:ilvl w:val="0"/>
          <w:numId w:val="50"/>
        </w:numPr>
      </w:pPr>
      <w:r>
        <w:t>Selection rates, true-positive rates, false-positive rates, precision, and calibration gaps.</w:t>
      </w:r>
    </w:p>
    <w:p>
      <w:pPr>
        <w:numPr>
          <w:ilvl w:val="0"/>
          <w:numId w:val="50"/>
        </w:numPr>
      </w:pPr>
      <w:r>
        <w:t>Intersectional groups and small-sample uncertainty.</w:t>
      </w:r>
    </w:p>
    <w:p>
      <w:pPr>
        <w:numPr>
          <w:ilvl w:val="0"/>
          <w:numId w:val="50"/>
        </w:numPr>
      </w:pPr>
      <w:r>
        <w:t>Data, label, measurement, and deployment processes that may produce or amplify harmful bias.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Group metric tables, selection-rate ratio or difference, demographic-parity difference, equal-opportunity difference, equalized-odds difference, calibration gap, support count, and confidence intervals.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Ground truth, predictions, protected or relevant group attributes where lawful and appropriate, and fairness policy.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disparity report with context, uncertainty, affected groups, potential causes, mitigation options, and owner decision.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Identify unexpected disparity patterns, summarize intersectional findings, and suggest questions for domain reviewers. Guardrail: AI cannot decide what fairness definition is legally or ethically appropriate; sensitive-attribute use and thresholds require governance approval.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Approved group metrics remain within context-specific limits, or a documented mitigation and accountable decision is in place.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Soumyajit</w:t>
      </w:r>
    </w:p>
    <w:p>
      <w:pPr>
        <w:pStyle w:val="Heading2"/>
      </w:pPr>
      <w:r>
        <w:t>9. Drift and Monitoring</w:t>
      </w:r>
    </w:p>
    <w:p>
      <w:r>
        <w:t>Validation continues after release. Monitoring should detect material changes, emerging failures, and control breakdowns early enough for investigation and response.</w:t>
      </w:r>
      <w:r>
        <w:t xml:space="preserve"> </w:t>
      </w:r>
      <w:hyperlink r:id="rId12">
        <w:r>
          <w:rPr>
            <w:rFonts w:ascii="Calibri" w:hAnsi="Calibri"/>
            <w:color w:val="2E74B5"/>
          </w:rPr>
          <w:t>[2]</w:t>
        </w:r>
      </w:hyperlink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Input feature, missingness, category, embedding, and volume changes.</w:t>
      </w:r>
    </w:p>
    <w:p>
      <w:pPr>
        <w:numPr>
          <w:ilvl w:val="0"/>
          <w:numId w:val="50"/>
        </w:numPr>
      </w:pPr>
      <w:r>
        <w:t>Prediction distribution, confidence, class mix, and abstention changes.</w:t>
      </w:r>
    </w:p>
    <w:p>
      <w:pPr>
        <w:numPr>
          <w:ilvl w:val="0"/>
          <w:numId w:val="50"/>
        </w:numPr>
      </w:pPr>
      <w:r>
        <w:t>Delayed-label performance and fairness drift when outcomes become available.</w:t>
      </w:r>
    </w:p>
    <w:p>
      <w:pPr>
        <w:numPr>
          <w:ilvl w:val="0"/>
          <w:numId w:val="50"/>
        </w:numPr>
      </w:pPr>
      <w:r>
        <w:t>Latency, failure rate, alert quality, cost, incidents, and user feedback.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Population Stability Index, Kolmogorov-Smirnov statistic, Wasserstein distance, Jensen-Shannon divergence, chi-square tests, missingness change, metric change, alert precision, and incident rate.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Reference window, current window, production predictions, optional delayed labels, slices, and alert policy.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 time-based health view with threshold breaches, affected features or slices, likely causes, and incident actions.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Prioritize correlated signals, group alerts into incidents, summarize probable causes, and draft investigation steps. Guardrail: Adaptive alerts must remain bounded by reviewed policies; AI may triage but must not suppress critical alerts without approval.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Monitoring covers agreed risk indicators, generates actionable alerts, and links each breach to an owner and response playbook.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Aswin</w:t>
      </w:r>
    </w:p>
    <w:p>
      <w:pPr>
        <w:pStyle w:val="Heading2"/>
      </w:pPr>
      <w:r>
        <w:t>10. Reporting and Scorecards</w:t>
      </w:r>
    </w:p>
    <w:p>
      <w:r>
        <w:t>Validation evidence must be understandable to decision-makers and reproducible by technical reviewers. Reports should separate facts, thresholds, interpretation, limitations, and the final decision.</w:t>
      </w:r>
      <w:r>
        <w:t xml:space="preserve"> </w:t>
      </w:r>
      <w:hyperlink r:id="rId14">
        <w:r>
          <w:rPr>
            <w:rFonts w:ascii="Calibri" w:hAnsi="Calibri"/>
            <w:color w:val="2E74B5"/>
          </w:rPr>
          <w:t>[5]</w:t>
        </w:r>
      </w:hyperlink>
      <w:r>
        <w:t xml:space="preserve"> </w:t>
      </w:r>
      <w:hyperlink r:id="rId19">
        <w:r>
          <w:rPr>
            <w:rFonts w:ascii="Calibri" w:hAnsi="Calibri"/>
            <w:color w:val="2E74B5"/>
          </w:rPr>
          <w:t>[11]</w:t>
        </w:r>
      </w:hyperlink>
      <w:r>
        <w:t xml:space="preserve"> </w:t>
      </w:r>
      <w:hyperlink r:id="rId23">
        <w:r>
          <w:rPr>
            <w:rFonts w:ascii="Calibri" w:hAnsi="Calibri"/>
            <w:color w:val="2E74B5"/>
          </w:rPr>
          <w:t>[12]</w:t>
        </w:r>
      </w:hyperlink>
    </w:p>
    <w:p>
      <w:pPr>
        <w:pStyle w:val="Heading3"/>
      </w:pPr>
      <w:r>
        <w:t>What the tool should validate</w:t>
      </w:r>
    </w:p>
    <w:p>
      <w:pPr>
        <w:numPr>
          <w:ilvl w:val="0"/>
          <w:numId w:val="50"/>
        </w:numPr>
      </w:pPr>
      <w:r>
        <w:t>Consistent pass, warning, and fail status with severity and threshold evidence.</w:t>
      </w:r>
    </w:p>
    <w:p>
      <w:pPr>
        <w:numPr>
          <w:ilvl w:val="0"/>
          <w:numId w:val="50"/>
        </w:numPr>
      </w:pPr>
      <w:r>
        <w:t>Metric definitions, evaluation data and time window, baseline, slices, methods, and model version.</w:t>
      </w:r>
    </w:p>
    <w:p>
      <w:pPr>
        <w:numPr>
          <w:ilvl w:val="0"/>
          <w:numId w:val="50"/>
        </w:numPr>
      </w:pPr>
      <w:r>
        <w:t>Affected records or examples, root-cause notes, remediation, limitations, and unresolved risks.</w:t>
      </w:r>
    </w:p>
    <w:p>
      <w:pPr>
        <w:numPr>
          <w:ilvl w:val="0"/>
          <w:numId w:val="50"/>
        </w:numPr>
      </w:pPr>
      <w:r>
        <w:t>Approval, override rationale, release decision, monitoring plan, and decision history.</w:t>
      </w:r>
    </w:p>
    <w:p>
      <w:r>
        <w:rPr>
          <w:rFonts w:ascii="Calibri" w:hAnsi="Calibri"/>
          <w:b/>
          <w:color w:val="1F4D78"/>
        </w:rPr>
        <w:t xml:space="preserve">Common metrics or methods: </w:t>
      </w:r>
      <w:r>
        <w:t>Check status, severity, score, threshold, metric delta, affected count, report completeness, and unresolved-risk count.</w:t>
      </w:r>
    </w:p>
    <w:p>
      <w:r>
        <w:rPr>
          <w:rFonts w:ascii="Calibri" w:hAnsi="Calibri"/>
          <w:b/>
          <w:color w:val="1F4D78"/>
        </w:rPr>
        <w:t xml:space="preserve">Required inputs: </w:t>
      </w:r>
      <w:r>
        <w:t>All check results, evaluation contract, model and dataset metadata, reviewer notes, and decision policy.</w:t>
      </w:r>
    </w:p>
    <w:p>
      <w:r>
        <w:rPr>
          <w:rFonts w:ascii="Calibri" w:hAnsi="Calibri"/>
          <w:b/>
          <w:color w:val="1F4D78"/>
        </w:rPr>
        <w:t xml:space="preserve">Expected output: </w:t>
      </w:r>
      <w:r>
        <w:t>An executive scorecard, technical evidence report, machine-readable result, and traceable decision record.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7791F"/>
                <w:sz w:val="21"/>
              </w:rPr>
              <w:t xml:space="preserve">AI-assisted opportunity: </w:t>
            </w:r>
            <w:r>
              <w:rPr>
                <w:rFonts w:ascii="Calibri" w:hAnsi="Calibri"/>
                <w:color w:val="243244"/>
                <w:sz w:val="21"/>
              </w:rPr>
              <w:t>Draft plain-language findings, tailor summaries by audience, and connect repeated failures to recommended actions. Guardrail: Every generated statement must link to evidence and provenance; AI-generated narrative cannot alter scores or approve release.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F4D78"/>
        </w:rPr>
        <w:t xml:space="preserve">MVP acceptance example: </w:t>
      </w:r>
      <w:r>
        <w:t>A reviewer can reproduce the result, understand limitations, identify the owner, and determine why the release decision was made.</w:t>
      </w:r>
    </w:p>
    <w:p>
      <w:r>
        <w:rPr>
          <w:rFonts w:ascii="Calibri" w:hAnsi="Calibri"/>
          <w:b/>
          <w:color w:val="1F6F50"/>
        </w:rPr>
        <w:t xml:space="preserve">Primary owner: </w:t>
      </w:r>
      <w:r>
        <w:rPr>
          <w:rFonts w:ascii="Calibri" w:hAnsi="Calibri"/>
          <w:b/>
          <w:color w:val="1F6F50"/>
        </w:rPr>
        <w:t>Soumyajit</w:t>
      </w:r>
    </w:p>
    <w:p>
      <w:pPr>
        <w:pStyle w:val="Heading1"/>
      </w:pPr>
      <w:r>
        <w:t>Where AI should be used inside the tool</w:t>
      </w:r>
    </w:p>
    <w:p>
      <w:r>
        <w:t>AI adds the most value when it accelerates investigation and communication while deterministic checks remain the source of truth. For GenAI-specific evaluation, judge models can help with open-ended quality, but they must be versioned, calibrated against trusted human review, and accompanied by evidence.</w:t>
      </w:r>
      <w:r>
        <w:t xml:space="preserve"> </w:t>
      </w:r>
      <w:hyperlink r:id="rId24">
        <w:r>
          <w:rPr>
            <w:rFonts w:ascii="Calibri" w:hAnsi="Calibri"/>
            <w:color w:val="2E74B5"/>
          </w:rPr>
          <w:t>[14]</w:t>
        </w:r>
      </w:hyperlink>
      <w:r>
        <w:t xml:space="preserve"> </w:t>
      </w:r>
      <w:hyperlink r:id="rId25">
        <w:r>
          <w:rPr>
            <w:rFonts w:ascii="Calibri" w:hAnsi="Calibri"/>
            <w:color w:val="2E74B5"/>
          </w:rPr>
          <w:t>[15]</w:t>
        </w:r>
      </w:hyperlink>
    </w:p>
    <w:p>
      <w:pPr>
        <w:numPr>
          <w:ilvl w:val="0"/>
          <w:numId w:val="50"/>
        </w:numPr>
      </w:pPr>
      <w:r>
        <w:rPr>
          <w:b/>
        </w:rPr>
        <w:t xml:space="preserve">Configuration copilot: </w:t>
      </w:r>
      <w:r>
        <w:t>Translate a use case into a proposed metric pack, slices, test scenarios, and threshold questions.</w:t>
      </w:r>
    </w:p>
    <w:p>
      <w:pPr>
        <w:numPr>
          <w:ilvl w:val="0"/>
          <w:numId w:val="50"/>
        </w:numPr>
      </w:pPr>
      <w:r>
        <w:rPr>
          <w:b/>
        </w:rPr>
        <w:t xml:space="preserve">Anomaly and weak-slice discovery: </w:t>
      </w:r>
      <w:r>
        <w:t>Surface suspicious records, correlated data issues, and credible segments where quality degrades.</w:t>
      </w:r>
    </w:p>
    <w:p>
      <w:pPr>
        <w:numPr>
          <w:ilvl w:val="0"/>
          <w:numId w:val="50"/>
        </w:numPr>
      </w:pPr>
      <w:r>
        <w:rPr>
          <w:b/>
        </w:rPr>
        <w:t xml:space="preserve">Test generation: </w:t>
      </w:r>
      <w:r>
        <w:t>Draft edge cases and stress scenarios from requirements, incidents, and historical failures.</w:t>
      </w:r>
    </w:p>
    <w:p>
      <w:pPr>
        <w:numPr>
          <w:ilvl w:val="0"/>
          <w:numId w:val="50"/>
        </w:numPr>
      </w:pPr>
      <w:r>
        <w:rPr>
          <w:b/>
        </w:rPr>
        <w:t xml:space="preserve">Root-cause assistance: </w:t>
      </w:r>
      <w:r>
        <w:t>Cluster failures and suggest likely data, model, threshold, or process causes.</w:t>
      </w:r>
    </w:p>
    <w:p>
      <w:pPr>
        <w:numPr>
          <w:ilvl w:val="0"/>
          <w:numId w:val="50"/>
        </w:numPr>
      </w:pPr>
      <w:r>
        <w:rPr>
          <w:b/>
        </w:rPr>
        <w:t xml:space="preserve">Evidence explanation: </w:t>
      </w:r>
      <w:r>
        <w:t>Turn technical metrics into audience-appropriate findings without changing the underlying results.</w:t>
      </w:r>
    </w:p>
    <w:p>
      <w:pPr>
        <w:numPr>
          <w:ilvl w:val="0"/>
          <w:numId w:val="50"/>
        </w:numPr>
      </w:pPr>
      <w:r>
        <w:rPr>
          <w:b/>
        </w:rPr>
        <w:t xml:space="preserve">Regression-set growth: </w:t>
      </w:r>
      <w:r>
        <w:t>Suggest which reviewed failures should become durable test cases for later versions.</w:t>
      </w:r>
    </w:p>
    <w:p>
      <w:pPr>
        <w:pStyle w:val="Heading2"/>
      </w:pPr>
      <w:r>
        <w:t>AI guardrails</w:t>
      </w:r>
    </w:p>
    <w:p>
      <w:pPr>
        <w:numPr>
          <w:ilvl w:val="0"/>
          <w:numId w:val="50"/>
        </w:numPr>
      </w:pPr>
      <w:r>
        <w:t>Label AI-generated suggestions and preserve the underlying deterministic evidence.</w:t>
      </w:r>
    </w:p>
    <w:p>
      <w:pPr>
        <w:numPr>
          <w:ilvl w:val="0"/>
          <w:numId w:val="50"/>
        </w:numPr>
      </w:pPr>
      <w:r>
        <w:t>Version prompts, rubrics, judge models, and evaluation datasets so results can be reproduced.</w:t>
      </w:r>
    </w:p>
    <w:p>
      <w:pPr>
        <w:numPr>
          <w:ilvl w:val="0"/>
          <w:numId w:val="50"/>
        </w:numPr>
      </w:pPr>
      <w:r>
        <w:t>Measure agreement between AI judges and trusted human reviewers before using judge scores in release gates.</w:t>
      </w:r>
    </w:p>
    <w:p>
      <w:pPr>
        <w:numPr>
          <w:ilvl w:val="0"/>
          <w:numId w:val="50"/>
        </w:numPr>
      </w:pPr>
      <w:r>
        <w:t>Require human approval for thresholds, fairness definitions, data corrections, risk acceptance, and release decisions.</w:t>
      </w:r>
    </w:p>
    <w:p>
      <w:pPr>
        <w:numPr>
          <w:ilvl w:val="0"/>
          <w:numId w:val="50"/>
        </w:numPr>
      </w:pPr>
      <w:r>
        <w:t>Do not send confidential records to an external model without an approved data-handling path.</w:t>
      </w:r>
    </w:p>
    <w:p>
      <w:pPr>
        <w:numPr>
          <w:ilvl w:val="0"/>
          <w:numId w:val="50"/>
        </w:numPr>
      </w:pPr>
      <w:r>
        <w:t>Provide a fallback when AI assistance is unavailable or insufficiently confident.</w:t>
      </w:r>
    </w:p>
    <w:p>
      <w:pPr>
        <w:pStyle w:val="Heading1"/>
      </w:pPr>
      <w:r>
        <w:t>How the product can stand out</w:t>
      </w:r>
    </w:p>
    <w:p>
      <w:pPr>
        <w:numPr>
          <w:ilvl w:val="0"/>
          <w:numId w:val="51"/>
        </w:numPr>
      </w:pPr>
      <w:r>
        <w:t>Validation contract first: require intended use, error costs, baseline, critical slices, and thresholds before running checks.</w:t>
      </w:r>
    </w:p>
    <w:p>
      <w:pPr>
        <w:numPr>
          <w:ilvl w:val="0"/>
          <w:numId w:val="51"/>
        </w:numPr>
      </w:pPr>
      <w:r>
        <w:t>Context-aware metric packs: recommend a small, justified set instead of overwhelming users with every possible metric.</w:t>
      </w:r>
    </w:p>
    <w:p>
      <w:pPr>
        <w:numPr>
          <w:ilvl w:val="0"/>
          <w:numId w:val="51"/>
        </w:numPr>
      </w:pPr>
      <w:r>
        <w:t>Automatic weak-slice discovery: find important failures with minimum-sample and statistical guardrails.</w:t>
      </w:r>
    </w:p>
    <w:p>
      <w:pPr>
        <w:numPr>
          <w:ilvl w:val="0"/>
          <w:numId w:val="51"/>
        </w:numPr>
      </w:pPr>
      <w:r>
        <w:t>Evidence-first findings: every alert includes affected records or slices, method, threshold, provenance, and a remediation path.</w:t>
      </w:r>
    </w:p>
    <w:p>
      <w:pPr>
        <w:numPr>
          <w:ilvl w:val="0"/>
          <w:numId w:val="51"/>
        </w:numPr>
      </w:pPr>
      <w:r>
        <w:t>Decision policies: combine absolute thresholds, baseline regressions, worst-slice rules, and approved overrides into a clear release outcome.</w:t>
      </w:r>
    </w:p>
    <w:p>
      <w:pPr>
        <w:numPr>
          <w:ilvl w:val="0"/>
          <w:numId w:val="51"/>
        </w:numPr>
      </w:pPr>
      <w:r>
        <w:t>Offline-to-production continuity: reuse the same check definitions before launch and during monitoring.</w:t>
      </w:r>
    </w:p>
    <w:p>
      <w:pPr>
        <w:numPr>
          <w:ilvl w:val="0"/>
          <w:numId w:val="51"/>
        </w:numPr>
      </w:pPr>
      <w:r>
        <w:t>AI-assisted but verifiable: use AI to investigate and explain, never to hide evidence or silently make the release decision.</w:t>
      </w:r>
    </w:p>
    <w:p>
      <w:pPr>
        <w:numPr>
          <w:ilvl w:val="0"/>
          <w:numId w:val="51"/>
        </w:numPr>
      </w:pPr>
      <w:r>
        <w:t>Model-agnostic onboarding: allow users to begin with predictions and labels, then add deeper integrations only when valuable.</w:t>
      </w:r>
    </w:p>
    <w:p>
      <w:pPr>
        <w:numPr>
          <w:ilvl w:val="0"/>
          <w:numId w:val="51"/>
        </w:numPr>
      </w:pPr>
      <w:r>
        <w:t>Transparent method cards: document what each metric detects, prerequisites, assumptions, limitations, and failure modes.</w:t>
      </w:r>
    </w:p>
    <w:p>
      <w:pPr>
        <w:numPr>
          <w:ilvl w:val="0"/>
          <w:numId w:val="51"/>
        </w:numPr>
      </w:pPr>
      <w:r>
        <w:t>Governance-ready exports: make audit evidence a natural by-product of validation rather than a separate manual exercise.</w:t>
      </w:r>
    </w:p>
    <w:p>
      <w:pPr>
        <w:pStyle w:val="Heading1"/>
      </w:pPr>
      <w:r>
        <w:t>Recommended user workflow</w:t>
      </w:r>
    </w:p>
    <w:p>
      <w:pPr>
        <w:numPr>
          <w:ilvl w:val="0"/>
          <w:numId w:val="51"/>
        </w:numPr>
      </w:pPr>
      <w:r>
        <w:t>Describe the model, intended use, decision, users, error costs, and prohibited uses.</w:t>
      </w:r>
    </w:p>
    <w:p>
      <w:pPr>
        <w:numPr>
          <w:ilvl w:val="0"/>
          <w:numId w:val="51"/>
        </w:numPr>
      </w:pPr>
      <w:r>
        <w:t>Provide evaluation data, ground truth, predictions, probabilities, groups, timestamps, and the baseline.</w:t>
      </w:r>
    </w:p>
    <w:p>
      <w:pPr>
        <w:numPr>
          <w:ilvl w:val="0"/>
          <w:numId w:val="51"/>
        </w:numPr>
      </w:pPr>
      <w:r>
        <w:t>Let the tool infer the task type and propose applicable checks, metrics, slices, and threshold questions.</w:t>
      </w:r>
    </w:p>
    <w:p>
      <w:pPr>
        <w:numPr>
          <w:ilvl w:val="0"/>
          <w:numId w:val="51"/>
        </w:numPr>
      </w:pPr>
      <w:r>
        <w:t>Review and approve the evaluation contract; record any unavailable check and the reason.</w:t>
      </w:r>
    </w:p>
    <w:p>
      <w:pPr>
        <w:numPr>
          <w:ilvl w:val="0"/>
          <w:numId w:val="51"/>
        </w:numPr>
      </w:pPr>
      <w:r>
        <w:t>Run the ten checks and normalize every result into a consistent evidence-backed finding.</w:t>
      </w:r>
    </w:p>
    <w:p>
      <w:pPr>
        <w:numPr>
          <w:ilvl w:val="0"/>
          <w:numId w:val="51"/>
        </w:numPr>
      </w:pPr>
      <w:r>
        <w:t>Investigate failures through slices, records, comparisons, stress cases, and AI-assisted explanations.</w:t>
      </w:r>
    </w:p>
    <w:p>
      <w:pPr>
        <w:numPr>
          <w:ilvl w:val="0"/>
          <w:numId w:val="51"/>
        </w:numPr>
      </w:pPr>
      <w:r>
        <w:t>Apply the release policy, record approvals or overrides, and generate executive and technical reports.</w:t>
      </w:r>
    </w:p>
    <w:p>
      <w:pPr>
        <w:numPr>
          <w:ilvl w:val="0"/>
          <w:numId w:val="51"/>
        </w:numPr>
      </w:pPr>
      <w:r>
        <w:t>Promote reviewed failures into the regression set and activate post-release monitoring.</w:t>
      </w:r>
    </w:p>
    <w:p>
      <w:pPr>
        <w:pStyle w:val="Heading1"/>
      </w:pPr>
      <w:r>
        <w:t>Two-person operating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Primary checks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Core deliverables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Aswin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1, 2, 3, 7 and 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Data profiles, split/leakage evidence, performance metrics, calibration views, and monitoring definitions.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Soumyajit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4, 5, 6, 8 and 10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Model comparisons, slice analysis, stress scenarios, fairness analysis, and decision-ready reports.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243244"/>
                <w:sz w:val="19"/>
              </w:rPr>
              <w:t>Shared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Evaluation contract and pilot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243244"/>
                <w:sz w:val="19"/>
              </w:rPr>
              <w:t>Agree intended use, error costs, thresholds, critical slices, release decisions, and final pilot findings.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Working rule: </w:t>
            </w:r>
            <w:r>
              <w:rPr>
                <w:rFonts w:ascii="Calibri" w:hAnsi="Calibri"/>
                <w:color w:val="243244"/>
                <w:sz w:val="21"/>
              </w:rPr>
              <w:t>Each owner builds and tests their five checks, while the other person reviews metric definitions, example findings, and failure cases. The final release decision and pilot report are shared.</w:t>
            </w:r>
          </w:p>
        </w:tc>
      </w:tr>
    </w:tbl>
    <w:p>
      <w:pPr>
        <w:spacing w:after="0"/>
      </w:pPr>
    </w:p>
    <w:p>
      <w:pPr>
        <w:pStyle w:val="Heading1"/>
      </w:pPr>
      <w:r>
        <w:t>MVP acceptance criteria</w:t>
      </w:r>
    </w:p>
    <w:p>
      <w:pPr>
        <w:numPr>
          <w:ilvl w:val="0"/>
          <w:numId w:val="50"/>
        </w:numPr>
      </w:pPr>
      <w:r>
        <w:t>The tool accepts a documented evaluation dataset containing ground truth, predictions, and relevant metadata.</w:t>
      </w:r>
    </w:p>
    <w:p>
      <w:pPr>
        <w:numPr>
          <w:ilvl w:val="0"/>
          <w:numId w:val="50"/>
        </w:numPr>
      </w:pPr>
      <w:r>
        <w:t>It runs all applicable top-ten checks and clearly marks checks that cannot run because inputs are missing.</w:t>
      </w:r>
    </w:p>
    <w:p>
      <w:pPr>
        <w:numPr>
          <w:ilvl w:val="0"/>
          <w:numId w:val="50"/>
        </w:numPr>
      </w:pPr>
      <w:r>
        <w:t>Metric results match trusted reference implementations on fixed golden datasets and edge cases.</w:t>
      </w:r>
    </w:p>
    <w:p>
      <w:pPr>
        <w:numPr>
          <w:ilvl w:val="0"/>
          <w:numId w:val="50"/>
        </w:numPr>
      </w:pPr>
      <w:r>
        <w:t>Every finding contains a method, score, threshold, status, severity, evidence, and remediation guidance.</w:t>
      </w:r>
    </w:p>
    <w:p>
      <w:pPr>
        <w:numPr>
          <w:ilvl w:val="0"/>
          <w:numId w:val="50"/>
        </w:numPr>
      </w:pPr>
      <w:r>
        <w:t>Users can compare a candidate with a baseline on the same evaluation population.</w:t>
      </w:r>
    </w:p>
    <w:p>
      <w:pPr>
        <w:numPr>
          <w:ilvl w:val="0"/>
          <w:numId w:val="50"/>
        </w:numPr>
      </w:pPr>
      <w:r>
        <w:t>Thresholds and critical slices are configurable and stored with the run.</w:t>
      </w:r>
    </w:p>
    <w:p>
      <w:pPr>
        <w:numPr>
          <w:ilvl w:val="0"/>
          <w:numId w:val="50"/>
        </w:numPr>
      </w:pPr>
      <w:r>
        <w:t>The report separates measured facts from AI-generated interpretation and records all relevant versions.</w:t>
      </w:r>
    </w:p>
    <w:p>
      <w:pPr>
        <w:numPr>
          <w:ilvl w:val="0"/>
          <w:numId w:val="50"/>
        </w:numPr>
      </w:pPr>
      <w:r>
        <w:t>At least one classification and one regression pilot complete end to end with reproducible results.</w:t>
      </w:r>
    </w:p>
    <w:p>
      <w:pPr>
        <w:pStyle w:val="Heading1"/>
      </w:pPr>
      <w:r>
        <w:t>MVP boundaries and extension path</w:t>
      </w:r>
    </w:p>
    <w:p>
      <w:r>
        <w:t>The top ten create a strong predictive-model core. They do not fully cover every AI system. Add extension packs only after the core evidence and reporting workflow is stable.</w:t>
      </w:r>
    </w:p>
    <w:p>
      <w:pPr>
        <w:numPr>
          <w:ilvl w:val="0"/>
          <w:numId w:val="50"/>
        </w:numPr>
      </w:pPr>
      <w:r>
        <w:rPr>
          <w:b/>
        </w:rPr>
        <w:t xml:space="preserve">GenAI quality: </w:t>
      </w:r>
      <w:r>
        <w:t>correctness, relevance, completeness, instruction-following, consistency, hallucination, groundedness, and safety.</w:t>
      </w:r>
    </w:p>
    <w:p>
      <w:pPr>
        <w:numPr>
          <w:ilvl w:val="0"/>
          <w:numId w:val="50"/>
        </w:numPr>
      </w:pPr>
      <w:r>
        <w:rPr>
          <w:b/>
        </w:rPr>
        <w:t xml:space="preserve">RAG: </w:t>
      </w:r>
      <w:r>
        <w:t>retrieval relevance, recall, ranking, context sufficiency, groundedness, and citation correctness.</w:t>
      </w:r>
    </w:p>
    <w:p>
      <w:pPr>
        <w:numPr>
          <w:ilvl w:val="0"/>
          <w:numId w:val="50"/>
        </w:numPr>
      </w:pPr>
      <w:r>
        <w:rPr>
          <w:b/>
        </w:rPr>
        <w:t xml:space="preserve">Agents: </w:t>
      </w:r>
      <w:r>
        <w:t>task success, tool selection, arguments, ordering, recovery, side effects, permissions, latency, and cost.</w:t>
      </w:r>
    </w:p>
    <w:p>
      <w:pPr>
        <w:numPr>
          <w:ilvl w:val="0"/>
          <w:numId w:val="50"/>
        </w:numPr>
      </w:pPr>
      <w:r>
        <w:rPr>
          <w:b/>
        </w:rPr>
        <w:t xml:space="preserve">Privacy and security: </w:t>
      </w:r>
      <w:r>
        <w:t>prompt injection, evasion, poisoning, sensitive-information disclosure, model extraction, and excessive agency.</w:t>
      </w:r>
    </w:p>
    <w:p>
      <w:pPr>
        <w:numPr>
          <w:ilvl w:val="0"/>
          <w:numId w:val="50"/>
        </w:numPr>
      </w:pPr>
      <w:r>
        <w:rPr>
          <w:b/>
        </w:rPr>
        <w:t xml:space="preserve">Explainability: </w:t>
      </w:r>
      <w:r>
        <w:t>global and local explanations, stability, actionability, and alignment with domain knowledge.</w:t>
      </w:r>
    </w:p>
    <w:p>
      <w:r>
        <w:t>Important limitation: this guide supports product planning and evidence design. It does not provide legal advice, automatically determine regulatory applicability, or certify compliance. NIST notes that AI RMF 1.0 is being revised; standards, methods, and applicable law should be rechecked before production release.</w:t>
      </w:r>
      <w:r>
        <w:t xml:space="preserve"> </w:t>
      </w:r>
      <w:hyperlink r:id="rId11">
        <w:r>
          <w:rPr>
            <w:rFonts w:ascii="Calibri" w:hAnsi="Calibri"/>
            <w:color w:val="2E74B5"/>
          </w:rPr>
          <w:t>[1]</w:t>
        </w:r>
      </w:hyperlink>
      <w:r>
        <w:t xml:space="preserve"> </w:t>
      </w:r>
      <w:hyperlink r:id="rId13">
        <w:r>
          <w:rPr>
            <w:rFonts w:ascii="Calibri" w:hAnsi="Calibri"/>
            <w:color w:val="2E74B5"/>
          </w:rPr>
          <w:t>[4]</w:t>
        </w:r>
      </w:hyperlink>
      <w:r>
        <w:t xml:space="preserve"> </w:t>
      </w:r>
      <w:hyperlink r:id="rId14">
        <w:r>
          <w:rPr>
            <w:rFonts w:ascii="Calibri" w:hAnsi="Calibri"/>
            <w:color w:val="2E74B5"/>
          </w:rPr>
          <w:t>[5]</w:t>
        </w:r>
      </w:hyperlink>
    </w:p>
    <w:p>
      <w:pPr>
        <w:pStyle w:val="Heading1"/>
      </w:pPr>
      <w:r>
        <w:t>Authoritative references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[1] </w:t>
      </w:r>
      <w:hyperlink r:id="rId11">
        <w:r>
          <w:rPr>
            <w:rFonts w:ascii="Calibri" w:hAnsi="Calibri"/>
            <w:color w:val="2E74B5"/>
            <w:u w:val="single"/>
          </w:rPr>
          <w:t>NIST AI Risk Management Framework</w:t>
        </w:r>
      </w:hyperlink>
      <w:r>
        <w:t>. Overview and AI RMF 1.0 resources.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[2] </w:t>
      </w:r>
      <w:hyperlink r:id="rId12">
        <w:r>
          <w:rPr>
            <w:rFonts w:ascii="Calibri" w:hAnsi="Calibri"/>
            <w:color w:val="2E74B5"/>
            <w:u w:val="single"/>
          </w:rPr>
          <w:t>NIST AI RMF Core</w:t>
        </w:r>
      </w:hyperlink>
      <w:r>
        <w:t>. Govern, Map, Measure, and Manage outcomes, including TEVV and monitoring.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[3] </w:t>
      </w:r>
      <w:hyperlink r:id="rId15">
        <w:r>
          <w:rPr>
            <w:rFonts w:ascii="Calibri" w:hAnsi="Calibri"/>
            <w:color w:val="2E74B5"/>
            <w:u w:val="single"/>
          </w:rPr>
          <w:t>NIST AI RMF Playbook - Measure</w:t>
        </w:r>
      </w:hyperlink>
      <w:r>
        <w:t>. Suggested measurement, data-quality, representativeness, and disaggregated-evaluation actions.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[4] </w:t>
      </w:r>
      <w:hyperlink r:id="rId13">
        <w:r>
          <w:rPr>
            <w:rFonts w:ascii="Calibri" w:hAnsi="Calibri"/>
            <w:color w:val="2E74B5"/>
            <w:u w:val="single"/>
          </w:rPr>
          <w:t>Regulation (EU) 2024/1689 - Artificial Intelligence Act</w:t>
        </w:r>
      </w:hyperlink>
      <w:r>
        <w:t>. Official text, including data, accuracy, robustness, cybersecurity, and post-market monitoring requirements.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[5] </w:t>
      </w:r>
      <w:hyperlink r:id="rId14">
        <w:r>
          <w:rPr>
            <w:rFonts w:ascii="Calibri" w:hAnsi="Calibri"/>
            <w:color w:val="2E74B5"/>
            <w:u w:val="single"/>
          </w:rPr>
          <w:t>ISO/IEC 42001:2023</w:t>
        </w:r>
      </w:hyperlink>
      <w:r>
        <w:t>. AI management-system requirements and continual-improvement framework.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[6] </w:t>
      </w:r>
      <w:hyperlink r:id="rId16">
        <w:r>
          <w:rPr>
            <w:rFonts w:ascii="Calibri" w:hAnsi="Calibri"/>
            <w:color w:val="2E74B5"/>
            <w:u w:val="single"/>
          </w:rPr>
          <w:t>Scikit-learn - Metrics and scoring</w:t>
        </w:r>
      </w:hyperlink>
      <w:r>
        <w:t>. Reference documentation for classification, regression, clustering, and scoring practice.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[7] </w:t>
      </w:r>
      <w:hyperlink r:id="rId17">
        <w:r>
          <w:rPr>
            <w:rFonts w:ascii="Calibri" w:hAnsi="Calibri"/>
            <w:color w:val="2E74B5"/>
            <w:u w:val="single"/>
          </w:rPr>
          <w:t>Scikit-learn - Cross-validation</w:t>
        </w:r>
      </w:hyperlink>
      <w:r>
        <w:t>. Held-out evaluation, cross-validation, and leakage considerations.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[8] </w:t>
      </w:r>
      <w:hyperlink r:id="rId21">
        <w:r>
          <w:rPr>
            <w:rFonts w:ascii="Calibri" w:hAnsi="Calibri"/>
            <w:color w:val="2E74B5"/>
            <w:u w:val="single"/>
          </w:rPr>
          <w:t>Scikit-learn - Probability calibration</w:t>
        </w:r>
      </w:hyperlink>
      <w:r>
        <w:t>. Reliability diagrams, Brier score, log loss, and calibration methods.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[9] </w:t>
      </w:r>
      <w:hyperlink r:id="rId18">
        <w:r>
          <w:rPr>
            <w:rFonts w:ascii="Calibri" w:hAnsi="Calibri"/>
            <w:color w:val="2E74B5"/>
            <w:u w:val="single"/>
          </w:rPr>
          <w:t>Fairlearn - Performing a fairness assessment</w:t>
        </w:r>
      </w:hyperlink>
      <w:r>
        <w:t>. Disaggregated metrics and group-based fairness assessment.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[10] </w:t>
      </w:r>
      <w:hyperlink r:id="rId22">
        <w:r>
          <w:rPr>
            <w:rFonts w:ascii="Calibri" w:hAnsi="Calibri"/>
            <w:color w:val="2E74B5"/>
            <w:u w:val="single"/>
          </w:rPr>
          <w:t>NIST SP 1270 - Managing Bias in AI</w:t>
        </w:r>
      </w:hyperlink>
      <w:r>
        <w:t>. Socio-technical guidance for identifying and managing harmful bias.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[11] </w:t>
      </w:r>
      <w:hyperlink r:id="rId19">
        <w:r>
          <w:rPr>
            <w:rFonts w:ascii="Calibri" w:hAnsi="Calibri"/>
            <w:color w:val="2E74B5"/>
            <w:u w:val="single"/>
          </w:rPr>
          <w:t>Model Cards for Model Reporting</w:t>
        </w:r>
      </w:hyperlink>
      <w:r>
        <w:t>. Model documentation including intended use, evaluation conditions, and group performance.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[12] </w:t>
      </w:r>
      <w:hyperlink r:id="rId23">
        <w:r>
          <w:rPr>
            <w:rFonts w:ascii="Calibri" w:hAnsi="Calibri"/>
            <w:color w:val="2E74B5"/>
            <w:u w:val="single"/>
          </w:rPr>
          <w:t>Datasheets for Datasets</w:t>
        </w:r>
      </w:hyperlink>
      <w:r>
        <w:t>. Dataset documentation for transparency and accountability.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[13] </w:t>
      </w:r>
      <w:hyperlink r:id="rId20">
        <w:r>
          <w:rPr>
            <w:rFonts w:ascii="Calibri" w:hAnsi="Calibri"/>
            <w:color w:val="2E74B5"/>
            <w:u w:val="single"/>
          </w:rPr>
          <w:t>NIST AI 100-2e2025 - Adversarial Machine Learning</w:t>
        </w:r>
      </w:hyperlink>
      <w:r>
        <w:t>. Attack taxonomy and mitigation terminology for predictive and generative AI.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[14] </w:t>
      </w:r>
      <w:hyperlink r:id="rId24">
        <w:r>
          <w:rPr>
            <w:rFonts w:ascii="Calibri" w:hAnsi="Calibri"/>
            <w:color w:val="2E74B5"/>
            <w:u w:val="single"/>
          </w:rPr>
          <w:t>NIST AI RMF Resources</w:t>
        </w:r>
      </w:hyperlink>
      <w:r>
        <w:t>. AI RMF 1.0, Playbook, crosswalks, and Generative AI Profile. Accessed 30 July 2026.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[15] </w:t>
      </w:r>
      <w:hyperlink r:id="rId25">
        <w:r>
          <w:rPr>
            <w:rFonts w:ascii="Calibri" w:hAnsi="Calibri"/>
            <w:color w:val="2E74B5"/>
            <w:u w:val="single"/>
          </w:rPr>
          <w:t>OWASP Top 10 for Large Language Model Applications</w:t>
        </w:r>
      </w:hyperlink>
      <w:r>
        <w:t>. Common security risks for LLM and GenAI applications. Accessed 30 July 2026.</w:t>
      </w:r>
    </w:p>
    <w:p>
      <w:pPr>
        <w:pStyle w:val="Heading1"/>
      </w:pPr>
      <w:r>
        <w:t>Final recommendation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5E2"/>
          <w:left w:val="single" w:sz="4" w:space="0" w:color="C9D5E2"/>
          <w:bottom w:val="single" w:sz="4" w:space="0" w:color="C9D5E2"/>
          <w:right w:val="single" w:sz="4" w:space="0" w:color="C9D5E2"/>
          <w:insideH w:val="single" w:sz="4" w:space="0" w:color="C9D5E2"/>
          <w:insideV w:val="single" w:sz="4" w:space="0" w:color="C9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Build this first: </w:t>
            </w:r>
            <w:r>
              <w:rPr>
                <w:rFonts w:ascii="Calibri" w:hAnsi="Calibri"/>
                <w:color w:val="243244"/>
                <w:sz w:val="21"/>
              </w:rPr>
              <w:t>A prediction-and-label validation workspace that runs the ten checks, compares against a baseline, discovers weak slices, applies approved gates, and produces a reproducible scorecard. This gives the team a credible model-agnostic foundation without being distracted by deep infrastructure work.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  <w:jc w:val="left"/>
    </w:pPr>
    <w:r>
      <w:rPr>
        <w:rFonts w:ascii="Calibri" w:hAnsi="Calibri"/>
        <w:color w:val="64748B"/>
        <w:sz w:val="16"/>
      </w:rPr>
      <w:t>Working guide - thresholds require use-case approval</w:t>
    </w:r>
    <w:r>
      <w:rPr>
        <w:rFonts w:ascii="Calibri" w:hAnsi="Calibri"/>
        <w:color w:val="64748B"/>
        <w:sz w:val="16"/>
      </w:rPr>
      <w:tab/>
      <w:t xml:space="preserve">Page </w:t>
    </w:r>
    <w:r>
      <w:rPr>
        <w:rFonts w:ascii="Calibri" w:hAnsi="Calibri"/>
        <w:color w:val="64748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/>
        <w:b/>
        <w:color w:val="64748B"/>
        <w:sz w:val="17"/>
      </w:rPr>
      <w:t>AI MODEL VALIDATION TOOL</w:t>
    </w:r>
    <w:r>
      <w:rPr>
        <w:rFonts w:ascii="Calibri" w:hAnsi="Calibri"/>
        <w:color w:val="64748B"/>
        <w:sz w:val="17"/>
      </w:rPr>
      <w:tab/>
      <w:t>MVP REFERENCE GUIDE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0">
    <w:abstractNumId w:val="50"/>
  </w: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2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ist.gov/itl/ai-risk-management-framework" TargetMode="External"/><Relationship Id="rId12" Type="http://schemas.openxmlformats.org/officeDocument/2006/relationships/hyperlink" Target="https://airc.nist.gov/airmf-resources/airmf/5-sec-core/" TargetMode="External"/><Relationship Id="rId13" Type="http://schemas.openxmlformats.org/officeDocument/2006/relationships/hyperlink" Target="https://eur-lex.europa.eu/legal-content/EN/TXT/?uri=celex%3A32024R1689" TargetMode="External"/><Relationship Id="rId14" Type="http://schemas.openxmlformats.org/officeDocument/2006/relationships/hyperlink" Target="https://www.iso.org/standard/42001" TargetMode="External"/><Relationship Id="rId15" Type="http://schemas.openxmlformats.org/officeDocument/2006/relationships/hyperlink" Target="https://airc.nist.gov/airmf-resources/playbook/measure/" TargetMode="External"/><Relationship Id="rId16" Type="http://schemas.openxmlformats.org/officeDocument/2006/relationships/hyperlink" Target="https://scikit-learn.org/stable/modules/model_evaluation.html" TargetMode="External"/><Relationship Id="rId17" Type="http://schemas.openxmlformats.org/officeDocument/2006/relationships/hyperlink" Target="https://scikit-learn.org/stable/modules/cross_validation.html" TargetMode="External"/><Relationship Id="rId18" Type="http://schemas.openxmlformats.org/officeDocument/2006/relationships/hyperlink" Target="https://fairlearn.org/v0.12/user_guide/assessment/perform_fairness_assessment.html" TargetMode="External"/><Relationship Id="rId19" Type="http://schemas.openxmlformats.org/officeDocument/2006/relationships/hyperlink" Target="https://arxiv.org/abs/1810.03993" TargetMode="External"/><Relationship Id="rId20" Type="http://schemas.openxmlformats.org/officeDocument/2006/relationships/hyperlink" Target="https://csrc.nist.gov/pubs/ai/100/2/e2025/final" TargetMode="External"/><Relationship Id="rId21" Type="http://schemas.openxmlformats.org/officeDocument/2006/relationships/hyperlink" Target="https://scikit-learn.org/stable/modules/calibration.html" TargetMode="External"/><Relationship Id="rId22" Type="http://schemas.openxmlformats.org/officeDocument/2006/relationships/hyperlink" Target="https://www.nist.gov/publications/towards-standard-identifying-and-managing-bias-artificial-intelligence" TargetMode="External"/><Relationship Id="rId23" Type="http://schemas.openxmlformats.org/officeDocument/2006/relationships/hyperlink" Target="https://arxiv.org/abs/1803.09010" TargetMode="External"/><Relationship Id="rId24" Type="http://schemas.openxmlformats.org/officeDocument/2006/relationships/hyperlink" Target="https://www.nist.gov/itl/ai-risk-management-framework/ai-risk-management-framework-resources" TargetMode="External"/><Relationship Id="rId25" Type="http://schemas.openxmlformats.org/officeDocument/2006/relationships/hyperlink" Target="https://owasp.org/www-project-top-10-for-large-language-model-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