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Progress Update — Speaking Script</w:t>
      </w:r>
    </w:p>
    <w:p>
      <w:pPr>
        <w:jc w:val="center"/>
      </w:pPr>
      <w:r>
        <w:rPr>
          <w:i/>
          <w:color w:val="595959"/>
          <w:sz w:val="20"/>
        </w:rPr>
        <w:t>Nomura SSG — Compare &amp; Match  ·  client + IT progress review</w:t>
      </w:r>
    </w:p>
    <w:p>
      <w:pPr>
        <w:shd w:val="clear" w:color="auto" w:fill="1F3864"/>
      </w:pPr>
      <w:r>
        <w:rPr>
          <w:b/>
          <w:color w:val="FFFFFF"/>
          <w:sz w:val="19"/>
        </w:rPr>
        <w:t>FLOW:  ① Core capability + demo   →   ② Logging   →   ③ Environments (light, in-progress)   →   ④ Security (ask IT)</w:t>
      </w:r>
    </w:p>
    <w:p>
      <w:r>
        <w:rPr>
          <w:i/>
          <w:color w:val="707070"/>
          <w:sz w:val="18"/>
        </w:rPr>
        <w:t>Keep the core requirement front and centre so it never looks like we've drifted to a different stack.</w:t>
      </w:r>
    </w:p>
    <w:p>
      <w:r>
        <w:rPr>
          <w:b/>
          <w:color w:val="2E5496"/>
          <w:sz w:val="25"/>
        </w:rPr>
        <w:t>① Open with the core — Compare &amp; Match (the actual requirement)</w:t>
      </w:r>
    </w:p>
    <w:p>
      <w:pPr>
        <w:shd w:val="clear" w:color="auto" w:fill="EAF1FB"/>
        <w:ind w:left="173" w:right="173"/>
      </w:pPr>
      <w:r>
        <w:rPr>
          <w:b/>
          <w:color w:val="1F3864"/>
          <w:sz w:val="19"/>
        </w:rPr>
        <w:t xml:space="preserve">SAY:  </w:t>
      </w:r>
      <w:r>
        <w:rPr>
          <w:color w:val="202020"/>
          <w:sz w:val="21"/>
        </w:rPr>
        <w:t>“Quick progress update. The core of what we're building — the Compare &amp; Match capability — is working. We've built it as a modular component, so it can plug into Nomura's systems on demand rather than being a one-off. Let me show you the part that does the heavy lifting — taking a trade document and pulling the structured data out of it.”</w:t>
      </w:r>
    </w:p>
    <w:p>
      <w:r>
        <w:rPr>
          <w:b/>
          <w:color w:val="2E5496"/>
          <w:sz w:val="25"/>
        </w:rPr>
        <w:t>② Demo — document parsing &amp; extraction</w:t>
      </w:r>
    </w:p>
    <w:p>
      <w:pPr>
        <w:ind w:left="216"/>
      </w:pPr>
      <w:r>
        <w:rPr>
          <w:i/>
          <w:color w:val="707070"/>
          <w:sz w:val="19"/>
        </w:rPr>
        <w:t>[Share screen; run the extraction on a sample trade document — the Excel/CSV blotter (or PDF) attachment. ~60–90 seconds.]</w:t>
      </w:r>
    </w:p>
    <w:p>
      <w:pPr>
        <w:shd w:val="clear" w:color="auto" w:fill="EAF1FB"/>
        <w:ind w:left="173" w:right="173"/>
      </w:pPr>
      <w:r>
        <w:rPr>
          <w:b/>
          <w:color w:val="1F3864"/>
          <w:sz w:val="19"/>
        </w:rPr>
        <w:t xml:space="preserve">SAY:  </w:t>
      </w:r>
      <w:r>
        <w:rPr>
          <w:color w:val="202020"/>
          <w:sz w:val="21"/>
        </w:rPr>
        <w:t>“Here's an incoming trade document. The system reads it, parses it, and automatically extracts the key trade fields — trade ID, currency pair, notional, counterparty, settlement date, and so on — into a structured record. From there it flows into Compare &amp; Match, where each trade is reconciled against the golden source and any breaks are flagged automatically. So: document in → structured trade out → matched and exception-flagged.”</w:t>
      </w:r>
    </w:p>
    <w:p>
      <w:r>
        <w:rPr>
          <w:b/>
          <w:color w:val="2E5496"/>
          <w:sz w:val="25"/>
        </w:rPr>
        <w:t>③ Logging — what we've added</w:t>
      </w:r>
    </w:p>
    <w:p>
      <w:pPr>
        <w:shd w:val="clear" w:color="auto" w:fill="EAF1FB"/>
        <w:ind w:left="173" w:right="173"/>
      </w:pPr>
      <w:r>
        <w:rPr>
          <w:b/>
          <w:color w:val="1F3864"/>
          <w:sz w:val="19"/>
        </w:rPr>
        <w:t xml:space="preserve">SAY:  </w:t>
      </w:r>
      <w:r>
        <w:rPr>
          <w:color w:val="202020"/>
          <w:sz w:val="21"/>
        </w:rPr>
        <w:t>“Alongside the core, we've put proper logging in place. Every user activity, every critical operation, and every error trace is captured. We've also implemented a log-rotation policy so files never grow out of control, and a retention policy — both configurable through a single environment file when we deploy into your systems.”</w:t>
      </w:r>
    </w:p>
    <w:p>
      <w:pPr>
        <w:ind w:left="216"/>
      </w:pPr>
      <w:r>
        <w:rPr>
          <w:i/>
          <w:color w:val="707070"/>
          <w:sz w:val="19"/>
        </w:rPr>
        <w:t>If they ask “why logging — it wasn't a core requirement?” — have this ready:</w:t>
      </w:r>
    </w:p>
    <w:p>
      <w:pPr>
        <w:shd w:val="clear" w:color="auto" w:fill="EAF1FB"/>
        <w:ind w:left="173" w:right="173"/>
      </w:pPr>
      <w:r>
        <w:rPr>
          <w:b/>
          <w:color w:val="1F3864"/>
          <w:sz w:val="19"/>
        </w:rPr>
        <w:t xml:space="preserve">SAY:  </w:t>
      </w:r>
      <w:r>
        <w:rPr>
          <w:color w:val="202020"/>
          <w:sz w:val="21"/>
        </w:rPr>
        <w:t>“As the application grows and the codebase gets more complex, it's far better to build logging in from the start. It makes debugging quick for us during development, and once this is deployed into your environment it lets us connect it to monitoring tools like Grafana that automatically alert the team if anything goes wrong in the system or the matching logic. So it's groundwork that protects the process down the line — not scope creep.”</w:t>
      </w:r>
    </w:p>
    <w:p>
      <w:r>
        <w:rPr>
          <w:b/>
          <w:color w:val="2E5496"/>
          <w:sz w:val="25"/>
        </w:rPr>
        <w:t>④ Environments — Dev / UAT / Prod  (light touch, work in progress)</w:t>
      </w:r>
    </w:p>
    <w:p>
      <w:pPr>
        <w:shd w:val="clear" w:color="auto" w:fill="EAF1FB"/>
        <w:ind w:left="173" w:right="173"/>
      </w:pPr>
      <w:r>
        <w:rPr>
          <w:b/>
          <w:color w:val="1F3864"/>
          <w:sz w:val="19"/>
        </w:rPr>
        <w:t xml:space="preserve">SAY:  </w:t>
      </w:r>
      <w:r>
        <w:rPr>
          <w:color w:val="202020"/>
          <w:sz w:val="21"/>
        </w:rPr>
        <w:t>“On the delivery side — and this is work in progress, not finished — we've started setting up proper Dev, UAT and Production environment separation and the pipelines between them. Internally that's roughly 50% there on the segregation and pipeline side. The flow is the standard one: we build in Dev, your team validates in UAT, and Prod is what actually runs — so changes are tested before they ever reach live.”</w:t>
      </w:r>
    </w:p>
    <w:p>
      <w:r>
        <w:rPr>
          <w:b/>
          <w:color w:val="2E5496"/>
          <w:sz w:val="25"/>
        </w:rPr>
        <w:t>⑤ Security — turn it into a question for IT</w:t>
      </w:r>
    </w:p>
    <w:p>
      <w:pPr>
        <w:ind w:left="216"/>
      </w:pPr>
      <w:r>
        <w:rPr>
          <w:i/>
          <w:color w:val="707070"/>
          <w:sz w:val="19"/>
        </w:rPr>
        <w:t>[Key move: don't state an approach — ask theirs. The IT team is in the room.]</w:t>
      </w:r>
    </w:p>
    <w:p>
      <w:pPr>
        <w:shd w:val="clear" w:color="auto" w:fill="EAF1FB"/>
        <w:ind w:left="173" w:right="173"/>
      </w:pPr>
      <w:r>
        <w:rPr>
          <w:b/>
          <w:color w:val="1F3864"/>
          <w:sz w:val="19"/>
        </w:rPr>
        <w:t xml:space="preserve">SAY:  </w:t>
      </w:r>
      <w:r>
        <w:rPr>
          <w:color w:val="202020"/>
          <w:sz w:val="21"/>
        </w:rPr>
        <w:t>“We've also started on the security mechanisms — authentication and how users sign in. Before we go further, I'd like the direction from your side, since IT is here: what's the expected authentication model — Active Directory, LDAP, or something else? (A standalone username/password wouldn't be the right approach for an enterprise system, in our view.)”</w:t>
      </w:r>
    </w:p>
    <w:p>
      <w:pPr>
        <w:ind w:left="216"/>
      </w:pPr>
      <w:r>
        <w:rPr>
          <w:i/>
          <w:color w:val="707070"/>
          <w:sz w:val="19"/>
        </w:rPr>
        <w:t>[Let them answer — most likely Active Directory / Entra ID. Then:]</w:t>
      </w:r>
    </w:p>
    <w:p>
      <w:pPr>
        <w:shd w:val="clear" w:color="auto" w:fill="EAF1FB"/>
        <w:ind w:left="173" w:right="173"/>
      </w:pPr>
      <w:r>
        <w:rPr>
          <w:b/>
          <w:color w:val="1F3864"/>
          <w:sz w:val="19"/>
        </w:rPr>
        <w:t xml:space="preserve">SAY:  </w:t>
      </w:r>
      <w:r>
        <w:rPr>
          <w:color w:val="202020"/>
          <w:sz w:val="21"/>
        </w:rPr>
        <w:t>“Perfect — that's exactly the direction we're building toward. We'll develop and test it against our Active Directory at Protiviti, and when we hand the code over we simply map it to your Active Directory — so there won't be any integration surprises.”</w:t>
      </w:r>
    </w:p>
    <w:p>
      <w:r>
        <w:rPr>
          <w:b/>
          <w:color w:val="2E5496"/>
          <w:sz w:val="25"/>
        </w:rPr>
        <w:t>⑥ Close</w:t>
      </w:r>
    </w:p>
    <w:p>
      <w:pPr>
        <w:shd w:val="clear" w:color="auto" w:fill="EAF1FB"/>
        <w:ind w:left="173" w:right="173"/>
      </w:pPr>
      <w:r>
        <w:rPr>
          <w:b/>
          <w:color w:val="1F3864"/>
          <w:sz w:val="19"/>
        </w:rPr>
        <w:t xml:space="preserve">SAY:  </w:t>
      </w:r>
      <w:r>
        <w:rPr>
          <w:color w:val="202020"/>
          <w:sz w:val="21"/>
        </w:rPr>
        <w:t>“So in short: the core Compare &amp; Match is working and demoable today, we've added the logging and monitoring groundwork, and we're actively building out the environment separation and the security layer — with your AD direction now factored in. Happy to go deeper on any of these.”</w:t>
      </w:r>
    </w:p>
    <w:p>
      <w:r>
        <w:rPr>
          <w:b/>
          <w:color w:val="2E5496"/>
          <w:sz w:val="25"/>
        </w:rPr>
        <w:t>Quick “if they ask…” cheat-sheet</w:t>
      </w:r>
    </w:p>
    <w:tbl>
      <w:tblPr>
        <w:tblStyle w:val="TableGrid"/>
        <w:tblW w:type="auto" w:w="0"/>
        <w:tblLook w:firstColumn="1" w:firstRow="1" w:lastColumn="0" w:lastRow="0" w:noHBand="0" w:noVBand="1" w:val="04A0"/>
      </w:tblPr>
      <w:tblGrid>
        <w:gridCol w:w="4968"/>
        <w:gridCol w:w="4968"/>
      </w:tblGrid>
      <w:tr>
        <w:tc>
          <w:tcPr>
            <w:tcW w:type="dxa" w:w="3312"/>
            <w:vAlign w:val="center"/>
            <w:shd w:val="clear" w:color="auto" w:fill="1F3864"/>
          </w:tcPr>
          <w:p>
            <w:r/>
            <w:r>
              <w:rPr>
                <w:b/>
                <w:color w:val="FFFFFF"/>
                <w:sz w:val="19"/>
              </w:rPr>
              <w:t>If they ask…</w:t>
            </w:r>
          </w:p>
        </w:tc>
        <w:tc>
          <w:tcPr>
            <w:tcW w:type="dxa" w:w="6624"/>
            <w:vAlign w:val="center"/>
            <w:shd w:val="clear" w:color="auto" w:fill="1F3864"/>
          </w:tcPr>
          <w:p>
            <w:r/>
            <w:r>
              <w:rPr>
                <w:b/>
                <w:color w:val="FFFFFF"/>
                <w:sz w:val="19"/>
              </w:rPr>
              <w:t>You say</w:t>
            </w:r>
          </w:p>
        </w:tc>
      </w:tr>
      <w:tr>
        <w:tc>
          <w:tcPr>
            <w:tcW w:type="dxa" w:w="3312"/>
            <w:vAlign w:val="center"/>
          </w:tcPr>
          <w:p>
            <w:r/>
            <w:r>
              <w:rPr>
                <w:b/>
                <w:sz w:val="18"/>
              </w:rPr>
              <w:t>Is the environment setup done?</w:t>
            </w:r>
          </w:p>
        </w:tc>
        <w:tc>
          <w:tcPr>
            <w:tcW w:type="dxa" w:w="6624"/>
            <w:vAlign w:val="center"/>
          </w:tcPr>
          <w:p>
            <w:r/>
            <w:r>
              <w:rPr>
                <w:b w:val="0"/>
                <w:sz w:val="18"/>
              </w:rPr>
              <w:t>“In progress — about halfway on segregation and pipelines. We didn't want to rush it; it's being done properly.”</w:t>
            </w:r>
          </w:p>
        </w:tc>
      </w:tr>
      <w:tr>
        <w:tc>
          <w:tcPr>
            <w:tcW w:type="dxa" w:w="3312"/>
            <w:vAlign w:val="center"/>
            <w:shd w:val="clear" w:color="auto" w:fill="F2F2F2"/>
          </w:tcPr>
          <w:p>
            <w:r/>
            <w:r>
              <w:rPr>
                <w:b/>
                <w:sz w:val="18"/>
              </w:rPr>
              <w:t>What auth are you using right now?</w:t>
            </w:r>
          </w:p>
        </w:tc>
        <w:tc>
          <w:tcPr>
            <w:tcW w:type="dxa" w:w="6624"/>
            <w:vAlign w:val="center"/>
            <w:shd w:val="clear" w:color="auto" w:fill="F2F2F2"/>
          </w:tcPr>
          <w:p>
            <w:r/>
            <w:r>
              <w:rPr>
                <w:b w:val="0"/>
                <w:sz w:val="18"/>
              </w:rPr>
              <w:t>“We've built the foundation; the final mechanism we want aligned to your standard — which is why we're asking about AD/LDAP before locking it in.”</w:t>
            </w:r>
          </w:p>
        </w:tc>
      </w:tr>
      <w:tr>
        <w:tc>
          <w:tcPr>
            <w:tcW w:type="dxa" w:w="3312"/>
            <w:vAlign w:val="center"/>
          </w:tcPr>
          <w:p>
            <w:r/>
            <w:r>
              <w:rPr>
                <w:b/>
                <w:sz w:val="18"/>
              </w:rPr>
              <w:t>Why Grafana / monitoring?</w:t>
            </w:r>
          </w:p>
        </w:tc>
        <w:tc>
          <w:tcPr>
            <w:tcW w:type="dxa" w:w="6624"/>
            <w:vAlign w:val="center"/>
          </w:tcPr>
          <w:p>
            <w:r/>
            <w:r>
              <w:rPr>
                <w:b w:val="0"/>
                <w:sz w:val="18"/>
              </w:rPr>
              <w:t>“So in production the team gets automatic alerts on errors, instead of finding out from users.”</w:t>
            </w:r>
          </w:p>
        </w:tc>
      </w:tr>
      <w:tr>
        <w:tc>
          <w:tcPr>
            <w:tcW w:type="dxa" w:w="3312"/>
            <w:vAlign w:val="center"/>
            <w:shd w:val="clear" w:color="auto" w:fill="F2F2F2"/>
          </w:tcPr>
          <w:p>
            <w:r/>
            <w:r>
              <w:rPr>
                <w:b/>
                <w:sz w:val="18"/>
              </w:rPr>
              <w:t>Is the database production-grade?</w:t>
            </w:r>
          </w:p>
        </w:tc>
        <w:tc>
          <w:tcPr>
            <w:tcW w:type="dxa" w:w="6624"/>
            <w:vAlign w:val="center"/>
            <w:shd w:val="clear" w:color="auto" w:fill="F2F2F2"/>
          </w:tcPr>
          <w:p>
            <w:r/>
            <w:r>
              <w:rPr>
                <w:b w:val="0"/>
                <w:sz w:val="18"/>
              </w:rPr>
              <w:t>“Lightweight DB for the pilot; we move to an enterprise database (e.g. Postgres) as part of the production rollout.”</w:t>
            </w:r>
          </w:p>
        </w:tc>
      </w:tr>
    </w:tbl>
    <w:p>
      <w:pPr>
        <w:shd w:val="clear" w:color="auto" w:fill="FFF2CC"/>
        <w:ind w:left="144" w:right="144"/>
      </w:pPr>
      <w:r>
        <w:rPr>
          <w:b/>
          <w:color w:val="9C6300"/>
          <w:sz w:val="19"/>
        </w:rPr>
        <w:t xml:space="preserve">Demo reminder:  </w:t>
      </w:r>
      <w:r>
        <w:rPr>
          <w:color w:val="5A3D00"/>
          <w:sz w:val="19"/>
        </w:rPr>
        <w:t>Demo a format the tool actually parses today — the Excel/CSV trade blotter is what's solidly built. If you don't have live PDF parsing, say “trade document / attachment” rather than “PDF,” so the words match the screen.</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