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280"/>
      </w:pPr>
      <w:r>
        <w:rPr>
          <w:rFonts w:ascii="Segoe UI" w:hAnsi="Segoe UI" w:cs="Segoe UI" w:eastAsia="Segoe UI"/>
          <w:b/>
          <w:caps/>
          <w:color w:val="E57200"/>
          <w:spacing w:val="32"/>
          <w:sz w:val="18"/>
        </w:rPr>
        <w:t>Response to Request for Information — Version 1.2</w:t>
      </w:r>
    </w:p>
    <w:p>
      <w:pPr>
        <w:pBdr>
          <w:bottom w:val="single" w:sz="30" w:space="1" w:color="E57200"/>
        </w:pBdr>
        <w:spacing w:before="0" w:after="320"/>
        <w:ind w:right="7710"/>
      </w:pPr>
    </w:p>
    <w:p>
      <w:pPr>
        <w:spacing w:after="160" w:line="254" w:lineRule="auto"/>
      </w:pPr>
      <w:r>
        <w:rPr>
          <w:rFonts w:ascii="Segoe UI" w:hAnsi="Segoe UI" w:cs="Segoe UI" w:eastAsia="Segoe UI"/>
          <w:b/>
          <w:color w:val="10385A"/>
          <w:spacing w:val="-8"/>
          <w:sz w:val="56"/>
        </w:rPr>
        <w:t>AI Powered Audit Intelligence System</w:t>
      </w:r>
    </w:p>
    <w:p>
      <w:pPr>
        <w:spacing w:after="600" w:line="288" w:lineRule="auto"/>
      </w:pPr>
      <w:r>
        <w:rPr>
          <w:rFonts w:ascii="Segoe UI" w:hAnsi="Segoe UI" w:cs="Segoe UI" w:eastAsia="Segoe UI"/>
          <w:color w:val="355570"/>
          <w:sz w:val="28"/>
        </w:rPr>
        <w:t>Technical &amp; Technology Architecture, and Product Roadmap</w:t>
      </w:r>
    </w:p>
    <w:tbl>
      <w:tblPr>
        <w:tblW w:w="963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819"/>
        <w:gridCol w:w="4820"/>
      </w:tblGrid>
      <w:tr>
        <w:tc>
          <w:tcPr>
            <w:tcW w:type="dxa" w:w="4819"/>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Prepared for</w:t>
            </w:r>
          </w:p>
          <w:p>
            <w:pPr>
              <w:spacing w:after="0"/>
            </w:pPr>
            <w:r>
              <w:rPr>
                <w:rFonts w:ascii="Segoe UI" w:hAnsi="Segoe UI" w:cs="Segoe UI" w:eastAsia="Segoe UI"/>
                <w:color w:val="12222F"/>
                <w:sz w:val="22"/>
              </w:rPr>
              <w:t>YES BANK — Internal Audit</w:t>
            </w:r>
          </w:p>
        </w:tc>
        <w:tc>
          <w:tcPr>
            <w:tcW w:type="dxa" w:w="4820"/>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Prepared by</w:t>
            </w:r>
          </w:p>
          <w:p>
            <w:pPr>
              <w:spacing w:after="0"/>
            </w:pPr>
            <w:r>
              <w:rPr>
                <w:rFonts w:ascii="Segoe UI" w:hAnsi="Segoe UI" w:cs="Segoe UI" w:eastAsia="Segoe UI"/>
                <w:color w:val="12222F"/>
                <w:sz w:val="22"/>
              </w:rPr>
              <w:t>Protiviti India</w:t>
            </w:r>
          </w:p>
        </w:tc>
      </w:tr>
      <w:tr>
        <w:tc>
          <w:tcPr>
            <w:tcW w:type="dxa" w:w="4819"/>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RFI reference</w:t>
            </w:r>
          </w:p>
          <w:p>
            <w:pPr>
              <w:spacing w:after="0"/>
            </w:pPr>
            <w:r>
              <w:rPr>
                <w:rFonts w:ascii="Segoe UI" w:hAnsi="Segoe UI" w:cs="Segoe UI" w:eastAsia="Segoe UI"/>
                <w:color w:val="12222F"/>
                <w:sz w:val="22"/>
              </w:rPr>
              <w:t>§3.2 Documentation · §6.1</w:t>
            </w:r>
          </w:p>
        </w:tc>
        <w:tc>
          <w:tcPr>
            <w:tcW w:type="dxa" w:w="4820"/>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Document version</w:t>
            </w:r>
          </w:p>
          <w:p>
            <w:pPr>
              <w:spacing w:after="0"/>
            </w:pPr>
            <w:r>
              <w:rPr>
                <w:rFonts w:ascii="Segoe UI" w:hAnsi="Segoe UI" w:cs="Segoe UI" w:eastAsia="Segoe UI"/>
                <w:color w:val="12222F"/>
                <w:sz w:val="22"/>
              </w:rPr>
              <w:t>1.0</w:t>
            </w:r>
          </w:p>
        </w:tc>
      </w:tr>
      <w:tr>
        <w:tc>
          <w:tcPr>
            <w:tcW w:type="dxa" w:w="4819"/>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Status</w:t>
            </w:r>
          </w:p>
          <w:p>
            <w:pPr>
              <w:spacing w:after="0"/>
            </w:pPr>
            <w:r>
              <w:rPr>
                <w:rFonts w:ascii="Segoe UI" w:hAnsi="Segoe UI" w:cs="Segoe UI" w:eastAsia="Segoe UI"/>
                <w:color w:val="12222F"/>
                <w:sz w:val="22"/>
              </w:rPr>
              <w:t>For technical evaluation</w:t>
            </w:r>
          </w:p>
        </w:tc>
        <w:tc>
          <w:tcPr>
            <w:tcW w:type="dxa" w:w="4820"/>
            <w:tcBorders>
              <w:top w:val="single" w:sz="4" w:space="0" w:color="D8E0E6"/>
              <w:left w:val="none" w:sz="0" w:space="0" w:color="auto"/>
              <w:bottom w:val="none" w:sz="0" w:space="0" w:color="auto"/>
              <w:right w:val="none" w:sz="0" w:space="0" w:color="auto"/>
            </w:tcBorders>
            <w:tcMar>
              <w:top w:w="90" w:type="dxa"/>
              <w:left w:w="0" w:type="dxa"/>
              <w:bottom w:w="90" w:type="dxa"/>
              <w:right w:w="180" w:type="dxa"/>
            </w:tcMar>
          </w:tcPr>
          <w:p>
            <w:pPr>
              <w:spacing w:after="20"/>
            </w:pPr>
            <w:r>
              <w:rPr>
                <w:rFonts w:ascii="Segoe UI" w:hAnsi="Segoe UI" w:cs="Segoe UI" w:eastAsia="Segoe UI"/>
                <w:b/>
                <w:caps/>
                <w:color w:val="5B6B78"/>
                <w:spacing w:val="22"/>
                <w:sz w:val="16"/>
              </w:rPr>
              <w:t>Classification</w:t>
            </w:r>
          </w:p>
          <w:p>
            <w:pPr>
              <w:spacing w:after="0"/>
            </w:pPr>
            <w:r>
              <w:rPr>
                <w:rFonts w:ascii="Segoe UI" w:hAnsi="Segoe UI" w:cs="Segoe UI" w:eastAsia="Segoe UI"/>
                <w:color w:val="12222F"/>
                <w:sz w:val="22"/>
              </w:rPr>
              <w:t>Confidential</w:t>
            </w:r>
          </w:p>
        </w:tc>
      </w:tr>
    </w:tbl>
    <w:p>
      <w:pPr>
        <w:spacing w:after="0"/>
      </w:pPr>
      <w:r>
        <w:br w:type="page"/>
      </w:r>
    </w:p>
    <w:p>
      <w:pPr>
        <w:pBdr>
          <w:top w:val="single" w:sz="24" w:space="4" w:color="10385A"/>
        </w:pBdr>
        <w:spacing w:before="0" w:after="80"/>
      </w:pPr>
      <w:r>
        <w:rPr>
          <w:rFonts w:ascii="Segoe UI" w:hAnsi="Segoe UI" w:cs="Segoe UI" w:eastAsia="Segoe UI"/>
          <w:b/>
          <w:color w:val="10385A"/>
          <w:sz w:val="36"/>
        </w:rPr>
        <w:t>Contents</w:t>
      </w:r>
    </w:p>
    <w:p>
      <w:pPr>
        <w:spacing w:after="280"/>
      </w:pPr>
      <w:r>
        <w:rPr>
          <w:rFonts w:ascii="Segoe UI" w:hAnsi="Segoe UI" w:cs="Segoe UI" w:eastAsia="Segoe UI"/>
          <w:i/>
          <w:color w:val="5B6B78"/>
          <w:sz w:val="17"/>
        </w:rPr>
        <w:t>Page numbers are generated by Word. If the list below is not current, click inside it and press F9 (or right-click → Update Field → Update entire table).</w:t>
      </w:r>
    </w:p>
    <w:p>
      <w:pPr>
        <w:spacing w:after="0"/>
      </w:pPr>
      <w:r>
        <w:fldChar w:fldCharType="begin"/>
      </w:r>
      <w:r>
        <w:instrText xml:space="preserve"> TOC \o "1-3" \h \z \u </w:instrText>
      </w:r>
      <w:r>
        <w:fldChar w:fldCharType="separate"/>
      </w:r>
      <w:r>
        <w:rPr>
          <w:rFonts w:ascii="Segoe UI" w:hAnsi="Segoe UI" w:cs="Segoe UI" w:eastAsia="Segoe UI"/>
          <w:i/>
          <w:color w:val="5B6B78"/>
          <w:sz w:val="20"/>
        </w:rPr>
        <w:t>Right-click here and choose "Update Field" to build the table of contents.</w:t>
      </w:r>
      <w:r>
        <w:fldChar w:fldCharType="end"/>
      </w:r>
    </w:p>
    <w:p>
      <w:pPr>
        <w:spacing w:after="0"/>
      </w:pPr>
      <w:r>
        <w:br w:type="page"/>
      </w:r>
    </w:p>
    <w:p>
      <w:pPr>
        <w:pStyle w:val="Heading1"/>
        <w:keepNext/>
        <w:pBdr>
          <w:top w:val="single" w:sz="18" w:space="6" w:color="10385A"/>
        </w:pBdr>
        <w:spacing w:before="440"/>
      </w:pPr>
      <w:r>
        <w:rPr>
          <w:rFonts w:ascii="Segoe UI" w:hAnsi="Segoe UI" w:cs="Segoe UI" w:eastAsia="Segoe UI"/>
          <w:b/>
          <w:color w:val="E57200"/>
          <w:sz w:val="32"/>
        </w:rPr>
        <w:t>1</w:t>
      </w:r>
      <w:r>
        <w:rPr>
          <w:rFonts w:ascii="Segoe UI" w:hAnsi="Segoe UI" w:cs="Segoe UI" w:eastAsia="Segoe UI"/>
          <w:b/>
          <w:color w:val="E57200"/>
          <w:sz w:val="32"/>
        </w:rPr>
        <w:t xml:space="preserve"> </w:t>
      </w:r>
      <w:r>
        <w:rPr>
          <w:rFonts w:ascii="Segoe UI" w:hAnsi="Segoe UI" w:cs="Segoe UI" w:eastAsia="Segoe UI"/>
          <w:b/>
          <w:color w:val="10385A"/>
          <w:sz w:val="32"/>
        </w:rPr>
        <w:t>How to read this document</w:t>
      </w:r>
    </w:p>
    <w:p>
      <w:pPr>
        <w:spacing w:after="200" w:line="298" w:lineRule="auto"/>
      </w:pPr>
      <w:r>
        <w:rPr>
          <w:rFonts w:ascii="Segoe UI" w:hAnsi="Segoe UI" w:cs="Segoe UI" w:eastAsia="Segoe UI"/>
          <w:color w:val="22384A"/>
          <w:sz w:val="23"/>
        </w:rPr>
        <w:t xml:space="preserve">This document answers three of the Bank’s asks in one place: the </w:t>
      </w:r>
      <w:r>
        <w:rPr>
          <w:rFonts w:ascii="Segoe UI" w:hAnsi="Segoe UI" w:cs="Segoe UI" w:eastAsia="Segoe UI"/>
          <w:b/>
          <w:color w:val="22384A"/>
          <w:sz w:val="23"/>
        </w:rPr>
        <w:t>technical architecture document</w:t>
      </w:r>
      <w:r>
        <w:rPr>
          <w:rFonts w:ascii="Segoe UI" w:hAnsi="Segoe UI" w:cs="Segoe UI" w:eastAsia="Segoe UI"/>
          <w:color w:val="22384A"/>
          <w:sz w:val="23"/>
        </w:rPr>
        <w:t xml:space="preserve"> and </w:t>
      </w:r>
      <w:r>
        <w:rPr>
          <w:rFonts w:ascii="Segoe UI" w:hAnsi="Segoe UI" w:cs="Segoe UI" w:eastAsia="Segoe UI"/>
          <w:b/>
          <w:color w:val="22384A"/>
          <w:sz w:val="23"/>
        </w:rPr>
        <w:t>high-level architecture diagram</w:t>
      </w:r>
      <w:r>
        <w:rPr>
          <w:rFonts w:ascii="Segoe UI" w:hAnsi="Segoe UI" w:cs="Segoe UI" w:eastAsia="Segoe UI"/>
          <w:color w:val="22384A"/>
          <w:sz w:val="23"/>
        </w:rPr>
        <w:t xml:space="preserve"> required under §3.2 (Documentation and Expected Deliverables), and </w:t>
      </w:r>
      <w:r>
        <w:rPr>
          <w:rFonts w:ascii="Segoe UI" w:hAnsi="Segoe UI" w:cs="Segoe UI" w:eastAsia="Segoe UI"/>
          <w:b/>
          <w:color w:val="22384A"/>
          <w:sz w:val="23"/>
        </w:rPr>
        <w:t>“Architecture of Technology &amp; Product RoadMap”</w:t>
      </w:r>
      <w:r>
        <w:rPr>
          <w:rFonts w:ascii="Segoe UI" w:hAnsi="Segoe UI" w:cs="Segoe UI" w:eastAsia="Segoe UI"/>
          <w:color w:val="22384A"/>
          <w:sz w:val="23"/>
        </w:rPr>
        <w:t>, which is point 1 of the nine-point techno-commercial submission under §6.</w:t>
      </w:r>
    </w:p>
    <w:p>
      <w:pPr>
        <w:pStyle w:val="Heading2"/>
        <w:keepNext/>
      </w:pPr>
      <w:r>
        <w:rPr>
          <w:rFonts w:ascii="Segoe UI" w:hAnsi="Segoe UI" w:cs="Segoe UI" w:eastAsia="Segoe UI"/>
          <w:b/>
          <w:color w:val="10385A"/>
          <w:sz w:val="25"/>
        </w:rPr>
        <w:t>Two layers, always labelled</w:t>
      </w:r>
    </w:p>
    <w:p>
      <w:r>
        <w:rPr>
          <w:rFonts w:ascii="Segoe UI" w:hAnsi="Segoe UI" w:cs="Segoe UI" w:eastAsia="Segoe UI"/>
          <w:color w:val="12222F"/>
          <w:sz w:val="21"/>
        </w:rPr>
        <w:t>A reference implementation of this platform already exists and runs. It is not a slide-ware mock-up: it ingests data through real connectors, compiles and executes 78 controls against frozen evidence, and reproduces a run byte-for-byte on demand. It is also, today, a single-process reference environment.</w:t>
      </w:r>
    </w:p>
    <w:p>
      <w:r>
        <w:rPr>
          <w:rFonts w:ascii="Segoe UI" w:hAnsi="Segoe UI" w:cs="Segoe UI" w:eastAsia="Segoe UI"/>
          <w:color w:val="12222F"/>
          <w:sz w:val="21"/>
        </w:rPr>
        <w:t>The Bank’s non-functional targets — 5,000+ concurrent users, 99.9% availability, DR RPO of zero and RTO of one hour — describe a production deployment, not a reference environment. Presenting one as the other would be misleading, and would not survive technical evaluation. Every architectural statement in this document is therefore tagged:</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2120"/>
        <w:gridCol w:w="7519"/>
      </w:tblGrid>
      <w:tr>
        <w:trPr>
          <w:cantSplit/>
          <w:tblHeader w:val="true"/>
        </w:trPr>
        <w:tc>
          <w:tcPr>
            <w:tcW w:type="dxa" w:w="2120"/>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Tag</w:t>
            </w:r>
          </w:p>
        </w:tc>
        <w:tc>
          <w:tcPr>
            <w:tcW w:type="dxa" w:w="7519"/>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Meaning</w:t>
            </w:r>
          </w:p>
        </w:tc>
      </w:tr>
      <w:tr>
        <w:trPr>
          <w:cantSplit/>
        </w:trPr>
        <w:tc>
          <w:tcPr>
            <w:tcW w:type="dxa" w:w="2120"/>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7519"/>
            <w:tcMar>
              <w:top w:w="80" w:type="dxa"/>
              <w:left w:w="110" w:type="dxa"/>
              <w:bottom w:w="80" w:type="dxa"/>
              <w:right w:w="110" w:type="dxa"/>
            </w:tcMar>
          </w:tcPr>
          <w:p>
            <w:pPr>
              <w:spacing w:after="0" w:line="269" w:lineRule="auto"/>
            </w:pPr>
            <w:r>
              <w:rPr>
                <w:rFonts w:ascii="Segoe UI" w:hAnsi="Segoe UI" w:cs="Segoe UI" w:eastAsia="Segoe UI"/>
                <w:color w:val="12222F"/>
                <w:sz w:val="18"/>
              </w:rPr>
              <w:t>Implemented and demonstrable today in the reference environment. Can be shown working in the prototype demonstration the RFI requests.</w:t>
            </w:r>
          </w:p>
        </w:tc>
      </w:tr>
      <w:tr>
        <w:trPr>
          <w:cantSplit/>
        </w:trPr>
        <w:tc>
          <w:tcPr>
            <w:tcW w:type="dxa" w:w="2120"/>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[As-proposed]</w:t>
            </w:r>
          </w:p>
        </w:tc>
        <w:tc>
          <w:tcPr>
            <w:tcW w:type="dxa" w:w="751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Part of the production architecture for YES BANK. Designed, sized and costed, but delivered during implementation — not demonstrable today.</w:t>
            </w:r>
          </w:p>
        </w:tc>
      </w:tr>
      <w:tr>
        <w:trPr>
          <w:cantSplit/>
        </w:trPr>
        <w:tc>
          <w:tcPr>
            <w:tcW w:type="dxa" w:w="2120"/>
            <w:tcMar>
              <w:top w:w="80" w:type="dxa"/>
              <w:left w:w="110" w:type="dxa"/>
              <w:bottom w:w="80" w:type="dxa"/>
              <w:right w:w="110" w:type="dxa"/>
            </w:tcMar>
          </w:tcPr>
          <w:p>
            <w:pPr>
              <w:spacing w:after="0" w:line="269" w:lineRule="auto"/>
            </w:pPr>
            <w:r>
              <w:rPr>
                <w:rFonts w:ascii="Segoe UI" w:hAnsi="Segoe UI" w:cs="Segoe UI" w:eastAsia="Segoe UI"/>
                <w:b/>
                <w:color w:val="9A5B00"/>
                <w:sz w:val="17"/>
              </w:rPr>
              <w:t>[Partial]</w:t>
            </w:r>
          </w:p>
        </w:tc>
        <w:tc>
          <w:tcPr>
            <w:tcW w:type="dxa" w:w="7519"/>
            <w:tcMar>
              <w:top w:w="80" w:type="dxa"/>
              <w:left w:w="110" w:type="dxa"/>
              <w:bottom w:w="80" w:type="dxa"/>
              <w:right w:w="110" w:type="dxa"/>
            </w:tcMar>
          </w:tcPr>
          <w:p>
            <w:pPr>
              <w:spacing w:after="0" w:line="269" w:lineRule="auto"/>
            </w:pPr>
            <w:r>
              <w:rPr>
                <w:rFonts w:ascii="Segoe UI" w:hAnsi="Segoe UI" w:cs="Segoe UI" w:eastAsia="Segoe UI"/>
                <w:color w:val="12222F"/>
                <w:sz w:val="18"/>
              </w:rPr>
              <w:t>Substantively present, with a defined remainder. The remainder is stated explicitly rather than absorbed into a “yes”.</w:t>
            </w:r>
          </w:p>
        </w:tc>
      </w:tr>
    </w:tbl>
    <w:p>
      <w:pPr>
        <w:spacing w:after="0" w:before="0"/>
      </w:pPr>
    </w:p>
    <w:p>
      <w:r>
        <w:rPr>
          <w:rFonts w:ascii="Segoe UI" w:hAnsi="Segoe UI" w:cs="Segoe UI" w:eastAsia="Segoe UI"/>
          <w:color w:val="12222F"/>
          <w:sz w:val="21"/>
        </w:rPr>
        <w:t xml:space="preserve">This mapping is exactly what §3.2 asks for under Expected Deliverables: </w:t>
      </w:r>
      <w:r>
        <w:rPr>
          <w:rFonts w:ascii="Segoe UI" w:hAnsi="Segoe UI" w:cs="Segoe UI" w:eastAsia="Segoe UI"/>
          <w:i/>
          <w:color w:val="12222F"/>
          <w:sz w:val="21"/>
        </w:rPr>
        <w:t>“implementation timelines for both ready-made and to-be-developed functionalities”</w:t>
      </w:r>
      <w:r>
        <w:rPr>
          <w:rFonts w:ascii="Segoe UI" w:hAnsi="Segoe UI" w:cs="Segoe UI" w:eastAsia="Segoe UI"/>
          <w:color w:val="12222F"/>
          <w:sz w:val="21"/>
        </w:rPr>
        <w:t xml:space="preserve"> and </w:t>
      </w:r>
      <w:r>
        <w:rPr>
          <w:rFonts w:ascii="Segoe UI" w:hAnsi="Segoe UI" w:cs="Segoe UI" w:eastAsia="Segoe UI"/>
          <w:i/>
          <w:color w:val="12222F"/>
          <w:sz w:val="21"/>
        </w:rPr>
        <w:t>“clarification of items not feasible”</w:t>
      </w:r>
      <w:r>
        <w:rPr>
          <w:rFonts w:ascii="Segoe UI" w:hAnsi="Segoe UI" w:cs="Segoe UI" w:eastAsia="Segoe UI"/>
          <w:color w:val="12222F"/>
          <w:sz w:val="21"/>
        </w:rPr>
        <w:t>. §14 (Product Roadmap) sequences the as-proposed items; §15 states what is out of scope and what we need from the Bank.</w:t>
      </w:r>
    </w:p>
    <w:tbl>
      <w:tblPr>
        <w:tblW w:w="963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639"/>
      </w:tblGrid>
      <w:tr>
        <w:trPr>
          <w:cantSplit/>
        </w:trPr>
        <w:tc>
          <w:tcPr>
            <w:tcW w:type="dxa" w:w="9639"/>
            <w:tcBorders>
              <w:top w:val="single" w:sz="4" w:space="0" w:color="D8E0E6"/>
              <w:left w:val="single" w:sz="24" w:space="0" w:color="E57200"/>
              <w:bottom w:val="single" w:sz="4" w:space="0" w:color="D8E0E6"/>
              <w:right w:val="single" w:sz="4" w:space="0" w:color="D8E0E6"/>
            </w:tcBorders>
            <w:shd w:val="clear" w:color="auto" w:fill="FDF6EE"/>
            <w:tcMar>
              <w:top w:w="150" w:type="dxa"/>
              <w:left w:w="200" w:type="dxa"/>
              <w:bottom w:w="150" w:type="dxa"/>
              <w:right w:w="200" w:type="dxa"/>
            </w:tcMar>
          </w:tcPr>
          <w:p>
            <w:pPr>
              <w:keepNext/>
              <w:spacing w:after="80"/>
            </w:pPr>
            <w:r>
              <w:rPr>
                <w:rFonts w:ascii="Segoe UI" w:hAnsi="Segoe UI" w:cs="Segoe UI" w:eastAsia="Segoe UI"/>
                <w:b/>
                <w:caps/>
                <w:color w:val="5B6B78"/>
                <w:spacing w:val="24"/>
                <w:sz w:val="17"/>
              </w:rPr>
              <w:t>Companion documents</w:t>
            </w:r>
          </w:p>
          <w:p>
            <w:pPr>
              <w:spacing w:after="0" w:line="278" w:lineRule="auto"/>
            </w:pPr>
            <w:r>
              <w:rPr>
                <w:rFonts w:ascii="Segoe UI" w:hAnsi="Segoe UI" w:cs="Segoe UI" w:eastAsia="Segoe UI"/>
                <w:color w:val="12222F"/>
                <w:sz w:val="20"/>
              </w:rPr>
              <w:t xml:space="preserve">This architecture is one of four technical deliverables. It is read alongside the </w:t>
            </w:r>
            <w:r>
              <w:rPr>
                <w:rFonts w:ascii="Segoe UI" w:hAnsi="Segoe UI" w:cs="Segoe UI" w:eastAsia="Segoe UI"/>
                <w:b/>
                <w:color w:val="12222F"/>
                <w:sz w:val="20"/>
              </w:rPr>
              <w:t>Technical &amp; NFR Response Matrix</w:t>
            </w:r>
            <w:r>
              <w:rPr>
                <w:rFonts w:ascii="Segoe UI" w:hAnsi="Segoe UI" w:cs="Segoe UI" w:eastAsia="Segoe UI"/>
                <w:color w:val="12222F"/>
                <w:sz w:val="20"/>
              </w:rPr>
              <w:t xml:space="preserve"> (clause-by-clause response to §3.2, §5 and the 30-point §6 checklist), the </w:t>
            </w:r>
            <w:r>
              <w:rPr>
                <w:rFonts w:ascii="Segoe UI" w:hAnsi="Segoe UI" w:cs="Segoe UI" w:eastAsia="Segoe UI"/>
                <w:b/>
                <w:color w:val="12222F"/>
                <w:sz w:val="20"/>
              </w:rPr>
              <w:t>Integration &amp; API Documentation</w:t>
            </w:r>
            <w:r>
              <w:rPr>
                <w:rFonts w:ascii="Segoe UI" w:hAnsi="Segoe UI" w:cs="Segoe UI" w:eastAsia="Segoe UI"/>
                <w:color w:val="12222F"/>
                <w:sz w:val="20"/>
              </w:rPr>
              <w:t xml:space="preserve">, and the </w:t>
            </w:r>
            <w:r>
              <w:rPr>
                <w:rFonts w:ascii="Segoe UI" w:hAnsi="Segoe UI" w:cs="Segoe UI" w:eastAsia="Segoe UI"/>
                <w:b/>
                <w:color w:val="12222F"/>
                <w:sz w:val="20"/>
              </w:rPr>
              <w:t>Functional Requirements Matrix</w:t>
            </w:r>
            <w:r>
              <w:rPr>
                <w:rFonts w:ascii="Segoe UI" w:hAnsi="Segoe UI" w:cs="Segoe UI" w:eastAsia="Segoe UI"/>
                <w:color w:val="12222F"/>
                <w:sz w:val="20"/>
              </w:rPr>
              <w:t xml:space="preserve"> covering all 228 functional requirements across the nine in-scope solutions.</w:t>
            </w:r>
          </w:p>
        </w:tc>
      </w:tr>
    </w:tbl>
    <w:p>
      <w:pPr>
        <w:spacing w:after="0" w:before="0"/>
      </w:pPr>
    </w:p>
    <w:p>
      <w:pPr>
        <w:pStyle w:val="Heading1"/>
        <w:keepNext/>
        <w:pBdr>
          <w:top w:val="single" w:sz="18" w:space="6" w:color="10385A"/>
        </w:pBdr>
        <w:spacing w:before="440"/>
      </w:pPr>
      <w:r>
        <w:rPr>
          <w:rFonts w:ascii="Segoe UI" w:hAnsi="Segoe UI" w:cs="Segoe UI" w:eastAsia="Segoe UI"/>
          <w:b/>
          <w:color w:val="E57200"/>
          <w:sz w:val="32"/>
        </w:rPr>
        <w:t>2</w:t>
      </w:r>
      <w:r>
        <w:rPr>
          <w:rFonts w:ascii="Segoe UI" w:hAnsi="Segoe UI" w:cs="Segoe UI" w:eastAsia="Segoe UI"/>
          <w:b/>
          <w:color w:val="E57200"/>
          <w:sz w:val="32"/>
        </w:rPr>
        <w:t xml:space="preserve"> </w:t>
      </w:r>
      <w:r>
        <w:rPr>
          <w:rFonts w:ascii="Segoe UI" w:hAnsi="Segoe UI" w:cs="Segoe UI" w:eastAsia="Segoe UI"/>
          <w:b/>
          <w:color w:val="10385A"/>
          <w:sz w:val="32"/>
        </w:rPr>
        <w:t>Architecture at a glance</w:t>
      </w:r>
    </w:p>
    <w:p>
      <w:r>
        <w:rPr>
          <w:rFonts w:ascii="Segoe UI" w:hAnsi="Segoe UI" w:cs="Segoe UI" w:eastAsia="Segoe UI"/>
          <w:color w:val="12222F"/>
          <w:sz w:val="21"/>
        </w:rPr>
        <w:t>The platform is a single audit intelligence system with nine functional surfaces over one shared core. The nine initiatives in §3.1 are not nine products: they are nine views onto the same canonical data, the same control engine, the same evidence store and the same audit ledger. That is what makes cross-cutting requirements — a single exception register, one workflow, one set of dashboards, one security model — achievable rather than aspirational.</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3213"/>
        <w:gridCol w:w="3213"/>
        <w:gridCol w:w="3213"/>
      </w:tblGrid>
      <w:tr>
        <w:trPr>
          <w:cantSplit/>
        </w:trPr>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9</w:t>
            </w:r>
          </w:p>
          <w:p>
            <w:pPr>
              <w:spacing w:after="0" w:line="264" w:lineRule="auto"/>
            </w:pPr>
            <w:r>
              <w:rPr>
                <w:rFonts w:ascii="Segoe UI" w:hAnsi="Segoe UI" w:cs="Segoe UI" w:eastAsia="Segoe UI"/>
                <w:color w:val="5B6B78"/>
                <w:sz w:val="17"/>
              </w:rPr>
              <w:t>Functional surfaces on one shared core</w:t>
            </w:r>
          </w:p>
        </w:tc>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11</w:t>
            </w:r>
          </w:p>
          <w:p>
            <w:pPr>
              <w:spacing w:after="0" w:line="264" w:lineRule="auto"/>
            </w:pPr>
            <w:r>
              <w:rPr>
                <w:rFonts w:ascii="Segoe UI" w:hAnsi="Segoe UI" w:cs="Segoe UI" w:eastAsia="Segoe UI"/>
                <w:color w:val="5B6B78"/>
                <w:sz w:val="17"/>
              </w:rPr>
              <w:t>Canonical entities, source-agnostic</w:t>
            </w:r>
          </w:p>
        </w:tc>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12</w:t>
            </w:r>
          </w:p>
          <w:p>
            <w:pPr>
              <w:spacing w:after="0" w:line="264" w:lineRule="auto"/>
            </w:pPr>
            <w:r>
              <w:rPr>
                <w:rFonts w:ascii="Segoe UI" w:hAnsi="Segoe UI" w:cs="Segoe UI" w:eastAsia="Segoe UI"/>
                <w:color w:val="5B6B78"/>
                <w:sz w:val="17"/>
              </w:rPr>
              <w:t>Declarative control types — no code to author a control</w:t>
            </w:r>
          </w:p>
        </w:tc>
      </w:tr>
      <w:tr>
        <w:trPr>
          <w:cantSplit/>
        </w:trPr>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117</w:t>
            </w:r>
          </w:p>
          <w:p>
            <w:pPr>
              <w:spacing w:after="0" w:line="264" w:lineRule="auto"/>
            </w:pPr>
            <w:r>
              <w:rPr>
                <w:rFonts w:ascii="Segoe UI" w:hAnsi="Segoe UI" w:cs="Segoe UI" w:eastAsia="Segoe UI"/>
                <w:color w:val="5B6B78"/>
                <w:sz w:val="17"/>
              </w:rPr>
              <w:t>REST API operations, OpenAPI documented</w:t>
            </w:r>
          </w:p>
        </w:tc>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4</w:t>
            </w:r>
          </w:p>
          <w:p>
            <w:pPr>
              <w:spacing w:after="0" w:line="264" w:lineRule="auto"/>
            </w:pPr>
            <w:r>
              <w:rPr>
                <w:rFonts w:ascii="Segoe UI" w:hAnsi="Segoe UI" w:cs="Segoe UI" w:eastAsia="Segoe UI"/>
                <w:color w:val="5B6B78"/>
                <w:sz w:val="17"/>
              </w:rPr>
              <w:t>Connector types: file, SQL, SFTP, REST</w:t>
            </w:r>
          </w:p>
        </w:tc>
        <w:tc>
          <w:tcPr>
            <w:tcW w:type="dxa" w:w="3213"/>
            <w:shd w:val="clear" w:color="auto" w:fill="FFFFFF"/>
            <w:tcMar>
              <w:top w:w="120" w:type="dxa"/>
              <w:left w:w="150" w:type="dxa"/>
              <w:bottom w:w="120" w:type="dxa"/>
              <w:right w:w="150" w:type="dxa"/>
            </w:tcMar>
          </w:tcPr>
          <w:p>
            <w:pPr>
              <w:spacing w:after="20" w:line="240" w:lineRule="auto"/>
            </w:pPr>
            <w:r>
              <w:rPr>
                <w:rFonts w:ascii="Segoe UI" w:hAnsi="Segoe UI" w:cs="Segoe UI" w:eastAsia="Segoe UI"/>
                <w:b/>
                <w:color w:val="10385A"/>
                <w:spacing w:val="-10"/>
                <w:sz w:val="38"/>
              </w:rPr>
              <w:t>100%</w:t>
            </w:r>
          </w:p>
          <w:p>
            <w:pPr>
              <w:spacing w:after="0" w:line="264" w:lineRule="auto"/>
            </w:pPr>
            <w:r>
              <w:rPr>
                <w:rFonts w:ascii="Segoe UI" w:hAnsi="Segoe UI" w:cs="Segoe UI" w:eastAsia="Segoe UI"/>
                <w:color w:val="5B6B78"/>
                <w:sz w:val="17"/>
              </w:rPr>
              <w:t>Open-source dependency licensing (MIT / BSD / Apache-2.0)</w:t>
            </w:r>
          </w:p>
        </w:tc>
      </w:tr>
    </w:tbl>
    <w:p>
      <w:r>
        <w:rPr>
          <w:rFonts w:ascii="Segoe UI" w:hAnsi="Segoe UI" w:cs="Segoe UI" w:eastAsia="Segoe UI"/>
          <w:color w:val="12222F"/>
          <w:sz w:val="21"/>
        </w:rPr>
        <w:t>The reference implementation comprises approximately 25,800 lines of Python across 69 modules and 6,450 lines of front-end code, validated by 649 automated unit tests and 126 end-to-end checks executed over HTTP against a running instance. Control accuracy is measured against a ground-truth dataset with planted violations: 66 of 66 controls match their expected result set exactly, all 963 planted violations are detected, and no near-miss record is wrongly flagged.</w:t>
      </w:r>
    </w:p>
    <w:p>
      <w:pPr>
        <w:pStyle w:val="Heading1"/>
        <w:keepNext/>
        <w:pBdr>
          <w:top w:val="single" w:sz="18" w:space="6" w:color="10385A"/>
        </w:pBdr>
        <w:spacing w:before="440"/>
      </w:pPr>
      <w:r>
        <w:rPr>
          <w:rFonts w:ascii="Segoe UI" w:hAnsi="Segoe UI" w:cs="Segoe UI" w:eastAsia="Segoe UI"/>
          <w:b/>
          <w:color w:val="E57200"/>
          <w:sz w:val="32"/>
        </w:rPr>
        <w:t>3</w:t>
      </w:r>
      <w:r>
        <w:rPr>
          <w:rFonts w:ascii="Segoe UI" w:hAnsi="Segoe UI" w:cs="Segoe UI" w:eastAsia="Segoe UI"/>
          <w:b/>
          <w:color w:val="E57200"/>
          <w:sz w:val="32"/>
        </w:rPr>
        <w:t xml:space="preserve"> </w:t>
      </w:r>
      <w:r>
        <w:rPr>
          <w:rFonts w:ascii="Segoe UI" w:hAnsi="Segoe UI" w:cs="Segoe UI" w:eastAsia="Segoe UI"/>
          <w:b/>
          <w:color w:val="10385A"/>
          <w:sz w:val="32"/>
        </w:rPr>
        <w:t>Architecture principles</w:t>
      </w:r>
    </w:p>
    <w:p>
      <w:r>
        <w:rPr>
          <w:rFonts w:ascii="Segoe UI" w:hAnsi="Segoe UI" w:cs="Segoe UI" w:eastAsia="Segoe UI"/>
          <w:color w:val="12222F"/>
          <w:sz w:val="21"/>
        </w:rPr>
        <w:t>Seven principles govern the design. Each is stated with the mechanism that enforces it, because a principle without a mechanism is a preference.</w:t>
      </w:r>
    </w:p>
    <w:p>
      <w:pPr>
        <w:pStyle w:val="Heading3"/>
        <w:keepNext/>
        <w:spacing w:before="240"/>
      </w:pPr>
      <w:r>
        <w:rPr>
          <w:rFonts w:ascii="Segoe UI" w:hAnsi="Segoe UI" w:cs="Segoe UI" w:eastAsia="Segoe UI"/>
          <w:b/>
          <w:color w:val="10385A"/>
          <w:sz w:val="22"/>
        </w:rPr>
        <w:t>1 · Evidence is immutable and content-addressed</w:t>
      </w:r>
    </w:p>
    <w:p>
      <w:pPr>
        <w:spacing w:after="80"/>
        <w:ind w:left="0"/>
      </w:pPr>
      <w:r>
        <w:rPr>
          <w:rFonts w:ascii="Segoe UI" w:hAnsi="Segoe UI" w:cs="Segoe UI" w:eastAsia="Segoe UI"/>
          <w:color w:val="31414E"/>
          <w:sz w:val="21"/>
        </w:rPr>
        <w:t xml:space="preserve">A control never runs against a live source system. It runs against a frozen snapshot whose identity </w:t>
      </w:r>
      <w:r>
        <w:rPr>
          <w:rFonts w:ascii="Segoe UI" w:hAnsi="Segoe UI" w:cs="Segoe UI" w:eastAsia="Segoe UI"/>
          <w:i/>
          <w:color w:val="31414E"/>
          <w:sz w:val="21"/>
        </w:rPr>
        <w:t>is</w:t>
      </w:r>
      <w:r>
        <w:rPr>
          <w:rFonts w:ascii="Segoe UI" w:hAnsi="Segoe UI" w:cs="Segoe UI" w:eastAsia="Segoe UI"/>
          <w:color w:val="31414E"/>
          <w:sz w:val="21"/>
        </w:rPr>
        <w:t xml:space="preserve"> the hash of its contents.</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each pull writes Parquet files and a manifest of per-table SHA-256 digests; the snapshot id is the SHA-256 of that manifest plus the source key. Re-verification re-hashes every file. Altering one byte of evidence changes the id and is detected.</w:t>
      </w:r>
    </w:p>
    <w:p>
      <w:pPr>
        <w:pStyle w:val="Heading3"/>
        <w:keepNext/>
        <w:spacing w:before="240"/>
      </w:pPr>
      <w:r>
        <w:rPr>
          <w:rFonts w:ascii="Segoe UI" w:hAnsi="Segoe UI" w:cs="Segoe UI" w:eastAsia="Segoe UI"/>
          <w:b/>
          <w:color w:val="10385A"/>
          <w:sz w:val="22"/>
        </w:rPr>
        <w:t>2 · Controls are configuration, not code</w:t>
      </w:r>
    </w:p>
    <w:p>
      <w:pPr>
        <w:spacing w:after="80"/>
        <w:ind w:left="0"/>
      </w:pPr>
      <w:r>
        <w:rPr>
          <w:rFonts w:ascii="Segoe UI" w:hAnsi="Segoe UI" w:cs="Segoe UI" w:eastAsia="Segoe UI"/>
          <w:color w:val="31414E"/>
          <w:sz w:val="21"/>
        </w:rPr>
        <w:t>A control is authored as a row in a workbook and validated against a published schema. Adding or amending a control requires no release.</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twelve declarative rule types compile to a SQL predicate. The compiler never raises on an author’s mistake — it returns the control as </w:t>
      </w:r>
      <w:r>
        <w:rPr>
          <w:rFonts w:ascii="Consolas" w:hAnsi="Consolas" w:cs="Consolas" w:eastAsia="Consolas"/>
          <w:color w:val="082137"/>
          <w:sz w:val="16"/>
          <w:shd w:val="clear" w:color="auto" w:fill="EEF4F8"/>
        </w:rPr>
        <w:t>unexecutable</w:t>
      </w:r>
      <w:r>
        <w:rPr>
          <w:rFonts w:ascii="Segoe UI" w:hAnsi="Segoe UI" w:cs="Segoe UI" w:eastAsia="Segoe UI"/>
          <w:color w:val="5B6B78"/>
          <w:sz w:val="18"/>
        </w:rPr>
        <w:t xml:space="preserve"> with the reason, because a control that silently matches nothing is the worst failure mode in an audit system.</w:t>
      </w:r>
    </w:p>
    <w:p>
      <w:pPr>
        <w:pStyle w:val="Heading3"/>
        <w:keepNext/>
        <w:spacing w:before="240"/>
      </w:pPr>
      <w:r>
        <w:rPr>
          <w:rFonts w:ascii="Segoe UI" w:hAnsi="Segoe UI" w:cs="Segoe UI" w:eastAsia="Segoe UI"/>
          <w:b/>
          <w:color w:val="10385A"/>
          <w:sz w:val="22"/>
        </w:rPr>
        <w:t>3 · AI reasons; code decides</w:t>
      </w:r>
    </w:p>
    <w:p>
      <w:pPr>
        <w:spacing w:after="80"/>
        <w:ind w:left="0"/>
      </w:pPr>
      <w:r>
        <w:rPr>
          <w:rFonts w:ascii="Segoe UI" w:hAnsi="Segoe UI" w:cs="Segoe UI" w:eastAsia="Segoe UI"/>
          <w:color w:val="31414E"/>
          <w:sz w:val="21"/>
        </w:rPr>
        <w:t>Language models draft, explain and summarise. Every number that reaches a workpaper is computed by deterministic code.</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model output is a proposal requiring human acceptance; the analytics path never calls a model. A generated control is compiled, validated and previewed against real data before it can be saved.</w:t>
      </w:r>
    </w:p>
    <w:p>
      <w:pPr>
        <w:pStyle w:val="Heading3"/>
        <w:keepNext/>
        <w:spacing w:before="240"/>
      </w:pPr>
      <w:r>
        <w:rPr>
          <w:rFonts w:ascii="Segoe UI" w:hAnsi="Segoe UI" w:cs="Segoe UI" w:eastAsia="Segoe UI"/>
          <w:b/>
          <w:color w:val="10385A"/>
          <w:sz w:val="22"/>
        </w:rPr>
        <w:t>4 · The engine proposes; the auditor concludes</w:t>
      </w:r>
    </w:p>
    <w:p>
      <w:pPr>
        <w:spacing w:after="80"/>
        <w:ind w:left="0"/>
      </w:pPr>
      <w:r>
        <w:rPr>
          <w:rFonts w:ascii="Segoe UI" w:hAnsi="Segoe UI" w:cs="Segoe UI" w:eastAsia="Segoe UI"/>
          <w:color w:val="31414E"/>
          <w:sz w:val="21"/>
        </w:rPr>
        <w:t>The system reports exceptions, populations and rates. It does not conclude that a control is ineffective — that judgement is the auditor’s and is recorded as theirs.</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a run yields a </w:t>
      </w:r>
      <w:r>
        <w:rPr>
          <w:rFonts w:ascii="Segoe UI" w:hAnsi="Segoe UI" w:cs="Segoe UI" w:eastAsia="Segoe UI"/>
          <w:i/>
          <w:color w:val="5B6B78"/>
          <w:sz w:val="18"/>
        </w:rPr>
        <w:t>proposed</w:t>
      </w:r>
      <w:r>
        <w:rPr>
          <w:rFonts w:ascii="Segoe UI" w:hAnsi="Segoe UI" w:cs="Segoe UI" w:eastAsia="Segoe UI"/>
          <w:color w:val="5B6B78"/>
          <w:sz w:val="18"/>
        </w:rPr>
        <w:t xml:space="preserve"> conclusion and never returns “Ineffective”; where controls could not be executed the run is marked inconclusive rather than clean.</w:t>
      </w:r>
    </w:p>
    <w:p>
      <w:pPr>
        <w:pStyle w:val="Heading3"/>
        <w:keepNext/>
        <w:spacing w:before="240"/>
      </w:pPr>
      <w:r>
        <w:rPr>
          <w:rFonts w:ascii="Segoe UI" w:hAnsi="Segoe UI" w:cs="Segoe UI" w:eastAsia="Segoe UI"/>
          <w:b/>
          <w:color w:val="10385A"/>
          <w:sz w:val="22"/>
        </w:rPr>
        <w:t>5 · Separation of duties is enforced, not documented</w:t>
      </w:r>
    </w:p>
    <w:p>
      <w:pPr>
        <w:spacing w:after="80"/>
        <w:ind w:left="0"/>
      </w:pPr>
      <w:r>
        <w:rPr>
          <w:rFonts w:ascii="Segoe UI" w:hAnsi="Segoe UI" w:cs="Segoe UI" w:eastAsia="Segoe UI"/>
          <w:color w:val="31414E"/>
          <w:sz w:val="21"/>
        </w:rPr>
        <w:t>Maker and checker are different people at every gate that matters.</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the platform rejects self-approval of a control, self-review of a finding, verification of an action by its owner or by whoever closed it, self-approval of a deadline extension, and promotion of a model by the person who trained it.</w:t>
      </w:r>
    </w:p>
    <w:p>
      <w:pPr>
        <w:pStyle w:val="Heading3"/>
        <w:keepNext/>
        <w:spacing w:before="240"/>
      </w:pPr>
      <w:r>
        <w:rPr>
          <w:rFonts w:ascii="Segoe UI" w:hAnsi="Segoe UI" w:cs="Segoe UI" w:eastAsia="Segoe UI"/>
          <w:b/>
          <w:color w:val="10385A"/>
          <w:sz w:val="22"/>
        </w:rPr>
        <w:t>6 · Everything is on the record and tamper-evident</w:t>
      </w:r>
    </w:p>
    <w:p>
      <w:pPr>
        <w:spacing w:after="80"/>
        <w:ind w:left="0"/>
      </w:pPr>
      <w:r>
        <w:rPr>
          <w:rFonts w:ascii="Segoe UI" w:hAnsi="Segoe UI" w:cs="Segoe UI" w:eastAsia="Segoe UI"/>
          <w:color w:val="31414E"/>
          <w:sz w:val="21"/>
        </w:rPr>
        <w:t>Every state change is written to an append-only ledger; nothing updates or deletes a ledger row.</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each entry carries the hash of its predecessor, so any alteration breaks the chain from that point forward and is located by re-computation. The chain head is independently verifiable.</w:t>
      </w:r>
    </w:p>
    <w:p>
      <w:pPr>
        <w:pStyle w:val="Heading3"/>
        <w:keepNext/>
        <w:spacing w:before="240"/>
      </w:pPr>
      <w:r>
        <w:rPr>
          <w:rFonts w:ascii="Segoe UI" w:hAnsi="Segoe UI" w:cs="Segoe UI" w:eastAsia="Segoe UI"/>
          <w:b/>
          <w:color w:val="10385A"/>
          <w:sz w:val="22"/>
        </w:rPr>
        <w:t>7 · Data stays where the Bank puts it</w:t>
      </w:r>
    </w:p>
    <w:p>
      <w:pPr>
        <w:spacing w:after="80"/>
        <w:ind w:left="0"/>
      </w:pPr>
      <w:r>
        <w:rPr>
          <w:rFonts w:ascii="Segoe UI" w:hAnsi="Segoe UI" w:cs="Segoe UI" w:eastAsia="Segoe UI"/>
          <w:color w:val="31414E"/>
          <w:sz w:val="21"/>
        </w:rPr>
        <w:t>No audit data leaves the Bank’s environment, including to an AI provider.</w:t>
      </w:r>
    </w:p>
    <w:p>
      <w:pPr>
        <w:spacing w:after="160" w:line="269" w:lineRule="auto"/>
        <w:ind w:left="283"/>
      </w:pPr>
      <w:r>
        <w:rPr>
          <w:rFonts w:ascii="Segoe UI" w:hAnsi="Segoe UI" w:cs="Segoe UI" w:eastAsia="Segoe UI"/>
          <w:b/>
          <w:color w:val="10385A"/>
          <w:sz w:val="18"/>
        </w:rPr>
        <w:t>Mechanism:</w:t>
      </w:r>
      <w:r>
        <w:rPr>
          <w:rFonts w:ascii="Segoe UI" w:hAnsi="Segoe UI" w:cs="Segoe UI" w:eastAsia="Segoe UI"/>
          <w:color w:val="5B6B78"/>
          <w:sz w:val="18"/>
        </w:rPr>
        <w:t xml:space="preserve"> the inference layer accepts only loopback and private-host endpoints and refuses any non-local URL; an explicit configuration guard blocks external providers. Data residency is a property of the code, not of a policy statement.</w:t>
      </w:r>
    </w:p>
    <w:p>
      <w:pPr>
        <w:pStyle w:val="Heading1"/>
        <w:keepNext/>
        <w:pBdr>
          <w:top w:val="single" w:sz="18" w:space="6" w:color="10385A"/>
        </w:pBdr>
        <w:spacing w:before="440"/>
      </w:pPr>
      <w:r>
        <w:rPr>
          <w:rFonts w:ascii="Segoe UI" w:hAnsi="Segoe UI" w:cs="Segoe UI" w:eastAsia="Segoe UI"/>
          <w:b/>
          <w:color w:val="E57200"/>
          <w:sz w:val="32"/>
        </w:rPr>
        <w:t>4</w:t>
      </w:r>
      <w:r>
        <w:rPr>
          <w:rFonts w:ascii="Segoe UI" w:hAnsi="Segoe UI" w:cs="Segoe UI" w:eastAsia="Segoe UI"/>
          <w:b/>
          <w:color w:val="E57200"/>
          <w:sz w:val="32"/>
        </w:rPr>
        <w:t xml:space="preserve"> </w:t>
      </w:r>
      <w:r>
        <w:rPr>
          <w:rFonts w:ascii="Segoe UI" w:hAnsi="Segoe UI" w:cs="Segoe UI" w:eastAsia="Segoe UI"/>
          <w:b/>
          <w:color w:val="10385A"/>
          <w:sz w:val="32"/>
        </w:rPr>
        <w:t>Solution context</w:t>
      </w:r>
    </w:p>
    <w:p>
      <w:r>
        <w:rPr>
          <w:rFonts w:ascii="Segoe UI" w:hAnsi="Segoe UI" w:cs="Segoe UI" w:eastAsia="Segoe UI"/>
          <w:color w:val="12222F"/>
          <w:sz w:val="21"/>
        </w:rPr>
        <w:t>The platform sits between the Bank’s systems of record and its audit function. It reads; it does not write back. No connector in the architecture has a write path to a source system, which removes an entire class of operational risk from the deployment conversation and simplifies the Bank’s change-approval process for connecting it.</w:t>
      </w:r>
    </w:p>
    <w:p>
      <w:pPr>
        <w:keepNext/>
        <w:keepLines/>
        <w:spacing w:before="200" w:after="100"/>
        <w:jc w:val="center"/>
      </w:pPr>
      <w:r>
        <w:drawing>
          <wp:inline xmlns:a="http://schemas.openxmlformats.org/drawingml/2006/main" xmlns:pic="http://schemas.openxmlformats.org/drawingml/2006/picture">
            <wp:extent cx="6120000" cy="2877149"/>
            <wp:docPr id="1" name="Picture 1"/>
            <wp:cNvGraphicFramePr>
              <a:graphicFrameLocks noChangeAspect="1"/>
            </wp:cNvGraphicFramePr>
            <a:graphic>
              <a:graphicData uri="http://schemas.openxmlformats.org/drawingml/2006/picture">
                <pic:pic>
                  <pic:nvPicPr>
                    <pic:cNvPr id="0" name="figure-1.png"/>
                    <pic:cNvPicPr/>
                  </pic:nvPicPr>
                  <pic:blipFill>
                    <a:blip r:embed="rId13"/>
                    <a:stretch>
                      <a:fillRect/>
                    </a:stretch>
                  </pic:blipFill>
                  <pic:spPr>
                    <a:xfrm>
                      <a:off x="0" y="0"/>
                      <a:ext cx="6120000" cy="2877149"/>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1 — Solution context.</w:t>
      </w:r>
      <w:r>
        <w:rPr>
          <w:rFonts w:ascii="Segoe UI" w:hAnsi="Segoe UI" w:cs="Segoe UI" w:eastAsia="Segoe UI"/>
          <w:i/>
          <w:color w:val="5B6B78"/>
          <w:sz w:val="18"/>
        </w:rPr>
        <w:t xml:space="preserve"> Source systems are read through one of four connector types and normalised into 11 canonical entities before anything is stored. The orange elements are the two that carry the assurance argument: evidence is content-addressed on the way in, and the audit ledger leaves the platform to the Bank’s SIEM and WORM archive on the way out. Dashed boundaries are </w:t>
      </w:r>
      <w:r>
        <w:rPr>
          <w:rFonts w:ascii="Segoe UI" w:hAnsi="Segoe UI" w:cs="Segoe UI" w:eastAsia="Segoe UI"/>
          <w:b/>
          <w:i w:val="0"/>
          <w:color w:val="10385A"/>
          <w:sz w:val="17"/>
        </w:rPr>
        <w:t>[As-proposed]</w:t>
      </w:r>
      <w:r>
        <w:rPr>
          <w:rFonts w:ascii="Segoe UI" w:hAnsi="Segoe UI" w:cs="Segoe UI" w:eastAsia="Segoe UI"/>
          <w:i/>
          <w:color w:val="5B6B78"/>
          <w:sz w:val="18"/>
        </w:rPr>
        <w:t>.</w:t>
      </w:r>
    </w:p>
    <w:p>
      <w:pPr>
        <w:pStyle w:val="Heading1"/>
        <w:keepNext/>
        <w:pBdr>
          <w:top w:val="single" w:sz="18" w:space="6" w:color="10385A"/>
        </w:pBdr>
        <w:spacing w:before="440"/>
      </w:pPr>
      <w:r>
        <w:rPr>
          <w:rFonts w:ascii="Segoe UI" w:hAnsi="Segoe UI" w:cs="Segoe UI" w:eastAsia="Segoe UI"/>
          <w:b/>
          <w:color w:val="E57200"/>
          <w:sz w:val="32"/>
        </w:rPr>
        <w:t>5</w:t>
      </w:r>
      <w:r>
        <w:rPr>
          <w:rFonts w:ascii="Segoe UI" w:hAnsi="Segoe UI" w:cs="Segoe UI" w:eastAsia="Segoe UI"/>
          <w:b/>
          <w:color w:val="E57200"/>
          <w:sz w:val="32"/>
        </w:rPr>
        <w:t xml:space="preserve"> </w:t>
      </w:r>
      <w:r>
        <w:rPr>
          <w:rFonts w:ascii="Segoe UI" w:hAnsi="Segoe UI" w:cs="Segoe UI" w:eastAsia="Segoe UI"/>
          <w:b/>
          <w:color w:val="10385A"/>
          <w:sz w:val="32"/>
        </w:rPr>
        <w:t>Logical architecture</w:t>
      </w:r>
    </w:p>
    <w:p>
      <w:r>
        <w:rPr>
          <w:rFonts w:ascii="Segoe UI" w:hAnsi="Segoe UI" w:cs="Segoe UI" w:eastAsia="Segoe UI"/>
          <w:color w:val="12222F"/>
          <w:sz w:val="21"/>
        </w:rPr>
        <w:t>The system is layered, and dependencies point one way only. No domain module imports the API layer; no data module imports a surface. This is what allows the control engine to be tested without a web server, and the ingestion pipeline to be exercised without a database — and it is why 649 automated tests can run in under a minute.</w:t>
      </w:r>
    </w:p>
    <w:p>
      <w:pPr>
        <w:keepNext/>
        <w:keepLines/>
        <w:spacing w:before="200" w:after="100"/>
        <w:jc w:val="center"/>
      </w:pPr>
      <w:r>
        <w:drawing>
          <wp:inline xmlns:a="http://schemas.openxmlformats.org/drawingml/2006/main" xmlns:pic="http://schemas.openxmlformats.org/drawingml/2006/picture">
            <wp:extent cx="6120000" cy="2630410"/>
            <wp:docPr id="2" name="Picture 2"/>
            <wp:cNvGraphicFramePr>
              <a:graphicFrameLocks noChangeAspect="1"/>
            </wp:cNvGraphicFramePr>
            <a:graphic>
              <a:graphicData uri="http://schemas.openxmlformats.org/drawingml/2006/picture">
                <pic:pic>
                  <pic:nvPicPr>
                    <pic:cNvPr id="0" name="figure-2.png"/>
                    <pic:cNvPicPr/>
                  </pic:nvPicPr>
                  <pic:blipFill>
                    <a:blip r:embed="rId14"/>
                    <a:stretch>
                      <a:fillRect/>
                    </a:stretch>
                  </pic:blipFill>
                  <pic:spPr>
                    <a:xfrm>
                      <a:off x="0" y="0"/>
                      <a:ext cx="6120000" cy="2630410"/>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2 — Layered architecture.</w:t>
      </w:r>
      <w:r>
        <w:rPr>
          <w:rFonts w:ascii="Segoe UI" w:hAnsi="Segoe UI" w:cs="Segoe UI" w:eastAsia="Segoe UI"/>
          <w:i/>
          <w:color w:val="5B6B78"/>
          <w:sz w:val="18"/>
        </w:rPr>
        <w:t xml:space="preserve"> The nine initiatives named in §3.1 are the third layer, not nine systems. They share one execution path, one exception register and one ledger; the data foundation beneath them is what makes a control portable across source systems.</w:t>
      </w:r>
    </w:p>
    <w:p>
      <w:pPr>
        <w:pStyle w:val="Heading2"/>
        <w:keepNext/>
      </w:pPr>
      <w:r>
        <w:rPr>
          <w:rFonts w:ascii="Segoe UI" w:hAnsi="Segoe UI" w:cs="Segoe UI" w:eastAsia="Segoe UI"/>
          <w:b/>
          <w:color w:val="10385A"/>
          <w:sz w:val="25"/>
        </w:rPr>
        <w:t>Module inventory</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1927"/>
        <w:gridCol w:w="1060"/>
        <w:gridCol w:w="963"/>
        <w:gridCol w:w="5689"/>
      </w:tblGrid>
      <w:tr>
        <w:trPr>
          <w:cantSplit/>
          <w:tblHeader w:val="true"/>
        </w:trPr>
        <w:tc>
          <w:tcPr>
            <w:tcW w:type="dxa" w:w="1927"/>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Package</w:t>
            </w:r>
          </w:p>
        </w:tc>
        <w:tc>
          <w:tcPr>
            <w:tcW w:type="dxa" w:w="1060"/>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Modules</w:t>
            </w:r>
          </w:p>
        </w:tc>
        <w:tc>
          <w:tcPr>
            <w:tcW w:type="dxa" w:w="96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Lines</w:t>
            </w:r>
          </w:p>
        </w:tc>
        <w:tc>
          <w:tcPr>
            <w:tcW w:type="dxa" w:w="5689"/>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Responsibility</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aip/ingestion</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5</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1,905</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Connectors, type coercion and rejection, content-addressed snapshots, schema-drift detection</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aip/rules</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6</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3,267</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Rule schema and validation, SQL compiler, execution engine, repository and versioning, workbook parser</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aip/surfaces</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5</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2,218</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Run orchestration, audit lifecycle, checklists, V-CIP scoring</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aip/ml</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5</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1,679</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Feature engineering (17 features), anomaly detection, exception triage, model registry</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aip/platform</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7</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1,450</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Authentication, RBAC, audit ledger, ORM (36 tables), scheduler, bootstrap</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aip/sampling</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2</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817</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Attribute, stratified, risk-weighted and monetary-unit sampling with reproducible selection</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aip/ai</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3</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762</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Inference provider with locality guard, natural-language control drafting and preview</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aip/evidence</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2</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665</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Workpaper rendering, hashing and sign-off</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aip/exceptions</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2</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649</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Exception store, deduplication, disposition, assignment, revalidation</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aip/reporting</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2</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331</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Export to XLSX, CSV and PDF</w:t>
            </w:r>
          </w:p>
        </w:tc>
      </w:tr>
      <w:tr>
        <w:trPr>
          <w:cantSplit/>
        </w:trPr>
        <w:tc>
          <w:tcPr>
            <w:tcW w:type="dxa" w:w="1927"/>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aip/workflow</w:t>
            </w:r>
          </w:p>
        </w:tc>
        <w:tc>
          <w:tcPr>
            <w:tcW w:type="dxa" w:w="1060"/>
            <w:tcMar>
              <w:top w:w="80" w:type="dxa"/>
              <w:left w:w="110" w:type="dxa"/>
              <w:bottom w:w="80" w:type="dxa"/>
              <w:right w:w="110" w:type="dxa"/>
            </w:tcMar>
          </w:tcPr>
          <w:p>
            <w:pPr>
              <w:spacing w:after="0" w:line="269" w:lineRule="auto"/>
            </w:pPr>
            <w:r>
              <w:rPr>
                <w:rFonts w:ascii="Segoe UI" w:hAnsi="Segoe UI" w:cs="Segoe UI" w:eastAsia="Segoe UI"/>
                <w:color w:val="12222F"/>
                <w:sz w:val="18"/>
              </w:rPr>
              <w:t>2</w:t>
            </w:r>
          </w:p>
        </w:tc>
        <w:tc>
          <w:tcPr>
            <w:tcW w:type="dxa" w:w="963"/>
            <w:tcMar>
              <w:top w:w="80" w:type="dxa"/>
              <w:left w:w="110" w:type="dxa"/>
              <w:bottom w:w="80" w:type="dxa"/>
              <w:right w:w="110" w:type="dxa"/>
            </w:tcMar>
          </w:tcPr>
          <w:p>
            <w:pPr>
              <w:spacing w:after="0" w:line="269" w:lineRule="auto"/>
            </w:pPr>
            <w:r>
              <w:rPr>
                <w:rFonts w:ascii="Segoe UI" w:hAnsi="Segoe UI" w:cs="Segoe UI" w:eastAsia="Segoe UI"/>
                <w:color w:val="12222F"/>
                <w:sz w:val="18"/>
              </w:rPr>
              <w:t>287</w:t>
            </w:r>
          </w:p>
        </w:tc>
        <w:tc>
          <w:tcPr>
            <w:tcW w:type="dxa" w:w="5689"/>
            <w:tcMar>
              <w:top w:w="80" w:type="dxa"/>
              <w:left w:w="110" w:type="dxa"/>
              <w:bottom w:w="80" w:type="dxa"/>
              <w:right w:w="110" w:type="dxa"/>
            </w:tcMar>
          </w:tcPr>
          <w:p>
            <w:pPr>
              <w:spacing w:after="0" w:line="269" w:lineRule="auto"/>
            </w:pPr>
            <w:r>
              <w:rPr>
                <w:rFonts w:ascii="Segoe UI" w:hAnsi="Segoe UI" w:cs="Segoe UI" w:eastAsia="Segoe UI"/>
                <w:color w:val="12222F"/>
                <w:sz w:val="18"/>
              </w:rPr>
              <w:t>Assignments, auditee queries, document attachment</w:t>
            </w:r>
          </w:p>
        </w:tc>
      </w:tr>
      <w:tr>
        <w:trPr>
          <w:cantSplit/>
        </w:trPr>
        <w:tc>
          <w:tcPr>
            <w:tcW w:type="dxa" w:w="1927"/>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api/routers</w:t>
            </w:r>
          </w:p>
        </w:tc>
        <w:tc>
          <w:tcPr>
            <w:tcW w:type="dxa" w:w="106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10</w:t>
            </w:r>
          </w:p>
        </w:tc>
        <w:tc>
          <w:tcPr>
            <w:tcW w:type="dxa" w:w="9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2,704</w:t>
            </w:r>
          </w:p>
        </w:tc>
        <w:tc>
          <w:tcPr>
            <w:tcW w:type="dxa" w:w="5689"/>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HTTP surface; 117 operations, every one carrying an explicit role dependency</w:t>
            </w:r>
          </w:p>
        </w:tc>
      </w:tr>
    </w:tbl>
    <w:p>
      <w:pPr>
        <w:spacing w:after="0" w:before="0"/>
      </w:pPr>
    </w:p>
    <w:p>
      <w:pPr>
        <w:pStyle w:val="Heading1"/>
        <w:keepNext/>
        <w:pBdr>
          <w:top w:val="single" w:sz="18" w:space="6" w:color="10385A"/>
        </w:pBdr>
        <w:spacing w:before="440"/>
      </w:pPr>
      <w:r>
        <w:rPr>
          <w:rFonts w:ascii="Segoe UI" w:hAnsi="Segoe UI" w:cs="Segoe UI" w:eastAsia="Segoe UI"/>
          <w:b/>
          <w:color w:val="E57200"/>
          <w:sz w:val="32"/>
        </w:rPr>
        <w:t>6</w:t>
      </w:r>
      <w:r>
        <w:rPr>
          <w:rFonts w:ascii="Segoe UI" w:hAnsi="Segoe UI" w:cs="Segoe UI" w:eastAsia="Segoe UI"/>
          <w:b/>
          <w:color w:val="E57200"/>
          <w:sz w:val="32"/>
        </w:rPr>
        <w:t xml:space="preserve"> </w:t>
      </w:r>
      <w:r>
        <w:rPr>
          <w:rFonts w:ascii="Segoe UI" w:hAnsi="Segoe UI" w:cs="Segoe UI" w:eastAsia="Segoe UI"/>
          <w:b/>
          <w:color w:val="10385A"/>
          <w:sz w:val="32"/>
        </w:rPr>
        <w:t>Data architecture and evidence</w:t>
      </w:r>
    </w:p>
    <w:p>
      <w:pPr>
        <w:pStyle w:val="Heading2"/>
        <w:keepNext/>
      </w:pPr>
      <w:r>
        <w:rPr>
          <w:rFonts w:ascii="Segoe UI" w:hAnsi="Segoe UI" w:cs="Segoe UI" w:eastAsia="Segoe UI"/>
          <w:b/>
          <w:color w:val="10385A"/>
          <w:sz w:val="25"/>
        </w:rPr>
        <w:t>The canonical model, and why it exists</w:t>
      </w:r>
    </w:p>
    <w:p>
      <w:r>
        <w:rPr>
          <w:rFonts w:ascii="Segoe UI" w:hAnsi="Segoe UI" w:cs="Segoe UI" w:eastAsia="Segoe UI"/>
          <w:color w:val="12222F"/>
          <w:sz w:val="21"/>
        </w:rPr>
        <w:t xml:space="preserve">A control in this platform never names a core-banking table. It names a canonical entity. </w:t>
      </w:r>
      <w:r>
        <w:rPr>
          <w:rFonts w:ascii="Consolas" w:hAnsi="Consolas" w:cs="Consolas" w:eastAsia="Consolas"/>
          <w:color w:val="082137"/>
          <w:sz w:val="19"/>
          <w:shd w:val="clear" w:color="auto" w:fill="EEF4F8"/>
        </w:rPr>
        <w:t>Dormant_Reactivation_No_Approval</w:t>
      </w:r>
      <w:r>
        <w:rPr>
          <w:rFonts w:ascii="Segoe UI" w:hAnsi="Segoe UI" w:cs="Segoe UI" w:eastAsia="Segoe UI"/>
          <w:color w:val="12222F"/>
          <w:sz w:val="21"/>
        </w:rPr>
        <w:t xml:space="preserve"> is written against </w:t>
      </w:r>
      <w:r>
        <w:rPr>
          <w:rFonts w:ascii="Consolas" w:hAnsi="Consolas" w:cs="Consolas" w:eastAsia="Consolas"/>
          <w:color w:val="082137"/>
          <w:sz w:val="19"/>
          <w:shd w:val="clear" w:color="auto" w:fill="EEF4F8"/>
        </w:rPr>
        <w:t>account</w:t>
      </w:r>
      <w:r>
        <w:rPr>
          <w:rFonts w:ascii="Segoe UI" w:hAnsi="Segoe UI" w:cs="Segoe UI" w:eastAsia="Segoe UI"/>
          <w:color w:val="12222F"/>
          <w:sz w:val="21"/>
        </w:rPr>
        <w:t>, not against a physical table in Finacle or a view in the Data Warehouse.</w:t>
      </w:r>
    </w:p>
    <w:p>
      <w:r>
        <w:rPr>
          <w:rFonts w:ascii="Segoe UI" w:hAnsi="Segoe UI" w:cs="Segoe UI" w:eastAsia="Segoe UI"/>
          <w:color w:val="12222F"/>
          <w:sz w:val="21"/>
        </w:rPr>
        <w:t xml:space="preserve">This is the single most consequential design decision in the architecture, and it directly answers the RFI’s requirement for a prototype demonstrating integration </w:t>
      </w:r>
      <w:r>
        <w:rPr>
          <w:rFonts w:ascii="Segoe UI" w:hAnsi="Segoe UI" w:cs="Segoe UI" w:eastAsia="Segoe UI"/>
          <w:i/>
          <w:color w:val="12222F"/>
          <w:sz w:val="21"/>
        </w:rPr>
        <w:t>“via YES BANK Data Warehouse, or direct connectivity to source applications”</w:t>
      </w:r>
      <w:r>
        <w:rPr>
          <w:rFonts w:ascii="Segoe UI" w:hAnsi="Segoe UI" w:cs="Segoe UI" w:eastAsia="Segoe UI"/>
          <w:color w:val="12222F"/>
          <w:sz w:val="21"/>
        </w:rPr>
        <w:t>. Because controls bind to the canonical contract rather than to a physical schema, the same 78 controls run unchanged whether the Bank routes them through the Data Warehouse or connects them directly to core banking. Changing the route is a connector configuration change; it is not a re-write of the control library.</w:t>
      </w:r>
    </w:p>
    <w:p>
      <w:r>
        <w:rPr>
          <w:rFonts w:ascii="Segoe UI" w:hAnsi="Segoe UI" w:cs="Segoe UI" w:eastAsia="Segoe UI"/>
          <w:color w:val="12222F"/>
          <w:sz w:val="21"/>
        </w:rPr>
        <w:t xml:space="preserve">The eleven canonical entities are </w:t>
      </w:r>
      <w:r>
        <w:rPr>
          <w:rFonts w:ascii="Consolas" w:hAnsi="Consolas" w:cs="Consolas" w:eastAsia="Consolas"/>
          <w:color w:val="082137"/>
          <w:sz w:val="19"/>
          <w:shd w:val="clear" w:color="auto" w:fill="EEF4F8"/>
        </w:rPr>
        <w:t>customer</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account</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transaction</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loan</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journal_entry</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employee</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entitlement</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vendor</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vendor_payment</w:t>
      </w:r>
      <w:r>
        <w:rPr>
          <w:rFonts w:ascii="Segoe UI" w:hAnsi="Segoe UI" w:cs="Segoe UI" w:eastAsia="Segoe UI"/>
          <w:color w:val="12222F"/>
          <w:sz w:val="21"/>
        </w:rPr>
        <w:t xml:space="preserve">, </w:t>
      </w:r>
      <w:r>
        <w:rPr>
          <w:rFonts w:ascii="Consolas" w:hAnsi="Consolas" w:cs="Consolas" w:eastAsia="Consolas"/>
          <w:color w:val="082137"/>
          <w:sz w:val="19"/>
          <w:shd w:val="clear" w:color="auto" w:fill="EEF4F8"/>
        </w:rPr>
        <w:t>kyc_document</w:t>
      </w:r>
      <w:r>
        <w:rPr>
          <w:rFonts w:ascii="Segoe UI" w:hAnsi="Segoe UI" w:cs="Segoe UI" w:eastAsia="Segoe UI"/>
          <w:color w:val="12222F"/>
          <w:sz w:val="21"/>
        </w:rPr>
        <w:t xml:space="preserve"> and </w:t>
      </w:r>
      <w:r>
        <w:rPr>
          <w:rFonts w:ascii="Consolas" w:hAnsi="Consolas" w:cs="Consolas" w:eastAsia="Consolas"/>
          <w:color w:val="082137"/>
          <w:sz w:val="19"/>
          <w:shd w:val="clear" w:color="auto" w:fill="EEF4F8"/>
        </w:rPr>
        <w:t>aml_alert</w:t>
      </w:r>
      <w:r>
        <w:rPr>
          <w:rFonts w:ascii="Segoe UI" w:hAnsi="Segoe UI" w:cs="Segoe UI" w:eastAsia="Segoe UI"/>
          <w:color w:val="12222F"/>
          <w:sz w:val="21"/>
        </w:rPr>
        <w:t xml:space="preserve">. Each declares a primary key, typed columns with required flags, and </w:t>
      </w:r>
      <w:r>
        <w:rPr>
          <w:rFonts w:ascii="Segoe UI" w:hAnsi="Segoe UI" w:cs="Segoe UI" w:eastAsia="Segoe UI"/>
          <w:i/>
          <w:color w:val="12222F"/>
          <w:sz w:val="21"/>
        </w:rPr>
        <w:t>entity dimensions</w:t>
      </w:r>
      <w:r>
        <w:rPr>
          <w:rFonts w:ascii="Segoe UI" w:hAnsi="Segoe UI" w:cs="Segoe UI" w:eastAsia="Segoe UI"/>
          <w:color w:val="12222F"/>
          <w:sz w:val="21"/>
        </w:rPr>
        <w:t xml:space="preserve"> — branch, region, segment, product — carried from day one so that branch and regional analysis needs no retrofit.</w:t>
      </w:r>
    </w:p>
    <w:p>
      <w:pPr>
        <w:pStyle w:val="Heading2"/>
        <w:keepNext/>
      </w:pPr>
      <w:r>
        <w:rPr>
          <w:rFonts w:ascii="Segoe UI" w:hAnsi="Segoe UI" w:cs="Segoe UI" w:eastAsia="Segoe UI"/>
          <w:b/>
          <w:color w:val="10385A"/>
          <w:sz w:val="25"/>
        </w:rPr>
        <w:t>The evidence pipeline</w:t>
      </w:r>
    </w:p>
    <w:p>
      <w:pPr>
        <w:keepNext/>
        <w:keepLines/>
        <w:spacing w:before="200" w:after="100"/>
        <w:jc w:val="center"/>
      </w:pPr>
      <w:r>
        <w:drawing>
          <wp:inline xmlns:a="http://schemas.openxmlformats.org/drawingml/2006/main" xmlns:pic="http://schemas.openxmlformats.org/drawingml/2006/picture">
            <wp:extent cx="6120000" cy="2326393"/>
            <wp:docPr id="3" name="Picture 3"/>
            <wp:cNvGraphicFramePr>
              <a:graphicFrameLocks noChangeAspect="1"/>
            </wp:cNvGraphicFramePr>
            <a:graphic>
              <a:graphicData uri="http://schemas.openxmlformats.org/drawingml/2006/picture">
                <pic:pic>
                  <pic:nvPicPr>
                    <pic:cNvPr id="0" name="figure-3.png"/>
                    <pic:cNvPicPr/>
                  </pic:nvPicPr>
                  <pic:blipFill>
                    <a:blip r:embed="rId15"/>
                    <a:stretch>
                      <a:fillRect/>
                    </a:stretch>
                  </pic:blipFill>
                  <pic:spPr>
                    <a:xfrm>
                      <a:off x="0" y="0"/>
                      <a:ext cx="6120000" cy="2326393"/>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3 — The evidence pipeline.</w:t>
      </w:r>
      <w:r>
        <w:rPr>
          <w:rFonts w:ascii="Segoe UI" w:hAnsi="Segoe UI" w:cs="Segoe UI" w:eastAsia="Segoe UI"/>
          <w:i/>
          <w:color w:val="5B6B78"/>
          <w:sz w:val="18"/>
        </w:rPr>
        <w:t xml:space="preserve"> The orange path is the assurance argument: data becomes immutable and content-addressed </w:t>
      </w:r>
      <w:r>
        <w:rPr>
          <w:rFonts w:ascii="Segoe UI" w:hAnsi="Segoe UI" w:cs="Segoe UI" w:eastAsia="Segoe UI"/>
          <w:i/>
          <w:color w:val="5B6B78"/>
          <w:sz w:val="18"/>
        </w:rPr>
        <w:t>before</w:t>
      </w:r>
      <w:r>
        <w:rPr>
          <w:rFonts w:ascii="Segoe UI" w:hAnsi="Segoe UI" w:cs="Segoe UI" w:eastAsia="Segoe UI"/>
          <w:i/>
          <w:color w:val="5B6B78"/>
          <w:sz w:val="18"/>
        </w:rPr>
        <w:t xml:space="preserve"> any control sees it, and a completed run can be replayed against the same snapshot to produce an identical results hash. Rows that fail type coercion are reported individually with their reason rather than silently discarded — a population that shrank without explanation is not auditable.</w:t>
      </w:r>
    </w:p>
    <w:p>
      <w:pPr>
        <w:pStyle w:val="Heading2"/>
        <w:keepNext/>
      </w:pPr>
      <w:r>
        <w:rPr>
          <w:rFonts w:ascii="Segoe UI" w:hAnsi="Segoe UI" w:cs="Segoe UI" w:eastAsia="Segoe UI"/>
          <w:b/>
          <w:color w:val="10385A"/>
          <w:sz w:val="25"/>
        </w:rPr>
        <w:t>Retention, lineage and reconciliation</w:t>
      </w:r>
    </w:p>
    <w:p>
      <w:pPr>
        <w:pStyle w:val="ListBullet"/>
        <w:spacing w:after="80"/>
        <w:ind w:left="425"/>
      </w:pPr>
      <w:r>
        <w:rPr>
          <w:rFonts w:ascii="Segoe UI" w:hAnsi="Segoe UI" w:cs="Segoe UI" w:eastAsia="Segoe UI"/>
          <w:b/>
          <w:color w:val="12222F"/>
          <w:sz w:val="21"/>
        </w:rPr>
        <w:t>Lineage</w:t>
      </w:r>
      <w:r>
        <w:rPr>
          <w:rFonts w:ascii="Segoe UI" w:hAnsi="Segoe UI" w:cs="Segoe UI" w:eastAsia="Segoe UI"/>
          <w:color w:val="12222F"/>
          <w:sz w:val="21"/>
        </w:rPr>
        <w:t xml:space="preserve"> </w:t>
      </w:r>
      <w:r>
        <w:rPr>
          <w:rFonts w:ascii="Segoe UI" w:hAnsi="Segoe UI" w:cs="Segoe UI" w:eastAsia="Segoe UI"/>
          <w:b/>
          <w:color w:val="1C7C46"/>
          <w:sz w:val="20"/>
        </w:rPr>
        <w:t>[As-built]</w:t>
      </w:r>
      <w:r>
        <w:rPr>
          <w:rFonts w:ascii="Segoe UI" w:hAnsi="Segoe UI" w:cs="Segoe UI" w:eastAsia="Segoe UI"/>
          <w:color w:val="12222F"/>
          <w:sz w:val="21"/>
        </w:rPr>
        <w:t xml:space="preserve"> — every exception carries its run id; every run carries its snapshot id and the exact SQL executed; every snapshot carries per-table content hashes and row counts. An auditor can move from a number in a workpaper to the specific frozen dataset it came from without leaving the system.</w:t>
      </w:r>
    </w:p>
    <w:p>
      <w:pPr>
        <w:pStyle w:val="ListBullet"/>
        <w:spacing w:after="80"/>
        <w:ind w:left="425"/>
      </w:pPr>
      <w:r>
        <w:rPr>
          <w:rFonts w:ascii="Segoe UI" w:hAnsi="Segoe UI" w:cs="Segoe UI" w:eastAsia="Segoe UI"/>
          <w:b/>
          <w:color w:val="12222F"/>
          <w:sz w:val="21"/>
        </w:rPr>
        <w:t>Reconciliation reports</w:t>
      </w:r>
      <w:r>
        <w:rPr>
          <w:rFonts w:ascii="Segoe UI" w:hAnsi="Segoe UI" w:cs="Segoe UI" w:eastAsia="Segoe UI"/>
          <w:color w:val="12222F"/>
          <w:sz w:val="21"/>
        </w:rPr>
        <w:t xml:space="preserve"> </w:t>
      </w:r>
      <w:r>
        <w:rPr>
          <w:rFonts w:ascii="Segoe UI" w:hAnsi="Segoe UI" w:cs="Segoe UI" w:eastAsia="Segoe UI"/>
          <w:b/>
          <w:color w:val="1C7C46"/>
          <w:sz w:val="20"/>
        </w:rPr>
        <w:t>[As-built]</w:t>
      </w:r>
      <w:r>
        <w:rPr>
          <w:rFonts w:ascii="Segoe UI" w:hAnsi="Segoe UI" w:cs="Segoe UI" w:eastAsia="Segoe UI"/>
          <w:color w:val="12222F"/>
          <w:sz w:val="21"/>
        </w:rPr>
        <w:t xml:space="preserve"> — pull-level row counts, rejected-row detail and per-table content hashes support source-to-platform reconciliation. §3.2 asks for reconciliation reports; the data to produce them is captured at ingestion.</w:t>
      </w:r>
    </w:p>
    <w:p>
      <w:pPr>
        <w:pStyle w:val="ListBullet"/>
        <w:spacing w:after="80"/>
        <w:ind w:left="425"/>
      </w:pPr>
      <w:r>
        <w:rPr>
          <w:rFonts w:ascii="Segoe UI" w:hAnsi="Segoe UI" w:cs="Segoe UI" w:eastAsia="Segoe UI"/>
          <w:b/>
          <w:color w:val="12222F"/>
          <w:sz w:val="21"/>
        </w:rPr>
        <w:t>Retention and archival</w:t>
      </w:r>
      <w:r>
        <w:rPr>
          <w:rFonts w:ascii="Segoe UI" w:hAnsi="Segoe UI" w:cs="Segoe UI" w:eastAsia="Segoe UI"/>
          <w:color w:val="12222F"/>
          <w:sz w:val="21"/>
        </w:rPr>
        <w:t xml:space="preserve"> </w:t>
      </w:r>
      <w:r>
        <w:rPr>
          <w:rFonts w:ascii="Segoe UI" w:hAnsi="Segoe UI" w:cs="Segoe UI" w:eastAsia="Segoe UI"/>
          <w:b/>
          <w:color w:val="9A5B00"/>
          <w:sz w:val="20"/>
        </w:rPr>
        <w:t>[As-proposed]</w:t>
      </w:r>
      <w:r>
        <w:rPr>
          <w:rFonts w:ascii="Segoe UI" w:hAnsi="Segoe UI" w:cs="Segoe UI" w:eastAsia="Segoe UI"/>
          <w:color w:val="12222F"/>
          <w:sz w:val="21"/>
        </w:rPr>
        <w:t xml:space="preserve"> — configurable retention with WORM archival of snapshots and ledger segments. Snapshots are already immutable and content-addressed, which is the hard half; the policy engine and archival scheduling are implementation-phase work.</w:t>
      </w:r>
    </w:p>
    <w:p>
      <w:pPr>
        <w:pStyle w:val="Heading1"/>
        <w:keepNext/>
        <w:pBdr>
          <w:top w:val="single" w:sz="18" w:space="6" w:color="10385A"/>
        </w:pBdr>
        <w:spacing w:before="440"/>
      </w:pPr>
      <w:r>
        <w:rPr>
          <w:rFonts w:ascii="Segoe UI" w:hAnsi="Segoe UI" w:cs="Segoe UI" w:eastAsia="Segoe UI"/>
          <w:b/>
          <w:color w:val="E57200"/>
          <w:sz w:val="32"/>
        </w:rPr>
        <w:t>7</w:t>
      </w:r>
      <w:r>
        <w:rPr>
          <w:rFonts w:ascii="Segoe UI" w:hAnsi="Segoe UI" w:cs="Segoe UI" w:eastAsia="Segoe UI"/>
          <w:b/>
          <w:color w:val="E57200"/>
          <w:sz w:val="32"/>
        </w:rPr>
        <w:t xml:space="preserve"> </w:t>
      </w:r>
      <w:r>
        <w:rPr>
          <w:rFonts w:ascii="Segoe UI" w:hAnsi="Segoe UI" w:cs="Segoe UI" w:eastAsia="Segoe UI"/>
          <w:b/>
          <w:color w:val="10385A"/>
          <w:sz w:val="32"/>
        </w:rPr>
        <w:t>Control architecture</w:t>
      </w:r>
    </w:p>
    <w:p>
      <w:r>
        <w:rPr>
          <w:rFonts w:ascii="Segoe UI" w:hAnsi="Segoe UI" w:cs="Segoe UI" w:eastAsia="Segoe UI"/>
          <w:color w:val="12222F"/>
          <w:sz w:val="21"/>
        </w:rPr>
        <w:t>Controls are the Bank’s intellectual property, not the vendor’s. The architecture reflects that: a control is a validated configuration object that the Bank can author, review, approve and version without a release, and without the vendor.</w:t>
      </w:r>
    </w:p>
    <w:p>
      <w:pPr>
        <w:keepNext/>
        <w:keepLines/>
        <w:spacing w:before="200" w:after="100"/>
        <w:jc w:val="center"/>
      </w:pPr>
      <w:r>
        <w:drawing>
          <wp:inline xmlns:a="http://schemas.openxmlformats.org/drawingml/2006/main" xmlns:pic="http://schemas.openxmlformats.org/drawingml/2006/picture">
            <wp:extent cx="6120000" cy="2079654"/>
            <wp:docPr id="4" name="Picture 4"/>
            <wp:cNvGraphicFramePr>
              <a:graphicFrameLocks noChangeAspect="1"/>
            </wp:cNvGraphicFramePr>
            <a:graphic>
              <a:graphicData uri="http://schemas.openxmlformats.org/drawingml/2006/picture">
                <pic:pic>
                  <pic:nvPicPr>
                    <pic:cNvPr id="0" name="figure-4.png"/>
                    <pic:cNvPicPr/>
                  </pic:nvPicPr>
                  <pic:blipFill>
                    <a:blip r:embed="rId16"/>
                    <a:stretch>
                      <a:fillRect/>
                    </a:stretch>
                  </pic:blipFill>
                  <pic:spPr>
                    <a:xfrm>
                      <a:off x="0" y="0"/>
                      <a:ext cx="6120000" cy="2079654"/>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4 — A control from authoring to outcome.</w:t>
      </w:r>
      <w:r>
        <w:rPr>
          <w:rFonts w:ascii="Segoe UI" w:hAnsi="Segoe UI" w:cs="Segoe UI" w:eastAsia="Segoe UI"/>
          <w:i/>
          <w:color w:val="5B6B78"/>
          <w:sz w:val="18"/>
        </w:rPr>
        <w:t xml:space="preserve"> The dashed branch matters as much as the main path: a control the compiler cannot build is reported as unexecutable with its reason, and the run that contains it is marked inconclusive. A control library that silently reports zero exceptions is worse than no library at all.</w:t>
      </w:r>
    </w:p>
    <w:p>
      <w:pPr>
        <w:pStyle w:val="Heading2"/>
        <w:keepNext/>
      </w:pPr>
      <w:r>
        <w:rPr>
          <w:rFonts w:ascii="Segoe UI" w:hAnsi="Segoe UI" w:cs="Segoe UI" w:eastAsia="Segoe UI"/>
          <w:b/>
          <w:color w:val="10385A"/>
          <w:sz w:val="25"/>
        </w:rPr>
        <w:t>The twelve control types</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2216"/>
        <w:gridCol w:w="7423"/>
      </w:tblGrid>
      <w:tr>
        <w:trPr>
          <w:cantSplit/>
          <w:tblHeader w:val="true"/>
        </w:trPr>
        <w:tc>
          <w:tcPr>
            <w:tcW w:type="dxa" w:w="2216"/>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Type</w:t>
            </w:r>
          </w:p>
        </w:tc>
        <w:tc>
          <w:tcPr>
            <w:tcW w:type="dxa" w:w="742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Tests</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Comparison</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A column against a threshold, a value or another column, typed from the canonical contract rather than from the literal</w:t>
            </w:r>
          </w:p>
        </w:tc>
      </w:tr>
      <w:tr>
        <w:trPr>
          <w:cantSplit/>
        </w:trPr>
        <w:tc>
          <w:tcPr>
            <w:tcW w:type="dxa" w:w="2216"/>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Is_Null</w:t>
            </w:r>
            <w:r>
              <w:rPr>
                <w:rFonts w:ascii="Segoe UI" w:hAnsi="Segoe UI" w:cs="Segoe UI" w:eastAsia="Segoe UI"/>
                <w:color w:val="12222F"/>
                <w:sz w:val="18"/>
              </w:rPr>
              <w:t xml:space="preserve"> / </w:t>
            </w:r>
            <w:r>
              <w:rPr>
                <w:rFonts w:ascii="Consolas" w:hAnsi="Consolas" w:cs="Consolas" w:eastAsia="Consolas"/>
                <w:color w:val="082137"/>
                <w:sz w:val="16"/>
                <w:shd w:val="clear" w:color="auto" w:fill="EEF4F8"/>
              </w:rPr>
              <w:t>Not_Null</w:t>
            </w:r>
          </w:p>
        </w:tc>
        <w:tc>
          <w:tcPr>
            <w:tcW w:type="dxa" w:w="742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Presence or absence of a value, treating a blank string and a null identically</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Value_In_Set</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Membership in a permitted list; a blank counts as outside the set and is flagged</w:t>
            </w:r>
          </w:p>
        </w:tc>
      </w:tr>
      <w:tr>
        <w:trPr>
          <w:cantSplit/>
        </w:trPr>
        <w:tc>
          <w:tcPr>
            <w:tcW w:type="dxa" w:w="2216"/>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Date_Order</w:t>
            </w:r>
          </w:p>
        </w:tc>
        <w:tc>
          <w:tcPr>
            <w:tcW w:type="dxa" w:w="742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Chronological relationship between two dates — a document verified before it was received</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Date_Diff</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Elapsed days between two dates against a limit — TAT and ageing controls</w:t>
            </w:r>
          </w:p>
        </w:tc>
      </w:tr>
      <w:tr>
        <w:trPr>
          <w:cantSplit/>
        </w:trPr>
        <w:tc>
          <w:tcPr>
            <w:tcW w:type="dxa" w:w="2216"/>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Date_Age</w:t>
            </w:r>
          </w:p>
        </w:tc>
        <w:tc>
          <w:tcPr>
            <w:tcW w:type="dxa" w:w="742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Age of a record relative to the snapshot date — dormancy, staleness, expiry</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Duplicate</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Repeated key combinations, with blank keys excluded because three missing invoice numbers are a completeness issue, not a duplicate-payment issue</w:t>
            </w:r>
          </w:p>
        </w:tc>
      </w:tr>
      <w:tr>
        <w:trPr>
          <w:cantSplit/>
        </w:trPr>
        <w:tc>
          <w:tcPr>
            <w:tcW w:type="dxa" w:w="2216"/>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Group_Aggregate</w:t>
            </w:r>
          </w:p>
        </w:tc>
        <w:tc>
          <w:tcPr>
            <w:tcW w:type="dxa" w:w="742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Count, sum, min or max within a group against a limit — splitting, structuring, concentration</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Group_Share</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Concentration of a group as a share of the whole — vendor and channel dependence</w:t>
            </w:r>
          </w:p>
        </w:tc>
      </w:tr>
      <w:tr>
        <w:trPr>
          <w:cantSplit/>
        </w:trPr>
        <w:tc>
          <w:tcPr>
            <w:tcW w:type="dxa" w:w="2216"/>
            <w:shd w:val="clear" w:color="auto" w:fill="F5F8FA"/>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Matrix_Lookup</w:t>
            </w:r>
          </w:p>
        </w:tc>
        <w:tc>
          <w:tcPr>
            <w:tcW w:type="dxa" w:w="742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 xml:space="preserve">Authority matrices: the level required for an amount against the level actually held. A missing amount takes the </w:t>
            </w:r>
            <w:r>
              <w:rPr>
                <w:rFonts w:ascii="Segoe UI" w:hAnsi="Segoe UI" w:cs="Segoe UI" w:eastAsia="Segoe UI"/>
                <w:i/>
                <w:color w:val="12222F"/>
                <w:sz w:val="18"/>
              </w:rPr>
              <w:t>highest</w:t>
            </w:r>
            <w:r>
              <w:rPr>
                <w:rFonts w:ascii="Segoe UI" w:hAnsi="Segoe UI" w:cs="Segoe UI" w:eastAsia="Segoe UI"/>
                <w:color w:val="12222F"/>
                <w:sz w:val="18"/>
              </w:rPr>
              <w:t xml:space="preserve"> band, so an unrecorded sanction fails open</w:t>
            </w:r>
          </w:p>
        </w:tc>
      </w:tr>
      <w:tr>
        <w:trPr>
          <w:cantSplit/>
        </w:trPr>
        <w:tc>
          <w:tcPr>
            <w:tcW w:type="dxa" w:w="2216"/>
            <w:tcMar>
              <w:top w:w="80" w:type="dxa"/>
              <w:left w:w="110" w:type="dxa"/>
              <w:bottom w:w="80" w:type="dxa"/>
              <w:right w:w="110" w:type="dxa"/>
            </w:tcMar>
          </w:tcPr>
          <w:p>
            <w:pPr>
              <w:spacing w:after="0" w:line="269" w:lineRule="auto"/>
            </w:pPr>
            <w:r>
              <w:rPr>
                <w:rFonts w:ascii="Consolas" w:hAnsi="Consolas" w:cs="Consolas" w:eastAsia="Consolas"/>
                <w:color w:val="082137"/>
                <w:sz w:val="16"/>
                <w:shd w:val="clear" w:color="auto" w:fill="EEF4F8"/>
              </w:rPr>
              <w:t>Expression</w:t>
            </w:r>
          </w:p>
        </w:tc>
        <w:tc>
          <w:tcPr>
            <w:tcW w:type="dxa" w:w="7423"/>
            <w:tcMar>
              <w:top w:w="80" w:type="dxa"/>
              <w:left w:w="110" w:type="dxa"/>
              <w:bottom w:w="80" w:type="dxa"/>
              <w:right w:w="110" w:type="dxa"/>
            </w:tcMar>
          </w:tcPr>
          <w:p>
            <w:pPr>
              <w:spacing w:after="0" w:line="269" w:lineRule="auto"/>
            </w:pPr>
            <w:r>
              <w:rPr>
                <w:rFonts w:ascii="Segoe UI" w:hAnsi="Segoe UI" w:cs="Segoe UI" w:eastAsia="Segoe UI"/>
                <w:color w:val="12222F"/>
                <w:sz w:val="18"/>
              </w:rPr>
              <w:t>Free-form predicate, restricted to canonical columns and an allow-list of deterministic SQL functions; non-deterministic functions are refused so a control cannot return different rows on re-run</w:t>
            </w:r>
          </w:p>
        </w:tc>
      </w:tr>
    </w:tbl>
    <w:p>
      <w:pPr>
        <w:spacing w:after="0" w:before="0"/>
      </w:pPr>
    </w:p>
    <w:p>
      <w:pPr>
        <w:pStyle w:val="Heading2"/>
        <w:keepNext/>
      </w:pPr>
      <w:r>
        <w:rPr>
          <w:rFonts w:ascii="Segoe UI" w:hAnsi="Segoe UI" w:cs="Segoe UI" w:eastAsia="Segoe UI"/>
          <w:b/>
          <w:color w:val="10385A"/>
          <w:sz w:val="25"/>
        </w:rPr>
        <w:t>Reproducibility</w:t>
      </w:r>
    </w:p>
    <w:p>
      <w:r>
        <w:rPr>
          <w:rFonts w:ascii="Segoe UI" w:hAnsi="Segoe UI" w:cs="Segoe UI" w:eastAsia="Segoe UI"/>
          <w:b/>
          <w:color w:val="1C7C46"/>
          <w:sz w:val="20"/>
        </w:rPr>
        <w:t>[As-built]</w:t>
      </w:r>
      <w:r>
        <w:rPr>
          <w:rFonts w:ascii="Segoe UI" w:hAnsi="Segoe UI" w:cs="Segoe UI" w:eastAsia="Segoe UI"/>
          <w:color w:val="12222F"/>
          <w:sz w:val="21"/>
        </w:rPr>
        <w:t xml:space="preserve"> Re-executing a completed run against the same snapshot produces an identical results hash, and the verification replay deliberately does not write a second copy of the exceptions. The Bank can therefore prove to a regulator that a conclusion reached six months ago is reproducible today from the archived evidence, using the control version that was in force at the time.</w:t>
      </w:r>
    </w:p>
    <w:p>
      <w:pPr>
        <w:pStyle w:val="Heading1"/>
        <w:keepNext/>
        <w:pBdr>
          <w:top w:val="single" w:sz="18" w:space="6" w:color="10385A"/>
        </w:pBdr>
        <w:spacing w:before="440"/>
      </w:pPr>
      <w:r>
        <w:rPr>
          <w:rFonts w:ascii="Segoe UI" w:hAnsi="Segoe UI" w:cs="Segoe UI" w:eastAsia="Segoe UI"/>
          <w:b/>
          <w:color w:val="E57200"/>
          <w:sz w:val="32"/>
        </w:rPr>
        <w:t>8</w:t>
      </w:r>
      <w:r>
        <w:rPr>
          <w:rFonts w:ascii="Segoe UI" w:hAnsi="Segoe UI" w:cs="Segoe UI" w:eastAsia="Segoe UI"/>
          <w:b/>
          <w:color w:val="E57200"/>
          <w:sz w:val="32"/>
        </w:rPr>
        <w:t xml:space="preserve"> </w:t>
      </w:r>
      <w:r>
        <w:rPr>
          <w:rFonts w:ascii="Segoe UI" w:hAnsi="Segoe UI" w:cs="Segoe UI" w:eastAsia="Segoe UI"/>
          <w:b/>
          <w:color w:val="10385A"/>
          <w:sz w:val="32"/>
        </w:rPr>
        <w:t>AI and ML architecture</w:t>
      </w:r>
    </w:p>
    <w:p>
      <w:r>
        <w:rPr>
          <w:rFonts w:ascii="Segoe UI" w:hAnsi="Segoe UI" w:cs="Segoe UI" w:eastAsia="Segoe UI"/>
          <w:color w:val="12222F"/>
          <w:sz w:val="21"/>
        </w:rPr>
        <w:t>Two distinct capabilities are often conflated in RFI responses. This architecture keeps them separate because their governance requirements are different.</w:t>
      </w:r>
    </w:p>
    <w:p>
      <w:pPr>
        <w:keepNext/>
        <w:keepLines/>
        <w:spacing w:before="200" w:after="100"/>
        <w:jc w:val="center"/>
      </w:pPr>
      <w:r>
        <w:drawing>
          <wp:inline xmlns:a="http://schemas.openxmlformats.org/drawingml/2006/main" xmlns:pic="http://schemas.openxmlformats.org/drawingml/2006/picture">
            <wp:extent cx="6120000" cy="2447559"/>
            <wp:docPr id="5" name="Picture 5"/>
            <wp:cNvGraphicFramePr>
              <a:graphicFrameLocks noChangeAspect="1"/>
            </wp:cNvGraphicFramePr>
            <a:graphic>
              <a:graphicData uri="http://schemas.openxmlformats.org/drawingml/2006/picture">
                <pic:pic>
                  <pic:nvPicPr>
                    <pic:cNvPr id="0" name="figure-5.png"/>
                    <pic:cNvPicPr/>
                  </pic:nvPicPr>
                  <pic:blipFill>
                    <a:blip r:embed="rId17"/>
                    <a:stretch>
                      <a:fillRect/>
                    </a:stretch>
                  </pic:blipFill>
                  <pic:spPr>
                    <a:xfrm>
                      <a:off x="0" y="0"/>
                      <a:ext cx="6120000" cy="2447559"/>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5 — AI governance.</w:t>
      </w:r>
      <w:r>
        <w:rPr>
          <w:rFonts w:ascii="Segoe UI" w:hAnsi="Segoe UI" w:cs="Segoe UI" w:eastAsia="Segoe UI"/>
          <w:i/>
          <w:color w:val="5B6B78"/>
          <w:sz w:val="18"/>
        </w:rPr>
        <w:t xml:space="preserve"> The orange gates are the two that a regulator will ask about: a model’s output cannot become a record without a named human accepting it, and a model cannot enter production on the say-so of the person who trained it. Lane B is drawn to make one negative claim explicit — the analytics path contains no model call.</w:t>
      </w:r>
    </w:p>
    <w:p>
      <w:pPr>
        <w:pStyle w:val="Heading2"/>
        <w:keepNext/>
      </w:pPr>
      <w:r>
        <w:rPr>
          <w:rFonts w:ascii="Segoe UI" w:hAnsi="Segoe UI" w:cs="Segoe UI" w:eastAsia="Segoe UI"/>
          <w:b/>
          <w:color w:val="10385A"/>
          <w:sz w:val="25"/>
        </w:rPr>
        <w:t>Generative AI</w:t>
      </w:r>
    </w:p>
    <w:p>
      <w:r>
        <w:rPr>
          <w:rFonts w:ascii="Segoe UI" w:hAnsi="Segoe UI" w:cs="Segoe UI" w:eastAsia="Segoe UI"/>
          <w:b/>
          <w:color w:val="1C7C46"/>
          <w:sz w:val="20"/>
        </w:rPr>
        <w:t>[As-built]</w:t>
      </w:r>
      <w:r>
        <w:rPr>
          <w:rFonts w:ascii="Segoe UI" w:hAnsi="Segoe UI" w:cs="Segoe UI" w:eastAsia="Segoe UI"/>
          <w:color w:val="12222F"/>
          <w:sz w:val="21"/>
        </w:rPr>
        <w:t xml:space="preserve"> Inference runs on-premise. The provider layer parses every configured endpoint and refuses any URL that is not a loopback or private host, with a separate configuration guard that must be explicitly set to permit an external provider. A scheme-less host string that could be read as a remote endpoint is rejected rather than accepted by default. In the reference environment the model is served locally; in production the Bank chooses the model and the hosting node.</w:t>
      </w:r>
    </w:p>
    <w:p>
      <w:r>
        <w:rPr>
          <w:rFonts w:ascii="Segoe UI" w:hAnsi="Segoe UI" w:cs="Segoe UI" w:eastAsia="Segoe UI"/>
          <w:color w:val="12222F"/>
          <w:sz w:val="21"/>
        </w:rPr>
        <w:t>Generative capabilities in scope: drafting a control from a natural-language description (compiled, validated and previewed against real data before it can be saved), drafting findings and multi-level report narratives from recorded evidence, drafting auditee queries, and the policy assistant. The assistant answers strictly from an indexed corpus with per-document role-based access enforced at retrieval time, cites the document, version and page for every claim, surfaces contradictions where two documents disagree, and returns “I don’t know” rather than speculating when the corpus does not contain the answer.</w:t>
      </w:r>
    </w:p>
    <w:p>
      <w:pPr>
        <w:pStyle w:val="Heading2"/>
        <w:keepNext/>
      </w:pPr>
      <w:r>
        <w:rPr>
          <w:rFonts w:ascii="Segoe UI" w:hAnsi="Segoe UI" w:cs="Segoe UI" w:eastAsia="Segoe UI"/>
          <w:b/>
          <w:color w:val="10385A"/>
          <w:sz w:val="25"/>
        </w:rPr>
        <w:t>Machine learning</w:t>
      </w:r>
    </w:p>
    <w:p>
      <w:r>
        <w:rPr>
          <w:rFonts w:ascii="Segoe UI" w:hAnsi="Segoe UI" w:cs="Segoe UI" w:eastAsia="Segoe UI"/>
          <w:b/>
          <w:color w:val="1C7C46"/>
          <w:sz w:val="20"/>
        </w:rPr>
        <w:t>[As-built]</w:t>
      </w:r>
      <w:r>
        <w:rPr>
          <w:rFonts w:ascii="Segoe UI" w:hAnsi="Segoe UI" w:cs="Segoe UI" w:eastAsia="Segoe UI"/>
          <w:color w:val="12222F"/>
          <w:sz w:val="21"/>
        </w:rPr>
        <w:t xml:space="preserve"> Two models, both governed by the registry shown above:</w:t>
      </w:r>
    </w:p>
    <w:p>
      <w:pPr>
        <w:pStyle w:val="ListBullet"/>
        <w:spacing w:after="80"/>
        <w:ind w:left="425"/>
      </w:pPr>
      <w:r>
        <w:rPr>
          <w:rFonts w:ascii="Segoe UI" w:hAnsi="Segoe UI" w:cs="Segoe UI" w:eastAsia="Segoe UI"/>
          <w:b/>
          <w:color w:val="12222F"/>
          <w:sz w:val="21"/>
        </w:rPr>
        <w:t>Exception triage</w:t>
      </w:r>
      <w:r>
        <w:rPr>
          <w:rFonts w:ascii="Segoe UI" w:hAnsi="Segoe UI" w:cs="Segoe UI" w:eastAsia="Segoe UI"/>
          <w:color w:val="12222F"/>
          <w:sz w:val="21"/>
        </w:rPr>
        <w:t xml:space="preserve"> — a gradient-boosted classifier over 17 engineered features predicting the probability that an exception will be confirmed on review, blended with a documented heuristic so the score never becomes an unexplainable number. Trained on the audit function’s own dispositions. In the reference environment it achieves a held-out AUC of 0.785, with precision and recall reported alongside; SHAP contributions accompany every score.</w:t>
      </w:r>
    </w:p>
    <w:p>
      <w:pPr>
        <w:pStyle w:val="ListBullet"/>
        <w:spacing w:after="80"/>
        <w:ind w:left="425"/>
      </w:pPr>
      <w:r>
        <w:rPr>
          <w:rFonts w:ascii="Segoe UI" w:hAnsi="Segoe UI" w:cs="Segoe UI" w:eastAsia="Segoe UI"/>
          <w:b/>
          <w:color w:val="12222F"/>
          <w:sz w:val="21"/>
        </w:rPr>
        <w:t>Anomaly detection</w:t>
      </w:r>
      <w:r>
        <w:rPr>
          <w:rFonts w:ascii="Segoe UI" w:hAnsi="Segoe UI" w:cs="Segoe UI" w:eastAsia="Segoe UI"/>
          <w:color w:val="12222F"/>
          <w:sz w:val="21"/>
        </w:rPr>
        <w:t xml:space="preserve"> — an isolation forest over the same feature space, unsupervised so it needs no labelling history to be useful on day one.</w:t>
      </w:r>
    </w:p>
    <w:p>
      <w:r>
        <w:rPr>
          <w:rFonts w:ascii="Segoe UI" w:hAnsi="Segoe UI" w:cs="Segoe UI" w:eastAsia="Segoe UI"/>
          <w:color w:val="12222F"/>
          <w:sz w:val="21"/>
        </w:rPr>
        <w:t>Every score the platform acts on is written as an immutable decision record carrying the model key, version, inputs and reasoning — so the question “why did the model say that, on that day, with that model?” is answerable at review time.</w:t>
      </w:r>
    </w:p>
    <w:p>
      <w:r>
        <w:rPr>
          <w:rFonts w:ascii="Segoe UI" w:hAnsi="Segoe UI" w:cs="Segoe UI" w:eastAsia="Segoe UI"/>
          <w:b/>
          <w:color w:val="9A5B00"/>
          <w:sz w:val="20"/>
        </w:rPr>
        <w:t>[As-proposed]</w:t>
      </w:r>
      <w:r>
        <w:rPr>
          <w:rFonts w:ascii="Segoe UI" w:hAnsi="Segoe UI" w:cs="Segoe UI" w:eastAsia="Segoe UI"/>
          <w:color w:val="12222F"/>
          <w:sz w:val="21"/>
        </w:rPr>
        <w:t xml:space="preserve"> Drift, bias and accuracy monitoring with scheduled re-training proposals. The registry, versioning, approval and rollback machinery this depends on is already in place; the monitoring loop is implementation-phase work.</w:t>
      </w:r>
    </w:p>
    <w:p>
      <w:pPr>
        <w:pStyle w:val="Heading1"/>
        <w:keepNext/>
        <w:pBdr>
          <w:top w:val="single" w:sz="18" w:space="6" w:color="10385A"/>
        </w:pBdr>
        <w:spacing w:before="440"/>
      </w:pPr>
      <w:r>
        <w:rPr>
          <w:rFonts w:ascii="Segoe UI" w:hAnsi="Segoe UI" w:cs="Segoe UI" w:eastAsia="Segoe UI"/>
          <w:b/>
          <w:color w:val="E57200"/>
          <w:sz w:val="32"/>
        </w:rPr>
        <w:t>9</w:t>
      </w:r>
      <w:r>
        <w:rPr>
          <w:rFonts w:ascii="Segoe UI" w:hAnsi="Segoe UI" w:cs="Segoe UI" w:eastAsia="Segoe UI"/>
          <w:b/>
          <w:color w:val="E57200"/>
          <w:sz w:val="32"/>
        </w:rPr>
        <w:t xml:space="preserve"> </w:t>
      </w:r>
      <w:r>
        <w:rPr>
          <w:rFonts w:ascii="Segoe UI" w:hAnsi="Segoe UI" w:cs="Segoe UI" w:eastAsia="Segoe UI"/>
          <w:b/>
          <w:color w:val="10385A"/>
          <w:sz w:val="32"/>
        </w:rPr>
        <w:t>Security architecture</w:t>
      </w:r>
    </w:p>
    <w:p>
      <w:r>
        <w:rPr>
          <w:rFonts w:ascii="Segoe UI" w:hAnsi="Segoe UI" w:cs="Segoe UI" w:eastAsia="Segoe UI"/>
          <w:color w:val="12222F"/>
          <w:sz w:val="21"/>
        </w:rPr>
        <w:t>This section responds to §3.2 (Security &amp; Compliance) and §5.5 (Security Features). The clause-by-clause response is in the Technical &amp; NFR Response Matrix; what follows is the architecture behind it.</w:t>
      </w:r>
    </w:p>
    <w:p>
      <w:pPr>
        <w:keepNext/>
        <w:keepLines/>
        <w:spacing w:before="200" w:after="100"/>
        <w:jc w:val="center"/>
      </w:pPr>
      <w:r>
        <w:drawing>
          <wp:inline xmlns:a="http://schemas.openxmlformats.org/drawingml/2006/main" xmlns:pic="http://schemas.openxmlformats.org/drawingml/2006/picture">
            <wp:extent cx="6120000" cy="2447559"/>
            <wp:docPr id="6" name="Picture 6"/>
            <wp:cNvGraphicFramePr>
              <a:graphicFrameLocks noChangeAspect="1"/>
            </wp:cNvGraphicFramePr>
            <a:graphic>
              <a:graphicData uri="http://schemas.openxmlformats.org/drawingml/2006/picture">
                <pic:pic>
                  <pic:nvPicPr>
                    <pic:cNvPr id="0" name="figure-6.png"/>
                    <pic:cNvPicPr/>
                  </pic:nvPicPr>
                  <pic:blipFill>
                    <a:blip r:embed="rId18"/>
                    <a:stretch>
                      <a:fillRect/>
                    </a:stretch>
                  </pic:blipFill>
                  <pic:spPr>
                    <a:xfrm>
                      <a:off x="0" y="0"/>
                      <a:ext cx="6120000" cy="2447559"/>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6 — Security zones and log egress.</w:t>
      </w:r>
      <w:r>
        <w:rPr>
          <w:rFonts w:ascii="Segoe UI" w:hAnsi="Segoe UI" w:cs="Segoe UI" w:eastAsia="Segoe UI"/>
          <w:i/>
          <w:color w:val="5B6B78"/>
          <w:sz w:val="18"/>
        </w:rPr>
        <w:t xml:space="preserve"> Two claims are drawn deliberately. First, the inference zone is isolated by </w:t>
      </w:r>
      <w:r>
        <w:rPr>
          <w:rFonts w:ascii="Segoe UI" w:hAnsi="Segoe UI" w:cs="Segoe UI" w:eastAsia="Segoe UI"/>
          <w:i/>
          <w:color w:val="5B6B78"/>
          <w:sz w:val="18"/>
        </w:rPr>
        <w:t>two independent</w:t>
      </w:r>
      <w:r>
        <w:rPr>
          <w:rFonts w:ascii="Segoe UI" w:hAnsi="Segoe UI" w:cs="Segoe UI" w:eastAsia="Segoe UI"/>
          <w:i/>
          <w:color w:val="5B6B78"/>
          <w:sz w:val="18"/>
        </w:rPr>
        <w:t xml:space="preserve"> controls — a network with no outbound route and an application that refuses non-local endpoints — so neither is a single point of failure for data residency. Second, the ledger’s chain head is published with each SIEM export, which is what makes the archived trail verifiable outside the platform.</w:t>
      </w:r>
    </w:p>
    <w:p>
      <w:pPr>
        <w:pStyle w:val="Heading2"/>
        <w:keepNext/>
      </w:pPr>
      <w:r>
        <w:rPr>
          <w:rFonts w:ascii="Segoe UI" w:hAnsi="Segoe UI" w:cs="Segoe UI" w:eastAsia="Segoe UI"/>
          <w:b/>
          <w:color w:val="10385A"/>
          <w:sz w:val="25"/>
        </w:rPr>
        <w:t>Identity and access</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2506"/>
        <w:gridCol w:w="1445"/>
        <w:gridCol w:w="5688"/>
      </w:tblGrid>
      <w:tr>
        <w:trPr>
          <w:cantSplit/>
          <w:tblHeader w:val="true"/>
        </w:trPr>
        <w:tc>
          <w:tcPr>
            <w:tcW w:type="dxa" w:w="2506"/>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Control</w:t>
            </w:r>
          </w:p>
        </w:tc>
        <w:tc>
          <w:tcPr>
            <w:tcW w:type="dxa" w:w="1445"/>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Status</w:t>
            </w:r>
          </w:p>
        </w:tc>
        <w:tc>
          <w:tcPr>
            <w:tcW w:type="dxa" w:w="5688"/>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Design</w:t>
            </w:r>
          </w:p>
        </w:tc>
      </w:tr>
      <w:tr>
        <w:trPr>
          <w:cantSplit/>
        </w:trPr>
        <w:tc>
          <w:tcPr>
            <w:tcW w:type="dxa" w:w="2506"/>
            <w:tcMar>
              <w:top w:w="80" w:type="dxa"/>
              <w:left w:w="110" w:type="dxa"/>
              <w:bottom w:w="80" w:type="dxa"/>
              <w:right w:w="110" w:type="dxa"/>
            </w:tcMar>
          </w:tcPr>
          <w:p>
            <w:pPr>
              <w:spacing w:after="0" w:line="269" w:lineRule="auto"/>
            </w:pPr>
            <w:r>
              <w:rPr>
                <w:rFonts w:ascii="Segoe UI" w:hAnsi="Segoe UI" w:cs="Segoe UI" w:eastAsia="Segoe UI"/>
                <w:color w:val="12222F"/>
                <w:sz w:val="18"/>
              </w:rPr>
              <w:t>Role-based access control</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5688"/>
            <w:tcMar>
              <w:top w:w="80" w:type="dxa"/>
              <w:left w:w="110" w:type="dxa"/>
              <w:bottom w:w="80" w:type="dxa"/>
              <w:right w:w="110" w:type="dxa"/>
            </w:tcMar>
          </w:tcPr>
          <w:p>
            <w:pPr>
              <w:spacing w:after="0" w:line="269" w:lineRule="auto"/>
            </w:pPr>
            <w:r>
              <w:rPr>
                <w:rFonts w:ascii="Segoe UI" w:hAnsi="Segoe UI" w:cs="Segoe UI" w:eastAsia="Segoe UI"/>
                <w:color w:val="12222F"/>
                <w:sz w:val="18"/>
              </w:rPr>
              <w:t>Five roles — administrator, audit manager, auditor, reviewer, auditee. Every one of the 117 operations carries an explicit role dependency; there is no unguarded endpoint other than login and health.</w:t>
            </w:r>
          </w:p>
        </w:tc>
      </w:tr>
      <w:tr>
        <w:trPr>
          <w:cantSplit/>
        </w:trPr>
        <w:tc>
          <w:tcPr>
            <w:tcW w:type="dxa" w:w="250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Segregation of duties</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568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Enforced in code at six gates: control approval, checklist approval, finding QA, action verification, extension approval, model promotion.</w:t>
            </w:r>
          </w:p>
        </w:tc>
      </w:tr>
      <w:tr>
        <w:trPr>
          <w:cantSplit/>
        </w:trPr>
        <w:tc>
          <w:tcPr>
            <w:tcW w:type="dxa" w:w="2506"/>
            <w:tcMar>
              <w:top w:w="80" w:type="dxa"/>
              <w:left w:w="110" w:type="dxa"/>
              <w:bottom w:w="80" w:type="dxa"/>
              <w:right w:w="110" w:type="dxa"/>
            </w:tcMar>
          </w:tcPr>
          <w:p>
            <w:pPr>
              <w:spacing w:after="0" w:line="269" w:lineRule="auto"/>
            </w:pPr>
            <w:r>
              <w:rPr>
                <w:rFonts w:ascii="Segoe UI" w:hAnsi="Segoe UI" w:cs="Segoe UI" w:eastAsia="Segoe UI"/>
                <w:color w:val="12222F"/>
                <w:sz w:val="18"/>
              </w:rPr>
              <w:t>Password storage</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5688"/>
            <w:tcMar>
              <w:top w:w="80" w:type="dxa"/>
              <w:left w:w="110" w:type="dxa"/>
              <w:bottom w:w="80" w:type="dxa"/>
              <w:right w:w="110" w:type="dxa"/>
            </w:tcMar>
          </w:tcPr>
          <w:p>
            <w:pPr>
              <w:spacing w:after="0" w:line="269" w:lineRule="auto"/>
            </w:pPr>
            <w:r>
              <w:rPr>
                <w:rFonts w:ascii="Segoe UI" w:hAnsi="Segoe UI" w:cs="Segoe UI" w:eastAsia="Segoe UI"/>
                <w:color w:val="12222F"/>
                <w:sz w:val="18"/>
              </w:rPr>
              <w:t>PBKDF2-HMAC-SHA256 at 600,000 iterations with a per-user salt. Login performs equivalent work for a non-existent user, so response time does not disclose which usernames are valid.</w:t>
            </w:r>
          </w:p>
        </w:tc>
      </w:tr>
      <w:tr>
        <w:trPr>
          <w:cantSplit/>
        </w:trPr>
        <w:tc>
          <w:tcPr>
            <w:tcW w:type="dxa" w:w="250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Session management</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568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 xml:space="preserve">Signed bearer token, 12-hour lifetime, </w:t>
            </w:r>
            <w:r>
              <w:rPr>
                <w:rFonts w:ascii="Consolas" w:hAnsi="Consolas" w:cs="Consolas" w:eastAsia="Consolas"/>
                <w:color w:val="082137"/>
                <w:sz w:val="16"/>
                <w:shd w:val="clear" w:color="auto" w:fill="EEF4F8"/>
              </w:rPr>
              <w:t>HttpOnly</w:t>
            </w:r>
            <w:r>
              <w:rPr>
                <w:rFonts w:ascii="Segoe UI" w:hAnsi="Segoe UI" w:cs="Segoe UI" w:eastAsia="Segoe UI"/>
                <w:color w:val="12222F"/>
                <w:sz w:val="18"/>
              </w:rPr>
              <w:t xml:space="preserve"> and </w:t>
            </w:r>
            <w:r>
              <w:rPr>
                <w:rFonts w:ascii="Consolas" w:hAnsi="Consolas" w:cs="Consolas" w:eastAsia="Consolas"/>
                <w:color w:val="082137"/>
                <w:sz w:val="16"/>
                <w:shd w:val="clear" w:color="auto" w:fill="EEF4F8"/>
              </w:rPr>
              <w:t>SameSite=Strict</w:t>
            </w:r>
            <w:r>
              <w:rPr>
                <w:rFonts w:ascii="Segoe UI" w:hAnsi="Segoe UI" w:cs="Segoe UI" w:eastAsia="Segoe UI"/>
                <w:color w:val="12222F"/>
                <w:sz w:val="18"/>
              </w:rPr>
              <w:t xml:space="preserve"> cookie with the Secure attribute configurable for TLS deployment.</w:t>
            </w:r>
          </w:p>
        </w:tc>
      </w:tr>
      <w:tr>
        <w:trPr>
          <w:cantSplit/>
        </w:trPr>
        <w:tc>
          <w:tcPr>
            <w:tcW w:type="dxa" w:w="2506"/>
            <w:tcMar>
              <w:top w:w="80" w:type="dxa"/>
              <w:left w:w="110" w:type="dxa"/>
              <w:bottom w:w="80" w:type="dxa"/>
              <w:right w:w="110" w:type="dxa"/>
            </w:tcMar>
          </w:tcPr>
          <w:p>
            <w:pPr>
              <w:spacing w:after="0" w:line="269" w:lineRule="auto"/>
            </w:pPr>
            <w:r>
              <w:rPr>
                <w:rFonts w:ascii="Segoe UI" w:hAnsi="Segoe UI" w:cs="Segoe UI" w:eastAsia="Segoe UI"/>
                <w:color w:val="12222F"/>
                <w:sz w:val="18"/>
              </w:rPr>
              <w:t>Separate user-management module</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5688"/>
            <w:tcMar>
              <w:top w:w="80" w:type="dxa"/>
              <w:left w:w="110" w:type="dxa"/>
              <w:bottom w:w="80" w:type="dxa"/>
              <w:right w:w="110" w:type="dxa"/>
            </w:tcMar>
          </w:tcPr>
          <w:p>
            <w:pPr>
              <w:spacing w:after="0" w:line="269" w:lineRule="auto"/>
            </w:pPr>
            <w:r>
              <w:rPr>
                <w:rFonts w:ascii="Segoe UI" w:hAnsi="Segoe UI" w:cs="Segoe UI" w:eastAsia="Segoe UI"/>
                <w:color w:val="12222F"/>
                <w:sz w:val="18"/>
              </w:rPr>
              <w:t>Administration surface for provisioning, role assignment, activation and de-activation, with a guard preventing removal of the last active administrator.</w:t>
            </w:r>
          </w:p>
        </w:tc>
      </w:tr>
      <w:tr>
        <w:trPr>
          <w:cantSplit/>
        </w:trPr>
        <w:tc>
          <w:tcPr>
            <w:tcW w:type="dxa" w:w="250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AD / LDAP integration</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[As-proposed]</w:t>
            </w:r>
          </w:p>
        </w:tc>
        <w:tc>
          <w:tcPr>
            <w:tcW w:type="dxa" w:w="568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§3.2 requires AD login. Delivered as a pluggable authentication provider — LDAP bind or SAML/OIDC against the Bank’s identity provider, with group-to-role mapping. The authorisation model is unchanged; only the authentication step is replaced.</w:t>
            </w:r>
          </w:p>
        </w:tc>
      </w:tr>
      <w:tr>
        <w:trPr>
          <w:cantSplit/>
        </w:trPr>
        <w:tc>
          <w:tcPr>
            <w:tcW w:type="dxa" w:w="2506"/>
            <w:tcMar>
              <w:top w:w="80" w:type="dxa"/>
              <w:left w:w="110" w:type="dxa"/>
              <w:bottom w:w="80" w:type="dxa"/>
              <w:right w:w="110" w:type="dxa"/>
            </w:tcMar>
          </w:tcPr>
          <w:p>
            <w:pPr>
              <w:spacing w:after="0" w:line="269" w:lineRule="auto"/>
            </w:pPr>
            <w:r>
              <w:rPr>
                <w:rFonts w:ascii="Segoe UI" w:hAnsi="Segoe UI" w:cs="Segoe UI" w:eastAsia="Segoe UI"/>
                <w:color w:val="12222F"/>
                <w:sz w:val="18"/>
              </w:rPr>
              <w:t>Multi-factor authentication</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9A5B00"/>
                <w:sz w:val="17"/>
              </w:rPr>
              <w:t>[As-proposed]</w:t>
            </w:r>
          </w:p>
        </w:tc>
        <w:tc>
          <w:tcPr>
            <w:tcW w:type="dxa" w:w="5688"/>
            <w:tcMar>
              <w:top w:w="80" w:type="dxa"/>
              <w:left w:w="110" w:type="dxa"/>
              <w:bottom w:w="80" w:type="dxa"/>
              <w:right w:w="110" w:type="dxa"/>
            </w:tcMar>
          </w:tcPr>
          <w:p>
            <w:pPr>
              <w:spacing w:after="0" w:line="269" w:lineRule="auto"/>
            </w:pPr>
            <w:r>
              <w:rPr>
                <w:rFonts w:ascii="Segoe UI" w:hAnsi="Segoe UI" w:cs="Segoe UI" w:eastAsia="Segoe UI"/>
                <w:color w:val="12222F"/>
                <w:sz w:val="18"/>
              </w:rPr>
              <w:t>Delegated to the Bank’s identity provider once AD/SSO is in place, which is the Bank’s preferred pattern and avoids a second MFA estate.</w:t>
            </w:r>
          </w:p>
        </w:tc>
      </w:tr>
      <w:tr>
        <w:trPr>
          <w:cantSplit/>
        </w:trPr>
        <w:tc>
          <w:tcPr>
            <w:tcW w:type="dxa" w:w="250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User dormancy</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[As-proposed]</w:t>
            </w:r>
          </w:p>
        </w:tc>
        <w:tc>
          <w:tcPr>
            <w:tcW w:type="dxa" w:w="568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Automatic de-activation after a configurable idle period. Last-login is already recorded per user.</w:t>
            </w:r>
          </w:p>
        </w:tc>
      </w:tr>
    </w:tbl>
    <w:p>
      <w:pPr>
        <w:spacing w:after="0" w:before="0"/>
      </w:pPr>
    </w:p>
    <w:p>
      <w:pPr>
        <w:pStyle w:val="Heading2"/>
        <w:keepNext/>
      </w:pPr>
      <w:r>
        <w:rPr>
          <w:rFonts w:ascii="Segoe UI" w:hAnsi="Segoe UI" w:cs="Segoe UI" w:eastAsia="Segoe UI"/>
          <w:b/>
          <w:color w:val="10385A"/>
          <w:sz w:val="25"/>
        </w:rPr>
        <w:t>Data protection</w:t>
      </w:r>
    </w:p>
    <w:p>
      <w:pPr>
        <w:pStyle w:val="ListBullet"/>
        <w:spacing w:after="80"/>
        <w:ind w:left="425"/>
      </w:pPr>
      <w:r>
        <w:rPr>
          <w:rFonts w:ascii="Segoe UI" w:hAnsi="Segoe UI" w:cs="Segoe UI" w:eastAsia="Segoe UI"/>
          <w:b/>
          <w:color w:val="12222F"/>
          <w:sz w:val="21"/>
        </w:rPr>
        <w:t>In transit</w:t>
      </w:r>
      <w:r>
        <w:rPr>
          <w:rFonts w:ascii="Segoe UI" w:hAnsi="Segoe UI" w:cs="Segoe UI" w:eastAsia="Segoe UI"/>
          <w:color w:val="12222F"/>
          <w:sz w:val="21"/>
        </w:rPr>
        <w:t xml:space="preserve"> </w:t>
      </w:r>
      <w:r>
        <w:rPr>
          <w:rFonts w:ascii="Segoe UI" w:hAnsi="Segoe UI" w:cs="Segoe UI" w:eastAsia="Segoe UI"/>
          <w:b/>
          <w:color w:val="9A5B00"/>
          <w:sz w:val="20"/>
        </w:rPr>
        <w:t>[As-proposed]</w:t>
      </w:r>
      <w:r>
        <w:rPr>
          <w:rFonts w:ascii="Segoe UI" w:hAnsi="Segoe UI" w:cs="Segoe UI" w:eastAsia="Segoe UI"/>
          <w:color w:val="12222F"/>
          <w:sz w:val="21"/>
        </w:rPr>
        <w:t xml:space="preserve"> — TLS 1.2+ terminating at the Bank’s load balancer or WAF, with mutual TLS between application and data zones. §5.5 requires encryption in transit including between the application and interfacing systems; connector configurations support TLS-secured endpoints for SQL, SFTP and REST.</w:t>
      </w:r>
    </w:p>
    <w:p>
      <w:pPr>
        <w:pStyle w:val="ListBullet"/>
        <w:spacing w:after="80"/>
        <w:ind w:left="425"/>
      </w:pPr>
      <w:r>
        <w:rPr>
          <w:rFonts w:ascii="Segoe UI" w:hAnsi="Segoe UI" w:cs="Segoe UI" w:eastAsia="Segoe UI"/>
          <w:b/>
          <w:color w:val="12222F"/>
          <w:sz w:val="21"/>
        </w:rPr>
        <w:t>At rest</w:t>
      </w:r>
      <w:r>
        <w:rPr>
          <w:rFonts w:ascii="Segoe UI" w:hAnsi="Segoe UI" w:cs="Segoe UI" w:eastAsia="Segoe UI"/>
          <w:color w:val="12222F"/>
          <w:sz w:val="21"/>
        </w:rPr>
        <w:t xml:space="preserve"> </w:t>
      </w:r>
      <w:r>
        <w:rPr>
          <w:rFonts w:ascii="Segoe UI" w:hAnsi="Segoe UI" w:cs="Segoe UI" w:eastAsia="Segoe UI"/>
          <w:b/>
          <w:color w:val="9A5B00"/>
          <w:sz w:val="20"/>
        </w:rPr>
        <w:t>[As-proposed]</w:t>
      </w:r>
      <w:r>
        <w:rPr>
          <w:rFonts w:ascii="Segoe UI" w:hAnsi="Segoe UI" w:cs="Segoe UI" w:eastAsia="Segoe UI"/>
          <w:color w:val="12222F"/>
          <w:sz w:val="21"/>
        </w:rPr>
        <w:t xml:space="preserve"> — transparent data encryption at the database tier and encrypted volumes for the snapshot store. Handled at the platform tier rather than in application code, which is the pattern the Bank’s existing estate already operates and audits.</w:t>
      </w:r>
    </w:p>
    <w:p>
      <w:pPr>
        <w:pStyle w:val="ListBullet"/>
        <w:spacing w:after="80"/>
        <w:ind w:left="425"/>
      </w:pPr>
      <w:r>
        <w:rPr>
          <w:rFonts w:ascii="Segoe UI" w:hAnsi="Segoe UI" w:cs="Segoe UI" w:eastAsia="Segoe UI"/>
          <w:b/>
          <w:color w:val="12222F"/>
          <w:sz w:val="21"/>
        </w:rPr>
        <w:t>Secrets</w:t>
      </w:r>
      <w:r>
        <w:rPr>
          <w:rFonts w:ascii="Segoe UI" w:hAnsi="Segoe UI" w:cs="Segoe UI" w:eastAsia="Segoe UI"/>
          <w:color w:val="12222F"/>
          <w:sz w:val="21"/>
        </w:rPr>
        <w:t xml:space="preserve"> </w:t>
      </w:r>
      <w:r>
        <w:rPr>
          <w:rFonts w:ascii="Segoe UI" w:hAnsi="Segoe UI" w:cs="Segoe UI" w:eastAsia="Segoe UI"/>
          <w:b/>
          <w:color w:val="1C7C46"/>
          <w:sz w:val="20"/>
        </w:rPr>
        <w:t>[As-built]</w:t>
      </w:r>
      <w:r>
        <w:rPr>
          <w:rFonts w:ascii="Segoe UI" w:hAnsi="Segoe UI" w:cs="Segoe UI" w:eastAsia="Segoe UI"/>
          <w:color w:val="12222F"/>
          <w:sz w:val="21"/>
        </w:rPr>
        <w:t xml:space="preserve"> — connector credentials are treated as write-only. They are masked in every API response and in the audit ledger, and a client that echoes a masked value back on edit does not overwrite the stored secret. This matters because the ledger is immutable: a credential written there could never be redacted.</w:t>
      </w:r>
    </w:p>
    <w:p>
      <w:pPr>
        <w:pStyle w:val="ListBullet"/>
        <w:spacing w:after="80"/>
        <w:ind w:left="425"/>
      </w:pPr>
      <w:r>
        <w:rPr>
          <w:rFonts w:ascii="Segoe UI" w:hAnsi="Segoe UI" w:cs="Segoe UI" w:eastAsia="Segoe UI"/>
          <w:b/>
          <w:color w:val="12222F"/>
          <w:sz w:val="21"/>
        </w:rPr>
        <w:t>PII</w:t>
      </w:r>
      <w:r>
        <w:rPr>
          <w:rFonts w:ascii="Segoe UI" w:hAnsi="Segoe UI" w:cs="Segoe UI" w:eastAsia="Segoe UI"/>
          <w:color w:val="12222F"/>
          <w:sz w:val="21"/>
        </w:rPr>
        <w:t xml:space="preserve"> </w:t>
      </w:r>
      <w:r>
        <w:rPr>
          <w:rFonts w:ascii="Segoe UI" w:hAnsi="Segoe UI" w:cs="Segoe UI" w:eastAsia="Segoe UI"/>
          <w:b/>
          <w:color w:val="9A5B00"/>
          <w:sz w:val="20"/>
        </w:rPr>
        <w:t>[Partial]</w:t>
      </w:r>
      <w:r>
        <w:rPr>
          <w:rFonts w:ascii="Segoe UI" w:hAnsi="Segoe UI" w:cs="Segoe UI" w:eastAsia="Segoe UI"/>
          <w:color w:val="12222F"/>
          <w:sz w:val="21"/>
        </w:rPr>
        <w:t xml:space="preserve"> — the canonical model carries identity documents in masked form by design. Field-level masking policies by role, and DPDP-aligned subject-rights handling, are implementation-phase work.</w:t>
      </w:r>
    </w:p>
    <w:p>
      <w:pPr>
        <w:pStyle w:val="Heading2"/>
        <w:keepNext/>
      </w:pPr>
      <w:r>
        <w:rPr>
          <w:rFonts w:ascii="Segoe UI" w:hAnsi="Segoe UI" w:cs="Segoe UI" w:eastAsia="Segoe UI"/>
          <w:b/>
          <w:color w:val="10385A"/>
          <w:sz w:val="25"/>
        </w:rPr>
        <w:t>Application security</w:t>
      </w:r>
    </w:p>
    <w:p>
      <w:r>
        <w:rPr>
          <w:rFonts w:ascii="Segoe UI" w:hAnsi="Segoe UI" w:cs="Segoe UI" w:eastAsia="Segoe UI"/>
          <w:color w:val="12222F"/>
          <w:sz w:val="21"/>
        </w:rPr>
        <w:t>The platform is developed against OWASP guidance, and the reference implementation has been through a full internal security review whose findings were remediated before this submission. Parameterised queries and an allow-list of canonical identifiers throughout; uploads are extension-restricted, size-capped and streamed, with the destination path confined to the upload directory; every list endpoint is bounded at both ends so pagination cannot be defeated; error responses do not leak internal state. Independent VAPT and source code review are scheduled as pre-go-live activities and their reports form part of the implementation deliverables (§5.5, §6).</w:t>
      </w:r>
    </w:p>
    <w:p>
      <w:pPr>
        <w:pStyle w:val="Heading1"/>
        <w:keepNext/>
        <w:pBdr>
          <w:top w:val="single" w:sz="18" w:space="6" w:color="10385A"/>
        </w:pBdr>
        <w:spacing w:before="440"/>
      </w:pPr>
      <w:r>
        <w:rPr>
          <w:rFonts w:ascii="Segoe UI" w:hAnsi="Segoe UI" w:cs="Segoe UI" w:eastAsia="Segoe UI"/>
          <w:b/>
          <w:color w:val="E57200"/>
          <w:sz w:val="32"/>
        </w:rPr>
        <w:t>10</w:t>
      </w:r>
      <w:r>
        <w:rPr>
          <w:rFonts w:ascii="Segoe UI" w:hAnsi="Segoe UI" w:cs="Segoe UI" w:eastAsia="Segoe UI"/>
          <w:b/>
          <w:color w:val="E57200"/>
          <w:sz w:val="32"/>
        </w:rPr>
        <w:t xml:space="preserve"> </w:t>
      </w:r>
      <w:r>
        <w:rPr>
          <w:rFonts w:ascii="Segoe UI" w:hAnsi="Segoe UI" w:cs="Segoe UI" w:eastAsia="Segoe UI"/>
          <w:b/>
          <w:color w:val="10385A"/>
          <w:sz w:val="32"/>
        </w:rPr>
        <w:t>Integration architecture</w:t>
      </w:r>
    </w:p>
    <w:p>
      <w:r>
        <w:rPr>
          <w:rFonts w:ascii="Segoe UI" w:hAnsi="Segoe UI" w:cs="Segoe UI" w:eastAsia="Segoe UI"/>
          <w:color w:val="12222F"/>
          <w:sz w:val="21"/>
        </w:rPr>
        <w:t>§3.2 requires APIs for integration with the Data Warehouse, core banking, CRM, Pentana and other source applications. The platform integrates in one of two directions, and the Bank can mix them per source.</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1831"/>
        <w:gridCol w:w="1445"/>
        <w:gridCol w:w="6363"/>
      </w:tblGrid>
      <w:tr>
        <w:trPr>
          <w:cantSplit/>
          <w:tblHeader w:val="true"/>
        </w:trPr>
        <w:tc>
          <w:tcPr>
            <w:tcW w:type="dxa" w:w="1831"/>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Connector</w:t>
            </w:r>
          </w:p>
        </w:tc>
        <w:tc>
          <w:tcPr>
            <w:tcW w:type="dxa" w:w="1445"/>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Status</w:t>
            </w:r>
          </w:p>
        </w:tc>
        <w:tc>
          <w:tcPr>
            <w:tcW w:type="dxa" w:w="636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Use and configuration</w:t>
            </w:r>
          </w:p>
        </w:tc>
      </w:tr>
      <w:tr>
        <w:trPr>
          <w:cantSplit/>
        </w:trPr>
        <w:tc>
          <w:tcPr>
            <w:tcW w:type="dxa" w:w="1831"/>
            <w:tcMar>
              <w:top w:w="80" w:type="dxa"/>
              <w:left w:w="110" w:type="dxa"/>
              <w:bottom w:w="80" w:type="dxa"/>
              <w:right w:w="110" w:type="dxa"/>
            </w:tcMar>
          </w:tcPr>
          <w:p>
            <w:pPr>
              <w:spacing w:after="0" w:line="269" w:lineRule="auto"/>
            </w:pPr>
            <w:r>
              <w:rPr>
                <w:rFonts w:ascii="Segoe UI" w:hAnsi="Segoe UI" w:cs="Segoe UI" w:eastAsia="Segoe UI"/>
                <w:b/>
                <w:color w:val="12222F"/>
                <w:sz w:val="18"/>
              </w:rPr>
              <w:t>SQL</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6363"/>
            <w:tcMar>
              <w:top w:w="80" w:type="dxa"/>
              <w:left w:w="110" w:type="dxa"/>
              <w:bottom w:w="80" w:type="dxa"/>
              <w:right w:w="110" w:type="dxa"/>
            </w:tcMar>
          </w:tcPr>
          <w:p>
            <w:pPr>
              <w:spacing w:after="0" w:line="269" w:lineRule="auto"/>
            </w:pPr>
            <w:r>
              <w:rPr>
                <w:rFonts w:ascii="Segoe UI" w:hAnsi="Segoe UI" w:cs="Segoe UI" w:eastAsia="Segoe UI"/>
                <w:color w:val="12222F"/>
                <w:sz w:val="18"/>
              </w:rPr>
              <w:t>Direct read against the Data Warehouse or a core-banking replica over a SQLAlchemy-supported driver — Oracle, PostgreSQL, SQL Server, MySQL. Per-table query or view mapping. This is the recommended primary route for the Bank’s DW.</w:t>
            </w:r>
          </w:p>
        </w:tc>
      </w:tr>
      <w:tr>
        <w:trPr>
          <w:cantSplit/>
        </w:trPr>
        <w:tc>
          <w:tcPr>
            <w:tcW w:type="dxa" w:w="1831"/>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2222F"/>
                <w:sz w:val="18"/>
              </w:rPr>
              <w:t>SFTP</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63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Scheduled collection of extract files from a landing zone, key- or password-authenticated. The pattern most core-banking teams prefer because it requires no inbound access to the source.</w:t>
            </w:r>
          </w:p>
        </w:tc>
      </w:tr>
      <w:tr>
        <w:trPr>
          <w:cantSplit/>
        </w:trPr>
        <w:tc>
          <w:tcPr>
            <w:tcW w:type="dxa" w:w="1831"/>
            <w:tcMar>
              <w:top w:w="80" w:type="dxa"/>
              <w:left w:w="110" w:type="dxa"/>
              <w:bottom w:w="80" w:type="dxa"/>
              <w:right w:w="110" w:type="dxa"/>
            </w:tcMar>
          </w:tcPr>
          <w:p>
            <w:pPr>
              <w:spacing w:after="0" w:line="269" w:lineRule="auto"/>
            </w:pPr>
            <w:r>
              <w:rPr>
                <w:rFonts w:ascii="Segoe UI" w:hAnsi="Segoe UI" w:cs="Segoe UI" w:eastAsia="Segoe UI"/>
                <w:b/>
                <w:color w:val="12222F"/>
                <w:sz w:val="18"/>
              </w:rPr>
              <w:t>File</w:t>
            </w:r>
          </w:p>
        </w:tc>
        <w:tc>
          <w:tcPr>
            <w:tcW w:type="dxa" w:w="1445"/>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6363"/>
            <w:tcMar>
              <w:top w:w="80" w:type="dxa"/>
              <w:left w:w="110" w:type="dxa"/>
              <w:bottom w:w="80" w:type="dxa"/>
              <w:right w:w="110" w:type="dxa"/>
            </w:tcMar>
          </w:tcPr>
          <w:p>
            <w:pPr>
              <w:spacing w:after="0" w:line="269" w:lineRule="auto"/>
            </w:pPr>
            <w:r>
              <w:rPr>
                <w:rFonts w:ascii="Segoe UI" w:hAnsi="Segoe UI" w:cs="Segoe UI" w:eastAsia="Segoe UI"/>
                <w:color w:val="12222F"/>
                <w:sz w:val="18"/>
              </w:rPr>
              <w:t>A mounted drop directory, reads confined to that directory so a configuration value cannot traverse the host filesystem. Used for nightly extracts and for one-off audit data requests.</w:t>
            </w:r>
          </w:p>
        </w:tc>
      </w:tr>
      <w:tr>
        <w:trPr>
          <w:cantSplit/>
        </w:trPr>
        <w:tc>
          <w:tcPr>
            <w:tcW w:type="dxa" w:w="1831"/>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2222F"/>
                <w:sz w:val="18"/>
              </w:rPr>
              <w:t>REST</w:t>
            </w:r>
          </w:p>
        </w:tc>
        <w:tc>
          <w:tcPr>
            <w:tcW w:type="dxa" w:w="1445"/>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[As-built]</w:t>
            </w:r>
          </w:p>
        </w:tc>
        <w:tc>
          <w:tcPr>
            <w:tcW w:type="dxa" w:w="636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For source applications exposing an API — CRM, Pentana, V-CIP platforms. Bearer or basic authentication, offset or cursor pagination, with paging that stops only on a genuinely empty page so a server-side page-size cap cannot silently truncate the population.</w:t>
            </w:r>
          </w:p>
        </w:tc>
      </w:tr>
    </w:tbl>
    <w:p>
      <w:pPr>
        <w:spacing w:after="0" w:before="0"/>
      </w:pPr>
    </w:p>
    <w:p>
      <w:pPr>
        <w:pStyle w:val="Heading2"/>
        <w:keepNext/>
      </w:pPr>
      <w:r>
        <w:rPr>
          <w:rFonts w:ascii="Segoe UI" w:hAnsi="Segoe UI" w:cs="Segoe UI" w:eastAsia="Segoe UI"/>
          <w:b/>
          <w:color w:val="10385A"/>
          <w:sz w:val="25"/>
        </w:rPr>
        <w:t>Mapping, drift and failure</w:t>
      </w:r>
    </w:p>
    <w:p>
      <w:r>
        <w:rPr>
          <w:rFonts w:ascii="Segoe UI" w:hAnsi="Segoe UI" w:cs="Segoe UI" w:eastAsia="Segoe UI"/>
          <w:color w:val="12222F"/>
          <w:sz w:val="21"/>
        </w:rPr>
        <w:t xml:space="preserve">Each source declares a mapping from its physical columns to canonical columns. At ingestion, values are coerced to the declared canonical types; a value that cannot be coerced rejects </w:t>
      </w:r>
      <w:r>
        <w:rPr>
          <w:rFonts w:ascii="Segoe UI" w:hAnsi="Segoe UI" w:cs="Segoe UI" w:eastAsia="Segoe UI"/>
          <w:i/>
          <w:color w:val="12222F"/>
          <w:sz w:val="21"/>
        </w:rPr>
        <w:t>that row</w:t>
      </w:r>
      <w:r>
        <w:rPr>
          <w:rFonts w:ascii="Segoe UI" w:hAnsi="Segoe UI" w:cs="Segoe UI" w:eastAsia="Segoe UI"/>
          <w:color w:val="12222F"/>
          <w:sz w:val="21"/>
        </w:rPr>
        <w:t xml:space="preserve"> with a recorded reason and column, and the pull continues. Absent optional values are recorded as null rather than treated as failures. Schema drift — a column that disappears or changes type between pulls — is detected and reported against the pull rather than discovered later as a control that quietly stopped finding anything.</w:t>
      </w:r>
    </w:p>
    <w:p>
      <w:pPr>
        <w:pStyle w:val="Heading2"/>
        <w:keepNext/>
      </w:pPr>
      <w:r>
        <w:rPr>
          <w:rFonts w:ascii="Segoe UI" w:hAnsi="Segoe UI" w:cs="Segoe UI" w:eastAsia="Segoe UI"/>
          <w:b/>
          <w:color w:val="10385A"/>
          <w:sz w:val="25"/>
        </w:rPr>
        <w:t>Outbound and platform APIs</w:t>
      </w:r>
    </w:p>
    <w:p>
      <w:r>
        <w:rPr>
          <w:rFonts w:ascii="Segoe UI" w:hAnsi="Segoe UI" w:cs="Segoe UI" w:eastAsia="Segoe UI"/>
          <w:b/>
          <w:color w:val="1C7C46"/>
          <w:sz w:val="20"/>
        </w:rPr>
        <w:t>[As-built]</w:t>
      </w:r>
      <w:r>
        <w:rPr>
          <w:rFonts w:ascii="Segoe UI" w:hAnsi="Segoe UI" w:cs="Segoe UI" w:eastAsia="Segoe UI"/>
          <w:color w:val="12222F"/>
          <w:sz w:val="21"/>
        </w:rPr>
        <w:t xml:space="preserve"> All 117 operations are documented in an OpenAPI specification served by the platform, covering ingestion, controls, runs, exceptions, sampling, workpapers, the audit lifecycle, workflow, AI services and administration. This allows the Bank to drive the platform from an orchestration tool, feed dashboards into an enterprise BI layer, or push findings into an existing GRC system. The Integration &amp; API Documentation deliverable is generated from this specification, so it cannot drift from the implementation.</w:t>
      </w:r>
    </w:p>
    <w:p>
      <w:pPr>
        <w:pStyle w:val="Heading1"/>
        <w:keepNext/>
        <w:pBdr>
          <w:top w:val="single" w:sz="18" w:space="6" w:color="10385A"/>
        </w:pBdr>
        <w:spacing w:before="440"/>
      </w:pPr>
      <w:r>
        <w:rPr>
          <w:rFonts w:ascii="Segoe UI" w:hAnsi="Segoe UI" w:cs="Segoe UI" w:eastAsia="Segoe UI"/>
          <w:b/>
          <w:color w:val="E57200"/>
          <w:sz w:val="32"/>
        </w:rPr>
        <w:t>11</w:t>
      </w:r>
      <w:r>
        <w:rPr>
          <w:rFonts w:ascii="Segoe UI" w:hAnsi="Segoe UI" w:cs="Segoe UI" w:eastAsia="Segoe UI"/>
          <w:b/>
          <w:color w:val="E57200"/>
          <w:sz w:val="32"/>
        </w:rPr>
        <w:t xml:space="preserve"> </w:t>
      </w:r>
      <w:r>
        <w:rPr>
          <w:rFonts w:ascii="Segoe UI" w:hAnsi="Segoe UI" w:cs="Segoe UI" w:eastAsia="Segoe UI"/>
          <w:b/>
          <w:color w:val="10385A"/>
          <w:sz w:val="32"/>
        </w:rPr>
        <w:t>Deployment architecture</w:t>
      </w:r>
    </w:p>
    <w:p>
      <w:r>
        <w:rPr>
          <w:rFonts w:ascii="Segoe UI" w:hAnsi="Segoe UI" w:cs="Segoe UI" w:eastAsia="Segoe UI"/>
          <w:color w:val="12222F"/>
          <w:sz w:val="21"/>
        </w:rPr>
        <w:t>This is the section where the two layers differ most, so the difference is drawn explicitly rather than described.</w:t>
      </w:r>
    </w:p>
    <w:p>
      <w:pPr>
        <w:keepNext/>
        <w:keepLines/>
        <w:spacing w:before="200" w:after="100"/>
        <w:jc w:val="center"/>
      </w:pPr>
      <w:r>
        <w:drawing>
          <wp:inline xmlns:a="http://schemas.openxmlformats.org/drawingml/2006/main" xmlns:pic="http://schemas.openxmlformats.org/drawingml/2006/picture">
            <wp:extent cx="6120000" cy="2079654"/>
            <wp:docPr id="7" name="Picture 7"/>
            <wp:cNvGraphicFramePr>
              <a:graphicFrameLocks noChangeAspect="1"/>
            </wp:cNvGraphicFramePr>
            <a:graphic>
              <a:graphicData uri="http://schemas.openxmlformats.org/drawingml/2006/picture">
                <pic:pic>
                  <pic:nvPicPr>
                    <pic:cNvPr id="0" name="figure-7.png"/>
                    <pic:cNvPicPr/>
                  </pic:nvPicPr>
                  <pic:blipFill>
                    <a:blip r:embed="rId19"/>
                    <a:stretch>
                      <a:fillRect/>
                    </a:stretch>
                  </pic:blipFill>
                  <pic:spPr>
                    <a:xfrm>
                      <a:off x="0" y="0"/>
                      <a:ext cx="6120000" cy="2079654"/>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7 — What actually changes between the reference environment and production.</w:t>
      </w:r>
      <w:r>
        <w:rPr>
          <w:rFonts w:ascii="Segoe UI" w:hAnsi="Segoe UI" w:cs="Segoe UI" w:eastAsia="Segoe UI"/>
          <w:i/>
          <w:color w:val="5B6B78"/>
          <w:sz w:val="18"/>
        </w:rPr>
        <w:t xml:space="preserve"> The application tier is already stateless and token-authenticated, so scaling out is a deployment change rather than a re-write. The single architectural move is relocating state — the relational store to Oracle and the snapshot store to object storage. DuckDB is retained deliberately: it is the embedded analytical engine that reads snapshots, not the system of record.</w:t>
      </w:r>
    </w:p>
    <w:p>
      <w:pPr>
        <w:pStyle w:val="Heading2"/>
        <w:keepNext/>
      </w:pPr>
      <w:r>
        <w:rPr>
          <w:rFonts w:ascii="Segoe UI" w:hAnsi="Segoe UI" w:cs="Segoe UI" w:eastAsia="Segoe UI"/>
          <w:b/>
          <w:color w:val="10385A"/>
          <w:sz w:val="25"/>
        </w:rPr>
        <w:t>Data centre and disaster recovery</w:t>
      </w:r>
    </w:p>
    <w:p>
      <w:pPr>
        <w:keepNext/>
        <w:keepLines/>
        <w:spacing w:before="200" w:after="100"/>
        <w:jc w:val="center"/>
      </w:pPr>
      <w:r>
        <w:drawing>
          <wp:inline xmlns:a="http://schemas.openxmlformats.org/drawingml/2006/main" xmlns:pic="http://schemas.openxmlformats.org/drawingml/2006/picture">
            <wp:extent cx="6120000" cy="2154557"/>
            <wp:docPr id="8" name="Picture 8"/>
            <wp:cNvGraphicFramePr>
              <a:graphicFrameLocks noChangeAspect="1"/>
            </wp:cNvGraphicFramePr>
            <a:graphic>
              <a:graphicData uri="http://schemas.openxmlformats.org/drawingml/2006/picture">
                <pic:pic>
                  <pic:nvPicPr>
                    <pic:cNvPr id="0" name="figure-8.png"/>
                    <pic:cNvPicPr/>
                  </pic:nvPicPr>
                  <pic:blipFill>
                    <a:blip r:embed="rId20"/>
                    <a:stretch>
                      <a:fillRect/>
                    </a:stretch>
                  </pic:blipFill>
                  <pic:spPr>
                    <a:xfrm>
                      <a:off x="0" y="0"/>
                      <a:ext cx="6120000" cy="2154557"/>
                    </a:xfrm>
                    <a:prstGeom prst="rect"/>
                  </pic:spPr>
                </pic:pic>
              </a:graphicData>
            </a:graphic>
          </wp:inline>
        </w:drawing>
      </w:r>
    </w:p>
    <w:p>
      <w:pPr>
        <w:keepLines/>
        <w:spacing w:after="320" w:line="274" w:lineRule="auto"/>
      </w:pPr>
      <w:r>
        <w:rPr>
          <w:rFonts w:ascii="Segoe UI" w:hAnsi="Segoe UI" w:cs="Segoe UI" w:eastAsia="Segoe UI"/>
          <w:b/>
          <w:i w:val="0"/>
          <w:color w:val="10385A"/>
          <w:sz w:val="18"/>
        </w:rPr>
        <w:t>Figure 8 — DC and DR topology.</w:t>
      </w:r>
      <w:r>
        <w:rPr>
          <w:rFonts w:ascii="Segoe UI" w:hAnsi="Segoe UI" w:cs="Segoe UI" w:eastAsia="Segoe UI"/>
          <w:i/>
          <w:color w:val="5B6B78"/>
          <w:sz w:val="18"/>
        </w:rPr>
        <w:t xml:space="preserve"> A zero RPO is only achievable with synchronous replication, so that is what is proposed — the commitment is drawn on the diagram rather than asserted in prose. The one-hour RTO is met by a warm standby tier running the same build, with promotion and DNS failover as the recovery action. On failover the snapshot store’s content hashes are re-verified, so the Bank knows its evidence survived the event intact.</w:t>
      </w:r>
    </w:p>
    <w:p>
      <w:pPr>
        <w:pStyle w:val="Heading2"/>
        <w:keepNext/>
      </w:pPr>
      <w:r>
        <w:rPr>
          <w:rFonts w:ascii="Segoe UI" w:hAnsi="Segoe UI" w:cs="Segoe UI" w:eastAsia="Segoe UI"/>
          <w:b/>
          <w:color w:val="10385A"/>
          <w:sz w:val="25"/>
        </w:rPr>
        <w:t>Scaling and sizing</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2698"/>
        <w:gridCol w:w="6941"/>
      </w:tblGrid>
      <w:tr>
        <w:trPr>
          <w:cantSplit/>
          <w:tblHeader w:val="true"/>
        </w:trPr>
        <w:tc>
          <w:tcPr>
            <w:tcW w:type="dxa" w:w="2698"/>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Target (§3.2)</w:t>
            </w:r>
          </w:p>
        </w:tc>
        <w:tc>
          <w:tcPr>
            <w:tcW w:type="dxa" w:w="6941"/>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Architectural response</w:t>
            </w:r>
          </w:p>
        </w:tc>
      </w:tr>
      <w:tr>
        <w:trPr>
          <w:cantSplit/>
        </w:trPr>
        <w:tc>
          <w:tcPr>
            <w:tcW w:type="dxa" w:w="2698"/>
            <w:tcMar>
              <w:top w:w="80" w:type="dxa"/>
              <w:left w:w="110" w:type="dxa"/>
              <w:bottom w:w="80" w:type="dxa"/>
              <w:right w:w="110" w:type="dxa"/>
            </w:tcMar>
          </w:tcPr>
          <w:p>
            <w:pPr>
              <w:spacing w:after="0" w:line="269" w:lineRule="auto"/>
            </w:pPr>
            <w:r>
              <w:rPr>
                <w:rFonts w:ascii="Segoe UI" w:hAnsi="Segoe UI" w:cs="Segoe UI" w:eastAsia="Segoe UI"/>
                <w:color w:val="12222F"/>
                <w:sz w:val="18"/>
              </w:rPr>
              <w:t>5,000+ concurrent users</w:t>
            </w:r>
          </w:p>
        </w:tc>
        <w:tc>
          <w:tcPr>
            <w:tcW w:type="dxa" w:w="6941"/>
            <w:tcMar>
              <w:top w:w="80" w:type="dxa"/>
              <w:left w:w="110" w:type="dxa"/>
              <w:bottom w:w="80" w:type="dxa"/>
              <w:right w:w="110" w:type="dxa"/>
            </w:tcMar>
          </w:tcPr>
          <w:p>
            <w:pPr>
              <w:spacing w:after="0" w:line="269" w:lineRule="auto"/>
            </w:pPr>
            <w:r>
              <w:rPr>
                <w:rFonts w:ascii="Segoe UI" w:hAnsi="Segoe UI" w:cs="Segoe UI" w:eastAsia="Segoe UI"/>
                <w:color w:val="12222F"/>
                <w:sz w:val="18"/>
              </w:rPr>
              <w:t>Stateless application tier scaled horizontally behind the load balancer; sessions are bearer tokens, so no sticky sessions and no shared session store. Read-heavy dashboard traffic served from the relational tier with a read replica.</w:t>
            </w:r>
          </w:p>
        </w:tc>
      </w:tr>
      <w:tr>
        <w:trPr>
          <w:cantSplit/>
        </w:trPr>
        <w:tc>
          <w:tcPr>
            <w:tcW w:type="dxa" w:w="269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Response time &lt; 2 seconds</w:t>
            </w:r>
          </w:p>
        </w:tc>
        <w:tc>
          <w:tcPr>
            <w:tcW w:type="dxa" w:w="6941"/>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Interactive requests are served from the relational store. Analytical work — control execution over millions of rows — runs against columnar Parquet through a vectorised engine and is asynchronous by design: a run is submitted and tracked, not waited on.</w:t>
            </w:r>
          </w:p>
        </w:tc>
      </w:tr>
      <w:tr>
        <w:trPr>
          <w:cantSplit/>
        </w:trPr>
        <w:tc>
          <w:tcPr>
            <w:tcW w:type="dxa" w:w="2698"/>
            <w:tcMar>
              <w:top w:w="80" w:type="dxa"/>
              <w:left w:w="110" w:type="dxa"/>
              <w:bottom w:w="80" w:type="dxa"/>
              <w:right w:w="110" w:type="dxa"/>
            </w:tcMar>
          </w:tcPr>
          <w:p>
            <w:pPr>
              <w:spacing w:after="0" w:line="269" w:lineRule="auto"/>
            </w:pPr>
            <w:r>
              <w:rPr>
                <w:rFonts w:ascii="Segoe UI" w:hAnsi="Segoe UI" w:cs="Segoe UI" w:eastAsia="Segoe UI"/>
                <w:color w:val="12222F"/>
                <w:sz w:val="18"/>
              </w:rPr>
              <w:t>High-volume loads, large branch networks</w:t>
            </w:r>
          </w:p>
        </w:tc>
        <w:tc>
          <w:tcPr>
            <w:tcW w:type="dxa" w:w="6941"/>
            <w:tcMar>
              <w:top w:w="80" w:type="dxa"/>
              <w:left w:w="110" w:type="dxa"/>
              <w:bottom w:w="80" w:type="dxa"/>
              <w:right w:w="110" w:type="dxa"/>
            </w:tcMar>
          </w:tcPr>
          <w:p>
            <w:pPr>
              <w:spacing w:after="0" w:line="269" w:lineRule="auto"/>
            </w:pPr>
            <w:r>
              <w:rPr>
                <w:rFonts w:ascii="Segoe UI" w:hAnsi="Segoe UI" w:cs="Segoe UI" w:eastAsia="Segoe UI"/>
                <w:color w:val="12222F"/>
                <w:sz w:val="18"/>
              </w:rPr>
              <w:t>Ingestion is per-source and parallelisable; snapshots are immutable so readers never contend with writers. Controls execute against columnar storage with predicate push-down.</w:t>
            </w:r>
          </w:p>
        </w:tc>
      </w:tr>
      <w:tr>
        <w:trPr>
          <w:cantSplit/>
        </w:trPr>
        <w:tc>
          <w:tcPr>
            <w:tcW w:type="dxa" w:w="269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Multi-entity, multi-process parallel execution</w:t>
            </w:r>
          </w:p>
        </w:tc>
        <w:tc>
          <w:tcPr>
            <w:tcW w:type="dxa" w:w="6941"/>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Runs are independent units keyed by pack and snapshot; several engagements execute concurrently without interaction, which is a consequence of pinning every run to frozen evidence.</w:t>
            </w:r>
          </w:p>
        </w:tc>
      </w:tr>
      <w:tr>
        <w:trPr>
          <w:cantSplit/>
        </w:trPr>
        <w:tc>
          <w:tcPr>
            <w:tcW w:type="dxa" w:w="2698"/>
            <w:tcMar>
              <w:top w:w="80" w:type="dxa"/>
              <w:left w:w="110" w:type="dxa"/>
              <w:bottom w:w="80" w:type="dxa"/>
              <w:right w:w="110" w:type="dxa"/>
            </w:tcMar>
          </w:tcPr>
          <w:p>
            <w:pPr>
              <w:spacing w:after="0" w:line="269" w:lineRule="auto"/>
            </w:pPr>
            <w:r>
              <w:rPr>
                <w:rFonts w:ascii="Segoe UI" w:hAnsi="Segoe UI" w:cs="Segoe UI" w:eastAsia="Segoe UI"/>
                <w:color w:val="12222F"/>
                <w:sz w:val="18"/>
              </w:rPr>
              <w:t>Horizontal scaling for peak audit cycles</w:t>
            </w:r>
          </w:p>
        </w:tc>
        <w:tc>
          <w:tcPr>
            <w:tcW w:type="dxa" w:w="6941"/>
            <w:tcMar>
              <w:top w:w="80" w:type="dxa"/>
              <w:left w:w="110" w:type="dxa"/>
              <w:bottom w:w="80" w:type="dxa"/>
              <w:right w:w="110" w:type="dxa"/>
            </w:tcMar>
          </w:tcPr>
          <w:p>
            <w:pPr>
              <w:spacing w:after="0" w:line="269" w:lineRule="auto"/>
            </w:pPr>
            <w:r>
              <w:rPr>
                <w:rFonts w:ascii="Segoe UI" w:hAnsi="Segoe UI" w:cs="Segoe UI" w:eastAsia="Segoe UI"/>
                <w:color w:val="12222F"/>
                <w:sz w:val="18"/>
              </w:rPr>
              <w:t>Application nodes added and removed without state migration. Peak audit periods are handled by scaling the tier rather than by capacity held idle year-round.</w:t>
            </w:r>
          </w:p>
        </w:tc>
      </w:tr>
      <w:tr>
        <w:trPr>
          <w:cantSplit/>
        </w:trPr>
        <w:tc>
          <w:tcPr>
            <w:tcW w:type="dxa" w:w="2698"/>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75% utilisation ceiling (§5.3)</w:t>
            </w:r>
          </w:p>
        </w:tc>
        <w:tc>
          <w:tcPr>
            <w:tcW w:type="dxa" w:w="6941"/>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Sizing in the BOQ is calculated to hold CPU, memory, storage and network below 75% at both DC and DR under the modelled peak.</w:t>
            </w:r>
          </w:p>
        </w:tc>
      </w:tr>
    </w:tbl>
    <w:p>
      <w:pPr>
        <w:spacing w:after="0" w:before="0"/>
      </w:pPr>
    </w:p>
    <w:p>
      <w:pPr>
        <w:pStyle w:val="Heading2"/>
        <w:keepNext/>
      </w:pPr>
      <w:r>
        <w:rPr>
          <w:rFonts w:ascii="Segoe UI" w:hAnsi="Segoe UI" w:cs="Segoe UI" w:eastAsia="Segoe UI"/>
          <w:b/>
          <w:color w:val="10385A"/>
          <w:sz w:val="25"/>
        </w:rPr>
        <w:t>Cloud portability</w:t>
      </w:r>
    </w:p>
    <w:p>
      <w:r>
        <w:rPr>
          <w:rFonts w:ascii="Segoe UI" w:hAnsi="Segoe UI" w:cs="Segoe UI" w:eastAsia="Segoe UI"/>
          <w:color w:val="12222F"/>
          <w:sz w:val="21"/>
        </w:rPr>
        <w:t>§5.3 requires that the solution be capable of being shifted from on-premises to the Bank’s cloud provider. The architecture holds no on-premises assumption: the application tier is a stateless process, the relational store is accessed through a database abstraction supporting Oracle, PostgreSQL, SQL Server and MySQL, and the snapshot store is object storage. The same build deploys to on-premises, private cloud or public cloud; inference remains inside whichever boundary the Bank designates, and the residency guard travels with the application.</w:t>
      </w:r>
    </w:p>
    <w:p>
      <w:pPr>
        <w:pStyle w:val="Heading2"/>
        <w:keepNext/>
      </w:pPr>
      <w:r>
        <w:rPr>
          <w:rFonts w:ascii="Segoe UI" w:hAnsi="Segoe UI" w:cs="Segoe UI" w:eastAsia="Segoe UI"/>
          <w:b/>
          <w:color w:val="10385A"/>
          <w:sz w:val="25"/>
        </w:rPr>
        <w:t>Environments</w:t>
      </w:r>
    </w:p>
    <w:p>
      <w:r>
        <w:rPr>
          <w:rFonts w:ascii="Segoe UI" w:hAnsi="Segoe UI" w:cs="Segoe UI" w:eastAsia="Segoe UI"/>
          <w:color w:val="12222F"/>
          <w:sz w:val="21"/>
        </w:rPr>
        <w:t>§3.2 requires separate UAT and DR environments and separate application and database servers. Four environments are proposed — Development, UAT, Production and DR — with separate application and database hosts in each of Production and DR. Because a snapshot is content-addressed, a dataset promoted from UAT to Production is provably the same dataset, which makes UAT sign-off meaningful rather than indicative.</w:t>
      </w:r>
    </w:p>
    <w:p>
      <w:pPr>
        <w:pStyle w:val="Heading1"/>
        <w:keepNext/>
        <w:pBdr>
          <w:top w:val="single" w:sz="18" w:space="6" w:color="10385A"/>
        </w:pBdr>
        <w:spacing w:before="440"/>
      </w:pPr>
      <w:r>
        <w:rPr>
          <w:rFonts w:ascii="Segoe UI" w:hAnsi="Segoe UI" w:cs="Segoe UI" w:eastAsia="Segoe UI"/>
          <w:b/>
          <w:color w:val="E57200"/>
          <w:sz w:val="32"/>
        </w:rPr>
        <w:t>12</w:t>
      </w:r>
      <w:r>
        <w:rPr>
          <w:rFonts w:ascii="Segoe UI" w:hAnsi="Segoe UI" w:cs="Segoe UI" w:eastAsia="Segoe UI"/>
          <w:b/>
          <w:color w:val="E57200"/>
          <w:sz w:val="32"/>
        </w:rPr>
        <w:t xml:space="preserve"> </w:t>
      </w:r>
      <w:r>
        <w:rPr>
          <w:rFonts w:ascii="Segoe UI" w:hAnsi="Segoe UI" w:cs="Segoe UI" w:eastAsia="Segoe UI"/>
          <w:b/>
          <w:color w:val="10385A"/>
          <w:sz w:val="32"/>
        </w:rPr>
        <w:t>Non-functional requirements</w:t>
      </w:r>
    </w:p>
    <w:p>
      <w:r>
        <w:rPr>
          <w:rFonts w:ascii="Segoe UI" w:hAnsi="Segoe UI" w:cs="Segoe UI" w:eastAsia="Segoe UI"/>
          <w:color w:val="12222F"/>
          <w:sz w:val="21"/>
        </w:rPr>
        <w:t>Summary position against §3.2. The clause-by-clause response, including all nineteen §5.5 security items and the 30-point §6 checklist, is in the Technical &amp; NFR Response Matrix.</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2313"/>
        <w:gridCol w:w="1253"/>
        <w:gridCol w:w="1253"/>
        <w:gridCol w:w="4820"/>
      </w:tblGrid>
      <w:tr>
        <w:trPr>
          <w:cantSplit/>
          <w:tblHeader w:val="true"/>
        </w:trPr>
        <w:tc>
          <w:tcPr>
            <w:tcW w:type="dxa" w:w="231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Requirement</w:t>
            </w:r>
          </w:p>
        </w:tc>
        <w:tc>
          <w:tcPr>
            <w:tcW w:type="dxa" w:w="125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As-built</w:t>
            </w:r>
          </w:p>
        </w:tc>
        <w:tc>
          <w:tcPr>
            <w:tcW w:type="dxa" w:w="125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As-proposed</w:t>
            </w:r>
          </w:p>
        </w:tc>
        <w:tc>
          <w:tcPr>
            <w:tcW w:type="dxa" w:w="4820"/>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Basis</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Audit logs for every system interaction</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Hash-chained append-only ledger over every state change, independently verifiable</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Separate user-management module</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Administration surface with role assignment and lifecycle controls</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Data residency</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No external egress path; inference locality enforced in code and at the network</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AD integration for login</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Pluggable authentication provider; LDAP or SAML/OIDC with group-to-role mapping</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Encryption in transit and at rest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TLS at the edge and between zones; TDE and encrypted volumes at the data tier</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Availability 99.9%</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Redundant application tier, clustered database, DR site — subject to the Bank’s infrastructure SLAs</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Response time &lt; 2 s</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[Partial]</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Interactive paths are sub-second in the reference environment; formal certification on Bank infrastructure at UAT</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5,000+ concurrent users</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Stateless horizontal scaling; to be evidenced by the performance testing certification</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DR RPO 0 / RTO 1 hour</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Synchronous replication; warm standby with promotion and DNS failover</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Horizontal scaling, parallel processing</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[Partial]</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Runs are already independent units; the tier becomes multi-node in production</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APIs for DW, CBS, CRM, Pentana</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Four connector types plus 117 documented REST operations</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Real-time monitoring and API dashboards</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Metrics endpoint feeding the Bank’s existing observability stack, plus in-product operational dashboards</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System log aggregation, SIEM</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[Partial]</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9A5B00"/>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Ledger and application logs exist and are structured; the SIEM forwarder is implementation-phase</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Reconciliation and MIS reporting</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Pull reconciliation data captured at ingestion; exports in XLSX, CSV and PDF</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Schema change support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Drift detection at ingestion; controls bind to the canonical contract, insulating them from physical change</w:t>
            </w:r>
          </w:p>
        </w:tc>
      </w:tr>
      <w:tr>
        <w:trPr>
          <w:cantSplit/>
        </w:trPr>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Rules and workflow maintained without release</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1253"/>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C7C46"/>
                <w:sz w:val="17"/>
              </w:rPr>
              <w:t>[Met]</w:t>
            </w:r>
          </w:p>
        </w:tc>
        <w:tc>
          <w:tcPr>
            <w:tcW w:type="dxa" w:w="4820"/>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Controls and checklists are versioned configuration, approved in-product</w:t>
            </w:r>
          </w:p>
        </w:tc>
      </w:tr>
      <w:tr>
        <w:trPr>
          <w:cantSplit/>
        </w:trPr>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Mobile sync &lt; 60 s</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A32A2A"/>
                <w:sz w:val="17"/>
              </w:rPr>
              <w:t>[Not met]</w:t>
            </w:r>
          </w:p>
        </w:tc>
        <w:tc>
          <w:tcPr>
            <w:tcW w:type="dxa" w:w="1253"/>
            <w:tcMar>
              <w:top w:w="80" w:type="dxa"/>
              <w:left w:w="110" w:type="dxa"/>
              <w:bottom w:w="80" w:type="dxa"/>
              <w:right w:w="110" w:type="dxa"/>
            </w:tcMar>
          </w:tcPr>
          <w:p>
            <w:pPr>
              <w:spacing w:after="0" w:line="269" w:lineRule="auto"/>
            </w:pPr>
            <w:r>
              <w:rPr>
                <w:rFonts w:ascii="Segoe UI" w:hAnsi="Segoe UI" w:cs="Segoe UI" w:eastAsia="Segoe UI"/>
                <w:b/>
                <w:color w:val="5B6B78"/>
                <w:sz w:val="17"/>
              </w:rPr>
              <w:t>[Roadmap]</w:t>
            </w:r>
          </w:p>
        </w:tc>
        <w:tc>
          <w:tcPr>
            <w:tcW w:type="dxa" w:w="4820"/>
            <w:tcMar>
              <w:top w:w="80" w:type="dxa"/>
              <w:left w:w="110" w:type="dxa"/>
              <w:bottom w:w="80" w:type="dxa"/>
              <w:right w:w="110" w:type="dxa"/>
            </w:tcMar>
          </w:tcPr>
          <w:p>
            <w:pPr>
              <w:spacing w:after="0" w:line="269" w:lineRule="auto"/>
            </w:pPr>
            <w:r>
              <w:rPr>
                <w:rFonts w:ascii="Segoe UI" w:hAnsi="Segoe UI" w:cs="Segoe UI" w:eastAsia="Segoe UI"/>
                <w:color w:val="12222F"/>
                <w:sz w:val="18"/>
              </w:rPr>
              <w:t>The UI is responsive; a native mobile client with offline sync is a roadmap item — see §14</w:t>
            </w:r>
          </w:p>
        </w:tc>
      </w:tr>
    </w:tbl>
    <w:p>
      <w:pPr>
        <w:spacing w:after="0" w:before="0"/>
      </w:pPr>
    </w:p>
    <w:p>
      <w:pPr>
        <w:pStyle w:val="Heading1"/>
        <w:keepNext/>
        <w:pBdr>
          <w:top w:val="single" w:sz="18" w:space="6" w:color="10385A"/>
        </w:pBdr>
        <w:spacing w:before="440"/>
      </w:pPr>
      <w:r>
        <w:rPr>
          <w:rFonts w:ascii="Segoe UI" w:hAnsi="Segoe UI" w:cs="Segoe UI" w:eastAsia="Segoe UI"/>
          <w:b/>
          <w:color w:val="E57200"/>
          <w:sz w:val="32"/>
        </w:rPr>
        <w:t>13</w:t>
      </w:r>
      <w:r>
        <w:rPr>
          <w:rFonts w:ascii="Segoe UI" w:hAnsi="Segoe UI" w:cs="Segoe UI" w:eastAsia="Segoe UI"/>
          <w:b/>
          <w:color w:val="E57200"/>
          <w:sz w:val="32"/>
        </w:rPr>
        <w:t xml:space="preserve"> </w:t>
      </w:r>
      <w:r>
        <w:rPr>
          <w:rFonts w:ascii="Segoe UI" w:hAnsi="Segoe UI" w:cs="Segoe UI" w:eastAsia="Segoe UI"/>
          <w:b/>
          <w:color w:val="10385A"/>
          <w:sz w:val="32"/>
        </w:rPr>
        <w:t>Technology stack and licensing</w:t>
      </w:r>
    </w:p>
    <w:p>
      <w:r>
        <w:rPr>
          <w:rFonts w:ascii="Segoe UI" w:hAnsi="Segoe UI" w:cs="Segoe UI" w:eastAsia="Segoe UI"/>
          <w:color w:val="12222F"/>
          <w:sz w:val="21"/>
        </w:rPr>
        <w:t xml:space="preserve">Every third-party component is permissive open source — MIT, BSD or Apache-2.0. No copyleft licence is used anywhere in the stack, and no component carries a per-seat or per-core runtime licence. This directly supports the MeitY </w:t>
      </w:r>
      <w:r>
        <w:rPr>
          <w:rFonts w:ascii="Segoe UI" w:hAnsi="Segoe UI" w:cs="Segoe UI" w:eastAsia="Segoe UI"/>
          <w:i/>
          <w:color w:val="12222F"/>
          <w:sz w:val="21"/>
        </w:rPr>
        <w:t>Open-Source Software Policy, 2014</w:t>
      </w:r>
      <w:r>
        <w:rPr>
          <w:rFonts w:ascii="Segoe UI" w:hAnsi="Segoe UI" w:cs="Segoe UI" w:eastAsia="Segoe UI"/>
          <w:color w:val="12222F"/>
          <w:sz w:val="21"/>
        </w:rPr>
        <w:t xml:space="preserve"> obligation in §5.2, and it means the Bank’s software cost for the platform itself is the Oracle licence it already provides under §5.3.</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1542"/>
        <w:gridCol w:w="1927"/>
        <w:gridCol w:w="867"/>
        <w:gridCol w:w="1156"/>
        <w:gridCol w:w="4147"/>
      </w:tblGrid>
      <w:tr>
        <w:trPr>
          <w:cantSplit/>
          <w:tblHeader w:val="true"/>
        </w:trPr>
        <w:tc>
          <w:tcPr>
            <w:tcW w:type="dxa" w:w="1542"/>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7"/>
              </w:rPr>
              <w:t>Layer</w:t>
            </w:r>
          </w:p>
        </w:tc>
        <w:tc>
          <w:tcPr>
            <w:tcW w:type="dxa" w:w="1927"/>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7"/>
              </w:rPr>
              <w:t>Component</w:t>
            </w:r>
          </w:p>
        </w:tc>
        <w:tc>
          <w:tcPr>
            <w:tcW w:type="dxa" w:w="867"/>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7"/>
              </w:rPr>
              <w:t>Version</w:t>
            </w:r>
          </w:p>
        </w:tc>
        <w:tc>
          <w:tcPr>
            <w:tcW w:type="dxa" w:w="1156"/>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7"/>
              </w:rPr>
              <w:t>Licence</w:t>
            </w:r>
          </w:p>
        </w:tc>
        <w:tc>
          <w:tcPr>
            <w:tcW w:type="dxa" w:w="4147"/>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7"/>
              </w:rPr>
              <w:t>Role</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Runtime</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Python</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3.13</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PSF</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Application runtime</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API</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FastAPI</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0.115</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HTTP layer, OpenAPI generation, dependency-injected role guards</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API</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Uvicorn</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0.30</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BSD</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ASGI server</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API</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Pydantic</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2.9</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Request and response validation</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Persistence</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SQLAlchemy</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2.0</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ORM and database abstraction — the layer that makes Oracle, PostgreSQL, SQL Server and MySQL interchangeable</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Persistence</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 xml:space="preserve">Oracle Database </w:t>
            </w:r>
            <w:r>
              <w:rPr>
                <w:rFonts w:ascii="Segoe UI" w:hAnsi="Segoe UI" w:cs="Segoe UI" w:eastAsia="Segoe UI"/>
                <w:b/>
                <w:color w:val="9A5B00"/>
                <w:sz w:val="16"/>
              </w:rPr>
              <w:t>[proposed]</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19c+</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Bank-provided</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System of record in production (§5.3)</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Persistence</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 xml:space="preserve">PostgreSQL </w:t>
            </w:r>
            <w:r>
              <w:rPr>
                <w:rFonts w:ascii="Segoe UI" w:hAnsi="Segoe UI" w:cs="Segoe UI" w:eastAsia="Segoe UI"/>
                <w:b/>
                <w:color w:val="9A5B00"/>
                <w:sz w:val="16"/>
              </w:rPr>
              <w:t>[alternative]</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15+</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PostgreSQL</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Supported alternative where the Bank prefers open source</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Analytics</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DuckDB</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1.5</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Embedded vectorised engine executing controls over snapshots</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Analytics</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Apache Arrow / Parquet</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21.0</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Apache-2.0</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Columnar evidence storage</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Analytics</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pandas / NumPy</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2.2 / 2.2</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BSD</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Ingestion-time coercion and feature engineering</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Machine learning</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XGBoost</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3.2</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Apache-2.0</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Exception triage classifier</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Machine learning</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scikit-learn</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1.7</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BSD</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Isolation forest, scaling, evaluation</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Machine learning</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SHAP</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0.51</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Per-prediction explanations</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AI</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On-premise LLM runtime</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Open source</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Local inference; model selected with the Bank</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Scheduling</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APScheduler</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3.11</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Cron-driven pulls and runs, with expression validation</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Reporting</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ReportLab / openpyxl</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4.2 / 3.1</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BSD / MIT</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PDF and Excel generation</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Security</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PyJWT / cryptography</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2.10 / 45.0</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MIT / Apache-2.0</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Token signing, hashing primitives</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Front end</w:t>
            </w:r>
          </w:p>
        </w:tc>
        <w:tc>
          <w:tcPr>
            <w:tcW w:type="dxa" w:w="192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Vanilla ES modules</w:t>
            </w:r>
          </w:p>
        </w:tc>
        <w:tc>
          <w:tcPr>
            <w:tcW w:type="dxa" w:w="86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w:t>
            </w:r>
          </w:p>
        </w:tc>
        <w:tc>
          <w:tcPr>
            <w:tcW w:type="dxa" w:w="1156"/>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w:t>
            </w:r>
          </w:p>
        </w:tc>
        <w:tc>
          <w:tcPr>
            <w:tcW w:type="dxa" w:w="4147"/>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7"/>
              </w:rPr>
              <w:t>No framework and no build step — nothing to patch for framework CVEs, and the deployed asset is the reviewed source</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color w:val="12222F"/>
                <w:sz w:val="17"/>
              </w:rPr>
              <w:t>Quality</w:t>
            </w:r>
          </w:p>
        </w:tc>
        <w:tc>
          <w:tcPr>
            <w:tcW w:type="dxa" w:w="1927"/>
            <w:tcMar>
              <w:top w:w="80" w:type="dxa"/>
              <w:left w:w="110" w:type="dxa"/>
              <w:bottom w:w="80" w:type="dxa"/>
              <w:right w:w="110" w:type="dxa"/>
            </w:tcMar>
          </w:tcPr>
          <w:p>
            <w:pPr>
              <w:spacing w:after="0" w:line="269" w:lineRule="auto"/>
            </w:pPr>
            <w:r>
              <w:rPr>
                <w:rFonts w:ascii="Segoe UI" w:hAnsi="Segoe UI" w:cs="Segoe UI" w:eastAsia="Segoe UI"/>
                <w:color w:val="12222F"/>
                <w:sz w:val="17"/>
              </w:rPr>
              <w:t>pytest</w:t>
            </w:r>
          </w:p>
        </w:tc>
        <w:tc>
          <w:tcPr>
            <w:tcW w:type="dxa" w:w="867"/>
            <w:tcMar>
              <w:top w:w="80" w:type="dxa"/>
              <w:left w:w="110" w:type="dxa"/>
              <w:bottom w:w="80" w:type="dxa"/>
              <w:right w:w="110" w:type="dxa"/>
            </w:tcMar>
          </w:tcPr>
          <w:p>
            <w:pPr>
              <w:spacing w:after="0" w:line="269" w:lineRule="auto"/>
            </w:pPr>
            <w:r>
              <w:rPr>
                <w:rFonts w:ascii="Segoe UI" w:hAnsi="Segoe UI" w:cs="Segoe UI" w:eastAsia="Segoe UI"/>
                <w:color w:val="12222F"/>
                <w:sz w:val="17"/>
              </w:rPr>
              <w:t>8.4</w:t>
            </w:r>
          </w:p>
        </w:tc>
        <w:tc>
          <w:tcPr>
            <w:tcW w:type="dxa" w:w="1156"/>
            <w:tcMar>
              <w:top w:w="80" w:type="dxa"/>
              <w:left w:w="110" w:type="dxa"/>
              <w:bottom w:w="80" w:type="dxa"/>
              <w:right w:w="110" w:type="dxa"/>
            </w:tcMar>
          </w:tcPr>
          <w:p>
            <w:pPr>
              <w:spacing w:after="0" w:line="269" w:lineRule="auto"/>
            </w:pPr>
            <w:r>
              <w:rPr>
                <w:rFonts w:ascii="Segoe UI" w:hAnsi="Segoe UI" w:cs="Segoe UI" w:eastAsia="Segoe UI"/>
                <w:color w:val="12222F"/>
                <w:sz w:val="17"/>
              </w:rPr>
              <w:t>MIT</w:t>
            </w:r>
          </w:p>
        </w:tc>
        <w:tc>
          <w:tcPr>
            <w:tcW w:type="dxa" w:w="4147"/>
            <w:tcMar>
              <w:top w:w="80" w:type="dxa"/>
              <w:left w:w="110" w:type="dxa"/>
              <w:bottom w:w="80" w:type="dxa"/>
              <w:right w:w="110" w:type="dxa"/>
            </w:tcMar>
          </w:tcPr>
          <w:p>
            <w:pPr>
              <w:spacing w:after="0" w:line="269" w:lineRule="auto"/>
            </w:pPr>
            <w:r>
              <w:rPr>
                <w:rFonts w:ascii="Segoe UI" w:hAnsi="Segoe UI" w:cs="Segoe UI" w:eastAsia="Segoe UI"/>
                <w:color w:val="12222F"/>
                <w:sz w:val="17"/>
              </w:rPr>
              <w:t>649 automated tests plus 126 end-to-end HTTP checks</w:t>
            </w:r>
          </w:p>
        </w:tc>
      </w:tr>
    </w:tbl>
    <w:p>
      <w:pPr>
        <w:spacing w:after="0" w:before="0"/>
      </w:pPr>
    </w:p>
    <w:tbl>
      <w:tblPr>
        <w:tblW w:w="963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639"/>
      </w:tblGrid>
      <w:tr>
        <w:trPr>
          <w:cantSplit/>
        </w:trPr>
        <w:tc>
          <w:tcPr>
            <w:tcW w:type="dxa" w:w="9639"/>
            <w:tcBorders>
              <w:top w:val="single" w:sz="4" w:space="0" w:color="D8E0E6"/>
              <w:left w:val="single" w:sz="24" w:space="0" w:color="5998C5"/>
              <w:bottom w:val="single" w:sz="4" w:space="0" w:color="D8E0E6"/>
              <w:right w:val="single" w:sz="4" w:space="0" w:color="D8E0E6"/>
            </w:tcBorders>
            <w:shd w:val="clear" w:color="auto" w:fill="F6F9FB"/>
            <w:tcMar>
              <w:top w:w="150" w:type="dxa"/>
              <w:left w:w="200" w:type="dxa"/>
              <w:bottom w:w="150" w:type="dxa"/>
              <w:right w:w="200" w:type="dxa"/>
            </w:tcMar>
          </w:tcPr>
          <w:p>
            <w:pPr>
              <w:keepNext/>
              <w:spacing w:after="80"/>
            </w:pPr>
            <w:r>
              <w:rPr>
                <w:rFonts w:ascii="Segoe UI" w:hAnsi="Segoe UI" w:cs="Segoe UI" w:eastAsia="Segoe UI"/>
                <w:b/>
                <w:caps/>
                <w:color w:val="5B6B78"/>
                <w:spacing w:val="24"/>
                <w:sz w:val="17"/>
              </w:rPr>
              <w:t>Why no front-end framework</w:t>
            </w:r>
          </w:p>
          <w:p>
            <w:pPr>
              <w:spacing w:after="0" w:line="278" w:lineRule="auto"/>
            </w:pPr>
            <w:r>
              <w:rPr>
                <w:rFonts w:ascii="Segoe UI" w:hAnsi="Segoe UI" w:cs="Segoe UI" w:eastAsia="Segoe UI"/>
                <w:color w:val="12222F"/>
                <w:sz w:val="20"/>
              </w:rPr>
              <w:t>This is a deliberate architectural choice with a security consequence the Bank’s application-security team will recognise: there is no build pipeline, no transitive npm dependency tree, and no gap between the code that was reviewed and the code that is served. Front-end supply-chain risk is removed rather than managed.</w:t>
            </w:r>
          </w:p>
        </w:tc>
      </w:tr>
    </w:tbl>
    <w:p>
      <w:pPr>
        <w:spacing w:after="0" w:before="0"/>
      </w:pPr>
    </w:p>
    <w:p>
      <w:pPr>
        <w:pStyle w:val="Heading1"/>
        <w:keepNext/>
        <w:pBdr>
          <w:top w:val="single" w:sz="18" w:space="6" w:color="10385A"/>
        </w:pBdr>
        <w:spacing w:before="440"/>
      </w:pPr>
      <w:r>
        <w:rPr>
          <w:rFonts w:ascii="Segoe UI" w:hAnsi="Segoe UI" w:cs="Segoe UI" w:eastAsia="Segoe UI"/>
          <w:b/>
          <w:color w:val="E57200"/>
          <w:sz w:val="32"/>
        </w:rPr>
        <w:t>14</w:t>
      </w:r>
      <w:r>
        <w:rPr>
          <w:rFonts w:ascii="Segoe UI" w:hAnsi="Segoe UI" w:cs="Segoe UI" w:eastAsia="Segoe UI"/>
          <w:b/>
          <w:color w:val="E57200"/>
          <w:sz w:val="32"/>
        </w:rPr>
        <w:t xml:space="preserve"> </w:t>
      </w:r>
      <w:r>
        <w:rPr>
          <w:rFonts w:ascii="Segoe UI" w:hAnsi="Segoe UI" w:cs="Segoe UI" w:eastAsia="Segoe UI"/>
          <w:b/>
          <w:color w:val="10385A"/>
          <w:sz w:val="32"/>
        </w:rPr>
        <w:t>Product roadmap</w:t>
      </w:r>
    </w:p>
    <w:p>
      <w:r>
        <w:rPr>
          <w:rFonts w:ascii="Segoe UI" w:hAnsi="Segoe UI" w:cs="Segoe UI" w:eastAsia="Segoe UI"/>
          <w:color w:val="12222F"/>
          <w:sz w:val="21"/>
        </w:rPr>
        <w:t>§6 pairs the roadmap with the architecture in a single evaluation point, so the two are presented together. Phases are sequenced by dependency, not by preference: hardening precedes scale, and scale precedes the capabilities that assume it.</w:t>
      </w:r>
    </w:p>
    <w:tbl>
      <w:tblPr>
        <w:tblW w:w="9639" w:type="dxa"/>
        <w:jc w:val="left"/>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Layout w:type="fixed"/>
        <w:tblLook w:firstColumn="1" w:firstRow="1" w:lastColumn="0" w:lastRow="0" w:noHBand="0" w:noVBand="1" w:val="04A0"/>
      </w:tblPr>
      <w:tblGrid>
        <w:gridCol w:w="1542"/>
        <w:gridCol w:w="2313"/>
        <w:gridCol w:w="5784"/>
      </w:tblGrid>
      <w:tr>
        <w:trPr>
          <w:cantSplit/>
          <w:tblHeader w:val="true"/>
        </w:trPr>
        <w:tc>
          <w:tcPr>
            <w:tcW w:type="dxa" w:w="1542"/>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Phase</w:t>
            </w:r>
          </w:p>
        </w:tc>
        <w:tc>
          <w:tcPr>
            <w:tcW w:type="dxa" w:w="2313"/>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Theme</w:t>
            </w:r>
          </w:p>
        </w:tc>
        <w:tc>
          <w:tcPr>
            <w:tcW w:type="dxa" w:w="5784"/>
            <w:shd w:val="clear" w:color="auto" w:fill="10385A"/>
            <w:tcMar>
              <w:top w:w="90" w:type="dxa"/>
              <w:left w:w="110" w:type="dxa"/>
              <w:bottom w:w="90" w:type="dxa"/>
              <w:right w:w="110" w:type="dxa"/>
            </w:tcMar>
          </w:tcPr>
          <w:p>
            <w:pPr>
              <w:keepNext/>
              <w:spacing w:after="0" w:line="259" w:lineRule="auto"/>
            </w:pPr>
            <w:r>
              <w:rPr>
                <w:rFonts w:ascii="Segoe UI" w:hAnsi="Segoe UI" w:cs="Segoe UI" w:eastAsia="Segoe UI"/>
                <w:b/>
                <w:color w:val="FFFFFF"/>
                <w:sz w:val="18"/>
              </w:rPr>
              <w:t>Delivered</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b/>
                <w:color w:val="12222F"/>
                <w:sz w:val="18"/>
              </w:rPr>
              <w:t>Phase 0</w:t>
            </w:r>
            <w:r>
              <w:br/>
            </w:r>
            <w:r>
              <w:rPr>
                <w:rFonts w:ascii="Segoe UI" w:hAnsi="Segoe UI" w:cs="Segoe UI" w:eastAsia="Segoe UI"/>
                <w:color w:val="12222F"/>
                <w:sz w:val="18"/>
              </w:rPr>
              <w:t>Available now</w:t>
            </w:r>
          </w:p>
        </w:tc>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Reference platform</w:t>
            </w:r>
          </w:p>
        </w:tc>
        <w:tc>
          <w:tcPr>
            <w:tcW w:type="dxa" w:w="5784"/>
            <w:tcMar>
              <w:top w:w="80" w:type="dxa"/>
              <w:left w:w="110" w:type="dxa"/>
              <w:bottom w:w="80" w:type="dxa"/>
              <w:right w:w="110" w:type="dxa"/>
            </w:tcMar>
          </w:tcPr>
          <w:p>
            <w:pPr>
              <w:spacing w:after="0" w:line="269" w:lineRule="auto"/>
            </w:pPr>
            <w:r>
              <w:rPr>
                <w:rFonts w:ascii="Segoe UI" w:hAnsi="Segoe UI" w:cs="Segoe UI" w:eastAsia="Segoe UI"/>
                <w:color w:val="12222F"/>
                <w:sz w:val="18"/>
              </w:rPr>
              <w:t>Nine functional surfaces on a shared core; 78 controls across three packs; canonical model and four connectors; immutable evidence with reproducible runs; exception register with triage; statistical sampling; workpapers; audit lifecycle with enforced maker-checker; policy assistant; ML triage and anomaly detection with a governed model registry. Demonstrable in the prototype the RFI requests.</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2222F"/>
                <w:sz w:val="18"/>
              </w:rPr>
              <w:t>Phase 1</w:t>
            </w:r>
            <w:r>
              <w:br/>
            </w:r>
            <w:r>
              <w:rPr>
                <w:rFonts w:ascii="Segoe UI" w:hAnsi="Segoe UI" w:cs="Segoe UI" w:eastAsia="Segoe UI"/>
                <w:color w:val="12222F"/>
                <w:sz w:val="18"/>
              </w:rPr>
              <w:t>Enterprise readiness</w:t>
            </w:r>
          </w:p>
        </w:tc>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Security, identity and operations</w:t>
            </w:r>
          </w:p>
        </w:tc>
        <w:tc>
          <w:tcPr>
            <w:tcW w:type="dxa" w:w="5784"/>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AD/SSO with group-to-role mapping and MFA through the Bank’s IdP; TLS and encryption at rest; source IP, hostname and interface capture in the ledger; SIEM forwarding with chain-head publication; retention and WORM archival policy; user dormancy; independent VAPT and source-code review with remediation.</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b/>
                <w:color w:val="12222F"/>
                <w:sz w:val="18"/>
              </w:rPr>
              <w:t>Phase 2</w:t>
            </w:r>
            <w:r>
              <w:br/>
            </w:r>
            <w:r>
              <w:rPr>
                <w:rFonts w:ascii="Segoe UI" w:hAnsi="Segoe UI" w:cs="Segoe UI" w:eastAsia="Segoe UI"/>
                <w:color w:val="12222F"/>
                <w:sz w:val="18"/>
              </w:rPr>
              <w:t>Scale and resilience</w:t>
            </w:r>
          </w:p>
        </w:tc>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Production topology</w:t>
            </w:r>
          </w:p>
        </w:tc>
        <w:tc>
          <w:tcPr>
            <w:tcW w:type="dxa" w:w="5784"/>
            <w:tcMar>
              <w:top w:w="80" w:type="dxa"/>
              <w:left w:w="110" w:type="dxa"/>
              <w:bottom w:w="80" w:type="dxa"/>
              <w:right w:w="110" w:type="dxa"/>
            </w:tcMar>
          </w:tcPr>
          <w:p>
            <w:pPr>
              <w:spacing w:after="0" w:line="269" w:lineRule="auto"/>
            </w:pPr>
            <w:r>
              <w:rPr>
                <w:rFonts w:ascii="Segoe UI" w:hAnsi="Segoe UI" w:cs="Segoe UI" w:eastAsia="Segoe UI"/>
                <w:color w:val="12222F"/>
                <w:sz w:val="18"/>
              </w:rPr>
              <w:t>Migration to Oracle with object-storage snapshots; multi-node application tier behind the Bank’s load balancer; DC/DR with synchronous replication and warm standby; performance testing to 5,000+ concurrent users with certification; monitoring and API performance dashboards; incident and change management integration.</w:t>
            </w:r>
          </w:p>
        </w:tc>
      </w:tr>
      <w:tr>
        <w:trPr>
          <w:cantSplit/>
        </w:trPr>
        <w:tc>
          <w:tcPr>
            <w:tcW w:type="dxa" w:w="1542"/>
            <w:shd w:val="clear" w:color="auto" w:fill="F5F8FA"/>
            <w:tcMar>
              <w:top w:w="80" w:type="dxa"/>
              <w:left w:w="110" w:type="dxa"/>
              <w:bottom w:w="80" w:type="dxa"/>
              <w:right w:w="110" w:type="dxa"/>
            </w:tcMar>
          </w:tcPr>
          <w:p>
            <w:pPr>
              <w:spacing w:after="0" w:line="269" w:lineRule="auto"/>
            </w:pPr>
            <w:r>
              <w:rPr>
                <w:rFonts w:ascii="Segoe UI" w:hAnsi="Segoe UI" w:cs="Segoe UI" w:eastAsia="Segoe UI"/>
                <w:b/>
                <w:color w:val="12222F"/>
                <w:sz w:val="18"/>
              </w:rPr>
              <w:t>Phase 3</w:t>
            </w:r>
            <w:r>
              <w:br/>
            </w:r>
            <w:r>
              <w:rPr>
                <w:rFonts w:ascii="Segoe UI" w:hAnsi="Segoe UI" w:cs="Segoe UI" w:eastAsia="Segoe UI"/>
                <w:color w:val="12222F"/>
                <w:sz w:val="18"/>
              </w:rPr>
              <w:t>Functional depth</w:t>
            </w:r>
          </w:p>
        </w:tc>
        <w:tc>
          <w:tcPr>
            <w:tcW w:type="dxa" w:w="2313"/>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Completing the nine initiatives</w:t>
            </w:r>
          </w:p>
        </w:tc>
        <w:tc>
          <w:tcPr>
            <w:tcW w:type="dxa" w:w="5784"/>
            <w:shd w:val="clear" w:color="auto" w:fill="F5F8FA"/>
            <w:tcMar>
              <w:top w:w="80" w:type="dxa"/>
              <w:left w:w="110" w:type="dxa"/>
              <w:bottom w:w="80" w:type="dxa"/>
              <w:right w:w="110" w:type="dxa"/>
            </w:tcMar>
          </w:tcPr>
          <w:p>
            <w:pPr>
              <w:spacing w:after="0" w:line="269" w:lineRule="auto"/>
            </w:pPr>
            <w:r>
              <w:rPr>
                <w:rFonts w:ascii="Segoe UI" w:hAnsi="Segoe UI" w:cs="Segoe UI" w:eastAsia="Segoe UI"/>
                <w:color w:val="12222F"/>
                <w:sz w:val="18"/>
              </w:rPr>
              <w:t>OCR and document-screening for KYC with extracted-versus-system comparison; alerting and response orchestration for CCM; intelligent exception grouping and root-cause suggestion; automated checklist triggering; entity clustering and segmentation; predictive risk dashboards; the remaining agentic capabilities — autonomous multi-step execution, dynamic scope adjustment and follow-on test triggering, each behind the same human approval gate.</w:t>
            </w:r>
          </w:p>
        </w:tc>
      </w:tr>
      <w:tr>
        <w:trPr>
          <w:cantSplit/>
        </w:trPr>
        <w:tc>
          <w:tcPr>
            <w:tcW w:type="dxa" w:w="1542"/>
            <w:tcMar>
              <w:top w:w="80" w:type="dxa"/>
              <w:left w:w="110" w:type="dxa"/>
              <w:bottom w:w="80" w:type="dxa"/>
              <w:right w:w="110" w:type="dxa"/>
            </w:tcMar>
          </w:tcPr>
          <w:p>
            <w:pPr>
              <w:spacing w:after="0" w:line="269" w:lineRule="auto"/>
            </w:pPr>
            <w:r>
              <w:rPr>
                <w:rFonts w:ascii="Segoe UI" w:hAnsi="Segoe UI" w:cs="Segoe UI" w:eastAsia="Segoe UI"/>
                <w:b/>
                <w:color w:val="12222F"/>
                <w:sz w:val="18"/>
              </w:rPr>
              <w:t>Phase 4</w:t>
            </w:r>
            <w:r>
              <w:br/>
            </w:r>
            <w:r>
              <w:rPr>
                <w:rFonts w:ascii="Segoe UI" w:hAnsi="Segoe UI" w:cs="Segoe UI" w:eastAsia="Segoe UI"/>
                <w:color w:val="12222F"/>
                <w:sz w:val="18"/>
              </w:rPr>
              <w:t>Continuous assurance</w:t>
            </w:r>
          </w:p>
        </w:tc>
        <w:tc>
          <w:tcPr>
            <w:tcW w:type="dxa" w:w="2313"/>
            <w:tcMar>
              <w:top w:w="80" w:type="dxa"/>
              <w:left w:w="110" w:type="dxa"/>
              <w:bottom w:w="80" w:type="dxa"/>
              <w:right w:w="110" w:type="dxa"/>
            </w:tcMar>
          </w:tcPr>
          <w:p>
            <w:pPr>
              <w:spacing w:after="0" w:line="269" w:lineRule="auto"/>
            </w:pPr>
            <w:r>
              <w:rPr>
                <w:rFonts w:ascii="Segoe UI" w:hAnsi="Segoe UI" w:cs="Segoe UI" w:eastAsia="Segoe UI"/>
                <w:color w:val="12222F"/>
                <w:sz w:val="18"/>
              </w:rPr>
              <w:t>Model operations and mobility</w:t>
            </w:r>
          </w:p>
        </w:tc>
        <w:tc>
          <w:tcPr>
            <w:tcW w:type="dxa" w:w="5784"/>
            <w:tcMar>
              <w:top w:w="80" w:type="dxa"/>
              <w:left w:w="110" w:type="dxa"/>
              <w:bottom w:w="80" w:type="dxa"/>
              <w:right w:w="110" w:type="dxa"/>
            </w:tcMar>
          </w:tcPr>
          <w:p>
            <w:pPr>
              <w:spacing w:after="0" w:line="269" w:lineRule="auto"/>
            </w:pPr>
            <w:r>
              <w:rPr>
                <w:rFonts w:ascii="Segoe UI" w:hAnsi="Segoe UI" w:cs="Segoe UI" w:eastAsia="Segoe UI"/>
                <w:color w:val="12222F"/>
                <w:sz w:val="18"/>
              </w:rPr>
              <w:t>Drift, bias and accuracy monitoring with controlled re-training proposals; native mobile client with offline capture and sub-60-second synchronisation; expanded control library co-developed with the Bank’s audit teams.</w:t>
            </w:r>
          </w:p>
        </w:tc>
      </w:tr>
    </w:tbl>
    <w:p>
      <w:pPr>
        <w:spacing w:after="0" w:before="0"/>
      </w:pPr>
    </w:p>
    <w:tbl>
      <w:tblPr>
        <w:tblW w:w="963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639"/>
      </w:tblGrid>
      <w:tr>
        <w:trPr>
          <w:cantSplit/>
        </w:trPr>
        <w:tc>
          <w:tcPr>
            <w:tcW w:type="dxa" w:w="9639"/>
            <w:tcBorders>
              <w:top w:val="single" w:sz="4" w:space="0" w:color="D8E0E6"/>
              <w:left w:val="single" w:sz="24" w:space="0" w:color="9A5B00"/>
              <w:bottom w:val="single" w:sz="4" w:space="0" w:color="D8E0E6"/>
              <w:right w:val="single" w:sz="4" w:space="0" w:color="D8E0E6"/>
            </w:tcBorders>
            <w:shd w:val="clear" w:color="auto" w:fill="FDF1E0"/>
            <w:tcMar>
              <w:top w:w="150" w:type="dxa"/>
              <w:left w:w="200" w:type="dxa"/>
              <w:bottom w:w="150" w:type="dxa"/>
              <w:right w:w="200" w:type="dxa"/>
            </w:tcMar>
          </w:tcPr>
          <w:p>
            <w:pPr>
              <w:keepNext/>
              <w:spacing w:after="80"/>
            </w:pPr>
            <w:r>
              <w:rPr>
                <w:rFonts w:ascii="Segoe UI" w:hAnsi="Segoe UI" w:cs="Segoe UI" w:eastAsia="Segoe UI"/>
                <w:b/>
                <w:caps/>
                <w:color w:val="5B6B78"/>
                <w:spacing w:val="24"/>
                <w:sz w:val="17"/>
              </w:rPr>
              <w:t>Stated plainly</w:t>
            </w:r>
          </w:p>
          <w:p>
            <w:pPr>
              <w:spacing w:after="0" w:line="278" w:lineRule="auto"/>
            </w:pPr>
            <w:r>
              <w:rPr>
                <w:rFonts w:ascii="Segoe UI" w:hAnsi="Segoe UI" w:cs="Segoe UI" w:eastAsia="Segoe UI"/>
                <w:color w:val="12222F"/>
                <w:sz w:val="20"/>
              </w:rPr>
              <w:t>The functional matrix records 170 of 228 requirements as delivered today. The remaining 58 sit in Phases 1 to 4 above, and the largest concentration is in the Agentic AI initiative, where roughly half the requirements are implemented. We would rather the Bank evaluate that figure knowing exactly what it counts than discover it during implementation.</w:t>
            </w:r>
          </w:p>
        </w:tc>
      </w:tr>
    </w:tbl>
    <w:p>
      <w:pPr>
        <w:spacing w:after="0" w:before="0"/>
      </w:pPr>
    </w:p>
    <w:p>
      <w:pPr>
        <w:pStyle w:val="Heading1"/>
        <w:keepNext/>
        <w:pBdr>
          <w:top w:val="single" w:sz="18" w:space="6" w:color="10385A"/>
        </w:pBdr>
        <w:spacing w:before="440"/>
      </w:pPr>
      <w:r>
        <w:rPr>
          <w:rFonts w:ascii="Segoe UI" w:hAnsi="Segoe UI" w:cs="Segoe UI" w:eastAsia="Segoe UI"/>
          <w:b/>
          <w:color w:val="E57200"/>
          <w:sz w:val="32"/>
        </w:rPr>
        <w:t>15</w:t>
      </w:r>
      <w:r>
        <w:rPr>
          <w:rFonts w:ascii="Segoe UI" w:hAnsi="Segoe UI" w:cs="Segoe UI" w:eastAsia="Segoe UI"/>
          <w:b/>
          <w:color w:val="E57200"/>
          <w:sz w:val="32"/>
        </w:rPr>
        <w:t xml:space="preserve"> </w:t>
      </w:r>
      <w:r>
        <w:rPr>
          <w:rFonts w:ascii="Segoe UI" w:hAnsi="Segoe UI" w:cs="Segoe UI" w:eastAsia="Segoe UI"/>
          <w:b/>
          <w:color w:val="10385A"/>
          <w:sz w:val="32"/>
        </w:rPr>
        <w:t>Assumptions and prerequisites</w:t>
      </w:r>
    </w:p>
    <w:p>
      <w:pPr>
        <w:pStyle w:val="Heading2"/>
        <w:keepNext/>
      </w:pPr>
      <w:r>
        <w:rPr>
          <w:rFonts w:ascii="Segoe UI" w:hAnsi="Segoe UI" w:cs="Segoe UI" w:eastAsia="Segoe UI"/>
          <w:b/>
          <w:color w:val="10385A"/>
          <w:sz w:val="25"/>
        </w:rPr>
        <w:t>Prerequisites from YES BANK (§6, point 9)</w:t>
      </w:r>
    </w:p>
    <w:p>
      <w:pPr>
        <w:pStyle w:val="ListBullet"/>
        <w:spacing w:after="80"/>
        <w:ind w:left="425"/>
      </w:pPr>
      <w:r>
        <w:rPr>
          <w:rFonts w:ascii="Segoe UI" w:hAnsi="Segoe UI" w:cs="Segoe UI" w:eastAsia="Segoe UI"/>
          <w:color w:val="12222F"/>
          <w:sz w:val="21"/>
        </w:rPr>
        <w:t>Hardware, operating system and Oracle Database licences per §5.3, sized to the BOQ submitted with the commercial response.</w:t>
      </w:r>
    </w:p>
    <w:p>
      <w:pPr>
        <w:pStyle w:val="ListBullet"/>
        <w:spacing w:after="80"/>
        <w:ind w:left="425"/>
      </w:pPr>
      <w:r>
        <w:rPr>
          <w:rFonts w:ascii="Segoe UI" w:hAnsi="Segoe UI" w:cs="Segoe UI" w:eastAsia="Segoe UI"/>
          <w:color w:val="12222F"/>
          <w:sz w:val="21"/>
        </w:rPr>
        <w:t>Network connectivity from the application zone to each in-scope source system, and a landing zone where SFTP or file collection is the agreed route.</w:t>
      </w:r>
    </w:p>
    <w:p>
      <w:pPr>
        <w:pStyle w:val="ListBullet"/>
        <w:spacing w:after="80"/>
        <w:ind w:left="425"/>
      </w:pPr>
      <w:r>
        <w:rPr>
          <w:rFonts w:ascii="Segoe UI" w:hAnsi="Segoe UI" w:cs="Segoe UI" w:eastAsia="Segoe UI"/>
          <w:color w:val="12222F"/>
          <w:sz w:val="21"/>
        </w:rPr>
        <w:t>Data dictionaries and sample extracts for each source, to complete the physical-to-canonical mapping.</w:t>
      </w:r>
    </w:p>
    <w:p>
      <w:pPr>
        <w:pStyle w:val="ListBullet"/>
        <w:spacing w:after="80"/>
        <w:ind w:left="425"/>
      </w:pPr>
      <w:r>
        <w:rPr>
          <w:rFonts w:ascii="Segoe UI" w:hAnsi="Segoe UI" w:cs="Segoe UI" w:eastAsia="Segoe UI"/>
          <w:color w:val="12222F"/>
          <w:sz w:val="21"/>
        </w:rPr>
        <w:t>Identity provider integration details for AD/SSO, and the group-to-role mapping the Bank wishes to apply.</w:t>
      </w:r>
    </w:p>
    <w:p>
      <w:pPr>
        <w:pStyle w:val="ListBullet"/>
        <w:spacing w:after="80"/>
        <w:ind w:left="425"/>
      </w:pPr>
      <w:r>
        <w:rPr>
          <w:rFonts w:ascii="Segoe UI" w:hAnsi="Segoe UI" w:cs="Segoe UI" w:eastAsia="Segoe UI"/>
          <w:color w:val="12222F"/>
          <w:sz w:val="21"/>
        </w:rPr>
        <w:t>Load balancer, WAF, SIEM and DAM integration endpoints and the applicable configuration standards.</w:t>
      </w:r>
    </w:p>
    <w:p>
      <w:pPr>
        <w:pStyle w:val="ListBullet"/>
        <w:spacing w:after="80"/>
        <w:ind w:left="425"/>
      </w:pPr>
      <w:r>
        <w:rPr>
          <w:rFonts w:ascii="Segoe UI" w:hAnsi="Segoe UI" w:cs="Segoe UI" w:eastAsia="Segoe UI"/>
          <w:color w:val="12222F"/>
          <w:sz w:val="21"/>
        </w:rPr>
        <w:t>The Bank’s IT and IS security policies, encryption standards and password policy, referenced in §5.1 as shared with the selected bidder.</w:t>
      </w:r>
    </w:p>
    <w:p>
      <w:pPr>
        <w:pStyle w:val="ListBullet"/>
        <w:spacing w:after="80"/>
        <w:ind w:left="425"/>
      </w:pPr>
      <w:r>
        <w:rPr>
          <w:rFonts w:ascii="Segoe UI" w:hAnsi="Segoe UI" w:cs="Segoe UI" w:eastAsia="Segoe UI"/>
          <w:color w:val="12222F"/>
          <w:sz w:val="21"/>
        </w:rPr>
        <w:t>Nominated business owners per initiative for control-library sign-off, and UAT participants.</w:t>
      </w:r>
    </w:p>
    <w:p>
      <w:pPr>
        <w:pStyle w:val="ListBullet"/>
        <w:spacing w:after="80"/>
        <w:ind w:left="425"/>
      </w:pPr>
      <w:r>
        <w:rPr>
          <w:rFonts w:ascii="Segoe UI" w:hAnsi="Segoe UI" w:cs="Segoe UI" w:eastAsia="Segoe UI"/>
          <w:color w:val="12222F"/>
          <w:sz w:val="21"/>
        </w:rPr>
        <w:t>DC and DR facilities with the network capacity to support synchronous database replication.</w:t>
      </w:r>
    </w:p>
    <w:p>
      <w:pPr>
        <w:pStyle w:val="Heading2"/>
        <w:keepNext/>
      </w:pPr>
      <w:r>
        <w:rPr>
          <w:rFonts w:ascii="Segoe UI" w:hAnsi="Segoe UI" w:cs="Segoe UI" w:eastAsia="Segoe UI"/>
          <w:b/>
          <w:color w:val="10385A"/>
          <w:sz w:val="25"/>
        </w:rPr>
        <w:t>Assumptions</w:t>
      </w:r>
    </w:p>
    <w:p>
      <w:pPr>
        <w:pStyle w:val="ListBullet"/>
        <w:spacing w:after="80"/>
        <w:ind w:left="425"/>
      </w:pPr>
      <w:r>
        <w:rPr>
          <w:rFonts w:ascii="Segoe UI" w:hAnsi="Segoe UI" w:cs="Segoe UI" w:eastAsia="Segoe UI"/>
          <w:color w:val="12222F"/>
          <w:sz w:val="21"/>
        </w:rPr>
        <w:t>Source systems are read-only from the platform’s perspective; no write-back is in scope.</w:t>
      </w:r>
    </w:p>
    <w:p>
      <w:pPr>
        <w:pStyle w:val="ListBullet"/>
        <w:spacing w:after="80"/>
        <w:ind w:left="425"/>
      </w:pPr>
      <w:r>
        <w:rPr>
          <w:rFonts w:ascii="Segoe UI" w:hAnsi="Segoe UI" w:cs="Segoe UI" w:eastAsia="Segoe UI"/>
          <w:color w:val="12222F"/>
          <w:sz w:val="21"/>
        </w:rPr>
        <w:t>The Data Warehouse is the primary integration route where a required entity is available there, with direct source connectivity used by exception.</w:t>
      </w:r>
    </w:p>
    <w:p>
      <w:pPr>
        <w:pStyle w:val="ListBullet"/>
        <w:spacing w:after="80"/>
        <w:ind w:left="425"/>
      </w:pPr>
      <w:r>
        <w:rPr>
          <w:rFonts w:ascii="Segoe UI" w:hAnsi="Segoe UI" w:cs="Segoe UI" w:eastAsia="Segoe UI"/>
          <w:color w:val="12222F"/>
          <w:sz w:val="21"/>
        </w:rPr>
        <w:t>Control logic is the Bank’s to own and amend; Protiviti provides the initial library and the authoring capability.</w:t>
      </w:r>
    </w:p>
    <w:p>
      <w:pPr>
        <w:pStyle w:val="ListBullet"/>
        <w:spacing w:after="80"/>
        <w:ind w:left="425"/>
      </w:pPr>
      <w:r>
        <w:rPr>
          <w:rFonts w:ascii="Segoe UI" w:hAnsi="Segoe UI" w:cs="Segoe UI" w:eastAsia="Segoe UI"/>
          <w:color w:val="12222F"/>
          <w:sz w:val="21"/>
        </w:rPr>
        <w:t>Language model selection and hosting are agreed jointly, and inference remains within the Bank’s boundary in all cases.</w:t>
      </w:r>
    </w:p>
    <w:p>
      <w:pPr>
        <w:pStyle w:val="ListBullet"/>
        <w:spacing w:after="80"/>
        <w:ind w:left="425"/>
      </w:pPr>
      <w:r>
        <w:rPr>
          <w:rFonts w:ascii="Segoe UI" w:hAnsi="Segoe UI" w:cs="Segoe UI" w:eastAsia="Segoe UI"/>
          <w:color w:val="12222F"/>
          <w:sz w:val="21"/>
        </w:rPr>
        <w:t>Availability figures are for the application; the end-to-end figure depends on the Bank’s infrastructure and network SLAs.</w:t>
      </w:r>
    </w:p>
    <w:p>
      <w:pPr>
        <w:pStyle w:val="Heading2"/>
        <w:keepNext/>
      </w:pPr>
      <w:r>
        <w:rPr>
          <w:rFonts w:ascii="Segoe UI" w:hAnsi="Segoe UI" w:cs="Segoe UI" w:eastAsia="Segoe UI"/>
          <w:b/>
          <w:color w:val="10385A"/>
          <w:sz w:val="25"/>
        </w:rPr>
        <w:t>Exclusions</w:t>
      </w:r>
    </w:p>
    <w:p>
      <w:pPr>
        <w:pStyle w:val="ListBullet"/>
        <w:spacing w:after="80"/>
        <w:ind w:left="425"/>
      </w:pPr>
      <w:r>
        <w:rPr>
          <w:rFonts w:ascii="Segoe UI" w:hAnsi="Segoe UI" w:cs="Segoe UI" w:eastAsia="Segoe UI"/>
          <w:color w:val="12222F"/>
          <w:sz w:val="21"/>
        </w:rPr>
        <w:t>Provision of hardware, operating system and Oracle licences (§5.3 places these with the Bank).</w:t>
      </w:r>
    </w:p>
    <w:p>
      <w:pPr>
        <w:pStyle w:val="ListBullet"/>
        <w:spacing w:after="80"/>
        <w:ind w:left="425"/>
      </w:pPr>
      <w:r>
        <w:rPr>
          <w:rFonts w:ascii="Segoe UI" w:hAnsi="Segoe UI" w:cs="Segoe UI" w:eastAsia="Segoe UI"/>
          <w:color w:val="12222F"/>
          <w:sz w:val="21"/>
        </w:rPr>
        <w:t>Remediation of data quality within source systems; the platform reports it rather than corrects it.</w:t>
      </w:r>
    </w:p>
    <w:p>
      <w:pPr>
        <w:pStyle w:val="ListBullet"/>
        <w:spacing w:after="80"/>
        <w:ind w:left="425"/>
      </w:pPr>
      <w:r>
        <w:rPr>
          <w:rFonts w:ascii="Segoe UI" w:hAnsi="Segoe UI" w:cs="Segoe UI" w:eastAsia="Segoe UI"/>
          <w:color w:val="12222F"/>
          <w:sz w:val="21"/>
        </w:rPr>
        <w:t>Changes to source applications to expose data not currently available.</w:t>
      </w:r>
    </w:p>
    <w:p>
      <w:pPr>
        <w:pStyle w:val="ListBullet"/>
        <w:spacing w:after="80"/>
        <w:ind w:left="425"/>
      </w:pPr>
      <w:r>
        <w:rPr>
          <w:rFonts w:ascii="Segoe UI" w:hAnsi="Segoe UI" w:cs="Segoe UI" w:eastAsia="Segoe UI"/>
          <w:color w:val="12222F"/>
          <w:sz w:val="21"/>
        </w:rPr>
        <w:t>Third-party licence costs for systems the platform integrates with.</w:t>
      </w:r>
    </w:p>
    <w:tbl>
      <w:tblPr>
        <w:tblW w:w="9639"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639"/>
      </w:tblGrid>
      <w:tr>
        <w:trPr>
          <w:cantSplit/>
        </w:trPr>
        <w:tc>
          <w:tcPr>
            <w:tcW w:type="dxa" w:w="9639"/>
            <w:tcBorders>
              <w:top w:val="single" w:sz="4" w:space="0" w:color="D8E0E6"/>
              <w:left w:val="single" w:sz="24" w:space="0" w:color="E57200"/>
              <w:bottom w:val="single" w:sz="4" w:space="0" w:color="D8E0E6"/>
              <w:right w:val="single" w:sz="4" w:space="0" w:color="D8E0E6"/>
            </w:tcBorders>
            <w:shd w:val="clear" w:color="auto" w:fill="FDF6EE"/>
            <w:tcMar>
              <w:top w:w="150" w:type="dxa"/>
              <w:left w:w="200" w:type="dxa"/>
              <w:bottom w:w="150" w:type="dxa"/>
              <w:right w:w="200" w:type="dxa"/>
            </w:tcMar>
          </w:tcPr>
          <w:p>
            <w:pPr>
              <w:keepNext/>
              <w:spacing w:after="80"/>
            </w:pPr>
            <w:r>
              <w:rPr>
                <w:rFonts w:ascii="Segoe UI" w:hAnsi="Segoe UI" w:cs="Segoe UI" w:eastAsia="Segoe UI"/>
                <w:b/>
                <w:caps/>
                <w:color w:val="5B6B78"/>
                <w:spacing w:val="24"/>
                <w:sz w:val="17"/>
              </w:rPr>
              <w:t>What we would show at demonstration</w:t>
            </w:r>
          </w:p>
          <w:p>
            <w:pPr>
              <w:spacing w:after="0" w:line="278" w:lineRule="auto"/>
            </w:pPr>
            <w:r>
              <w:rPr>
                <w:rFonts w:ascii="Segoe UI" w:hAnsi="Segoe UI" w:cs="Segoe UI" w:eastAsia="Segoe UI"/>
                <w:color w:val="12222F"/>
                <w:sz w:val="20"/>
              </w:rPr>
              <w:t>An end-to-end run in the reference environment: connect a source and pull it, watch the data become a content-addressed snapshot, execute a control pack against it, triage the exceptions, select a statistical sample, raise a finding through QA into a management action, generate the workpaper, then verify the ledger chain and re-run the whole thing to prove the same evidence produces the same answer. Approximately 40 minutes, with nothing pre-recorded.</w:t>
            </w:r>
          </w:p>
        </w:tc>
      </w:tr>
    </w:tbl>
    <w:p>
      <w:pPr>
        <w:spacing w:after="0" w:before="0"/>
      </w:pPr>
    </w:p>
    <w:p>
      <w:pPr>
        <w:pBdr>
          <w:top w:val="single" w:sz="16" w:space="8" w:color="10385A"/>
        </w:pBdr>
        <w:spacing w:before="360"/>
      </w:pPr>
      <w:r>
        <w:rPr>
          <w:rFonts w:ascii="Segoe UI" w:hAnsi="Segoe UI" w:cs="Segoe UI" w:eastAsia="Segoe UI"/>
          <w:b/>
          <w:color w:val="5B6B78"/>
          <w:sz w:val="17"/>
        </w:rPr>
        <w:t>AI Powered Audit Intelligence System — Technical &amp; Technology Architecture, v1.0.</w:t>
      </w:r>
      <w:r>
        <w:rPr>
          <w:rFonts w:ascii="Segoe UI" w:hAnsi="Segoe UI" w:cs="Segoe UI" w:eastAsia="Segoe UI"/>
          <w:color w:val="5B6B78"/>
          <w:sz w:val="17"/>
        </w:rPr>
        <w:t xml:space="preserve"> Prepared by Protiviti India for YES BANK Internal Audit in response to RFI ver 1.2. Responds to §3.2 (Documentation; Expected Deliverables) and §6 point 1 (Architecture of Technology &amp; Product RoadMap).</w:t>
      </w:r>
      <w:r>
        <w:rPr>
          <w:rFonts w:ascii="Segoe UI" w:hAnsi="Segoe UI" w:cs="Segoe UI" w:eastAsia="Segoe UI"/>
          <w:color w:val="5B6B78"/>
          <w:sz w:val="17"/>
        </w:rPr>
        <w:t xml:space="preserve"> </w:t>
      </w:r>
      <w:r>
        <w:rPr>
          <w:rFonts w:ascii="Segoe UI" w:hAnsi="Segoe UI" w:cs="Segoe UI" w:eastAsia="Segoe UI"/>
          <w:color w:val="5B6B78"/>
          <w:sz w:val="17"/>
        </w:rPr>
        <w:t>Read with the Technical &amp; NFR Response Matrix, the Integration &amp; API Documentation, and the Functional Requirements Matrix. Confidential.</w:t>
      </w:r>
      <w:r>
        <w:rPr>
          <w:rFonts w:ascii="Segoe UI" w:hAnsi="Segoe UI" w:cs="Segoe UI" w:eastAsia="Segoe UI"/>
          <w:color w:val="5B6B78"/>
          <w:sz w:val="17"/>
        </w:rPr>
      </w:r>
    </w:p>
    <w:sectPr w:rsidR="00FC693F" w:rsidRPr="0006063C" w:rsidSect="00034616">
      <w:headerReference w:type="default" r:id="rId9"/>
      <w:headerReference w:type="first" r:id="rId10"/>
      <w:footerReference w:type="default" r:id="rId11"/>
      <w:footerReference w:type="first" r:id="rId12"/>
      <w:pgSz w:w="11906" w:h="16838"/>
      <w:pgMar w:top="1134" w:right="1134" w:bottom="1134" w:left="1134"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Segoe UI" w:hAnsi="Segoe UI" w:cs="Segoe UI" w:eastAsia="Segoe UI"/>
        <w:color w:val="5B6B78"/>
        <w:sz w:val="16"/>
      </w:rPr>
      <w:t>AI Powered Audit Intelligence System — Technical &amp; Technology Architecture, v1.0</w:t>
    </w:r>
    <w:r>
      <w:rPr>
        <w:rFonts w:ascii="Segoe UI" w:hAnsi="Segoe UI" w:cs="Segoe UI" w:eastAsia="Segoe UI"/>
        <w:color w:val="5B6B78"/>
        <w:sz w:val="16"/>
      </w:rPr>
      <w:tab/>
    </w:r>
    <w:r>
      <w:rPr>
        <w:rFonts w:ascii="Segoe UI" w:hAnsi="Segoe UI" w:cs="Segoe UI" w:eastAsia="Segoe UI"/>
        <w:color w:val="5B6B78"/>
        <w:sz w:val="16"/>
      </w:rPr>
      <w:t xml:space="preserve">Page </w:t>
    </w:r>
    <w:r>
      <w:rPr>
        <w:rFonts w:ascii="Segoe UI" w:hAnsi="Segoe UI" w:cs="Segoe UI" w:eastAsia="Segoe UI"/>
        <w:color w:val="5B6B78"/>
        <w:sz w:val="16"/>
      </w:rPr>
      <w:fldChar w:fldCharType="begin"/>
    </w:r>
    <w:r>
      <w:rPr>
        <w:rFonts w:ascii="Segoe UI" w:hAnsi="Segoe UI" w:cs="Segoe UI" w:eastAsia="Segoe UI"/>
        <w:color w:val="5B6B78"/>
        <w:sz w:val="16"/>
      </w:rPr>
      <w:instrText xml:space="preserve"> PAGE </w:instrText>
    </w:r>
    <w:r>
      <w:rPr>
        <w:rFonts w:ascii="Segoe UI" w:hAnsi="Segoe UI" w:cs="Segoe UI" w:eastAsia="Segoe UI"/>
        <w:color w:val="5B6B78"/>
        <w:sz w:val="16"/>
      </w:rPr>
      <w:fldChar w:fldCharType="separate"/>
    </w:r>
    <w:r>
      <w:rPr>
        <w:rFonts w:ascii="Segoe UI" w:hAnsi="Segoe UI" w:cs="Segoe UI" w:eastAsia="Segoe UI"/>
        <w:color w:val="5B6B78"/>
        <w:sz w:val="16"/>
      </w:rPr>
      <w:t>1</w:t>
    </w:r>
    <w:r>
      <w:rPr>
        <w:rFonts w:ascii="Segoe UI" w:hAnsi="Segoe UI" w:cs="Segoe UI" w:eastAsia="Segoe UI"/>
        <w:color w:val="5B6B78"/>
        <w:sz w:val="16"/>
      </w:rPr>
      <w:fldChar w:fldCharType="end"/>
    </w:r>
    <w:r>
      <w:rPr>
        <w:rFonts w:ascii="Segoe UI" w:hAnsi="Segoe UI" w:cs="Segoe UI" w:eastAsia="Segoe UI"/>
        <w:color w:val="5B6B78"/>
        <w:sz w:val="16"/>
      </w:rPr>
      <w:t xml:space="preserve"> of </w:t>
    </w:r>
    <w:r>
      <w:rPr>
        <w:rFonts w:ascii="Segoe UI" w:hAnsi="Segoe UI" w:cs="Segoe UI" w:eastAsia="Segoe UI"/>
        <w:color w:val="5B6B78"/>
        <w:sz w:val="16"/>
      </w:rPr>
      <w:fldChar w:fldCharType="begin"/>
    </w:r>
    <w:r>
      <w:rPr>
        <w:rFonts w:ascii="Segoe UI" w:hAnsi="Segoe UI" w:cs="Segoe UI" w:eastAsia="Segoe UI"/>
        <w:color w:val="5B6B78"/>
        <w:sz w:val="16"/>
      </w:rPr>
      <w:instrText xml:space="preserve"> NUMPAGES </w:instrText>
    </w:r>
    <w:r>
      <w:rPr>
        <w:rFonts w:ascii="Segoe UI" w:hAnsi="Segoe UI" w:cs="Segoe UI" w:eastAsia="Segoe UI"/>
        <w:color w:val="5B6B78"/>
        <w:sz w:val="16"/>
      </w:rPr>
      <w:fldChar w:fldCharType="separate"/>
    </w:r>
    <w:r>
      <w:rPr>
        <w:rFonts w:ascii="Segoe UI" w:hAnsi="Segoe UI" w:cs="Segoe UI" w:eastAsia="Segoe UI"/>
        <w:color w:val="5B6B78"/>
        <w:sz w:val="16"/>
      </w:rPr>
      <w:t>1</w:t>
    </w:r>
    <w:r>
      <w:rPr>
        <w:rFonts w:ascii="Segoe UI" w:hAnsi="Segoe UI" w:cs="Segoe UI" w:eastAsia="Segoe UI"/>
        <w:color w:val="5B6B78"/>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8E0E6"/>
      </w:pBdr>
      <w:jc w:val="right"/>
    </w:pPr>
    <w:r>
      <w:rPr>
        <w:rFonts w:ascii="Segoe UI" w:hAnsi="Segoe UI" w:cs="Segoe UI" w:eastAsia="Segoe UI"/>
        <w:color w:val="5B6B78"/>
        <w:spacing w:val="10"/>
        <w:sz w:val="17"/>
      </w:rPr>
      <w:t>Protiviti India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78" w:lineRule="auto"/>
    </w:pPr>
    <w:rPr>
      <w:rFonts w:ascii="Segoe UI" w:hAnsi="Segoe UI" w:cs="Segoe UI" w:eastAsia="Segoe UI"/>
      <w:color w:val="1222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Segoe UI" w:hAnsi="Segoe UI" w:cs="Segoe UI" w:eastAsia="Segoe UI"/>
      <w:b/>
      <w:bCs/>
      <w:i w:val="0"/>
      <w:color w:val="10385A"/>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eastAsia="Segoe UI"/>
      <w:b/>
      <w:bCs/>
      <w:i w:val="0"/>
      <w:color w:val="10385A"/>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eastAsia="Segoe UI"/>
      <w:b/>
      <w:bCs/>
      <w:i w:val="0"/>
      <w:color w:val="0821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contextualSpacing/>
    </w:pPr>
    <w:rPr>
      <w:rFonts w:ascii="Segoe UI" w:hAnsi="Segoe UI"/>
      <w:color w:val="12222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contextualSpacing/>
    </w:pPr>
    <w:rPr>
      <w:rFonts w:ascii="Segoe UI" w:hAnsi="Segoe UI"/>
      <w:color w:val="12222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