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2F75B5"/>
          <w:sz w:val="30"/>
        </w:rPr>
        <w:t>SUPPLYGUARD AI</w:t>
      </w:r>
    </w:p>
    <w:p>
      <w:pPr>
        <w:pStyle w:val="Title"/>
        <w:jc w:val="center"/>
      </w:pPr>
      <w:r>
        <w:t>AI Engineer Assessment Submission</w:t>
      </w:r>
    </w:p>
    <w:p>
      <w:pPr>
        <w:spacing w:after="560"/>
        <w:jc w:val="center"/>
      </w:pPr>
      <w:r>
        <w:rPr>
          <w:color w:val="4E5B69"/>
          <w:sz w:val="24"/>
        </w:rPr>
        <w:t>Local document intelligence, structured computation and MCP tool calling</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c>
          <w:tcPr>
            <w:tcW w:type="dxa" w:w="2592"/>
            <w:shd w:fill="16324F"/>
            <w:vAlign w:val="center"/>
            <w:tcMar>
              <w:top w:w="90" w:type="dxa"/>
              <w:start w:w="100" w:type="dxa"/>
              <w:bottom w:w="90" w:type="dxa"/>
              <w:end w:w="100" w:type="dxa"/>
            </w:tcMar>
          </w:tcPr>
          <w:p>
            <w:pPr>
              <w:jc w:val="center"/>
            </w:pPr>
            <w:r>
              <w:rPr>
                <w:b/>
                <w:color w:val="FFFFFF"/>
                <w:sz w:val="16"/>
              </w:rPr>
              <w:t>Submission detail</w:t>
            </w:r>
          </w:p>
        </w:tc>
        <w:tc>
          <w:tcPr>
            <w:tcW w:type="dxa" w:w="6480"/>
            <w:shd w:fill="16324F"/>
            <w:vAlign w:val="center"/>
            <w:tcMar>
              <w:top w:w="90" w:type="dxa"/>
              <w:start w:w="100" w:type="dxa"/>
              <w:bottom w:w="90" w:type="dxa"/>
              <w:end w:w="100" w:type="dxa"/>
            </w:tcMar>
          </w:tcPr>
          <w:p>
            <w:pPr>
              <w:jc w:val="center"/>
            </w:pPr>
            <w:r>
              <w:rPr>
                <w:b/>
                <w:color w:val="FFFFFF"/>
                <w:sz w:val="16"/>
              </w:rPr>
              <w:t>Value</w:t>
            </w:r>
          </w:p>
        </w:tc>
      </w:tr>
      <w:tr>
        <w:tc>
          <w:tcPr>
            <w:tcW w:type="dxa" w:w="2592"/>
            <w:vAlign w:val="center"/>
            <w:tcMar>
              <w:top w:w="90" w:type="dxa"/>
              <w:start w:w="100" w:type="dxa"/>
              <w:bottom w:w="90" w:type="dxa"/>
              <w:end w:w="100" w:type="dxa"/>
            </w:tcMar>
          </w:tcPr>
          <w:p>
            <w:pPr>
              <w:spacing w:after="0"/>
              <w:jc w:val="center"/>
            </w:pPr>
            <w:r>
              <w:rPr>
                <w:sz w:val="16"/>
              </w:rPr>
              <w:t>Candidate</w:t>
            </w:r>
          </w:p>
        </w:tc>
        <w:tc>
          <w:tcPr>
            <w:tcW w:type="dxa" w:w="6480"/>
            <w:vAlign w:val="center"/>
            <w:tcMar>
              <w:top w:w="90" w:type="dxa"/>
              <w:start w:w="100" w:type="dxa"/>
              <w:bottom w:w="90" w:type="dxa"/>
              <w:end w:w="100" w:type="dxa"/>
            </w:tcMar>
          </w:tcPr>
          <w:p>
            <w:pPr>
              <w:spacing w:after="0"/>
              <w:jc w:val="center"/>
            </w:pPr>
            <w:r>
              <w:rPr>
                <w:sz w:val="16"/>
              </w:rPr>
              <w:t>Akshita Rastogi</w:t>
            </w:r>
          </w:p>
        </w:tc>
      </w:tr>
      <w:tr>
        <w:tc>
          <w:tcPr>
            <w:tcW w:type="dxa" w:w="2592"/>
            <w:vAlign w:val="center"/>
            <w:shd w:fill="F5F7FA"/>
            <w:tcMar>
              <w:top w:w="90" w:type="dxa"/>
              <w:start w:w="100" w:type="dxa"/>
              <w:bottom w:w="90" w:type="dxa"/>
              <w:end w:w="100" w:type="dxa"/>
            </w:tcMar>
          </w:tcPr>
          <w:p>
            <w:pPr>
              <w:spacing w:after="0"/>
              <w:jc w:val="center"/>
            </w:pPr>
            <w:r>
              <w:rPr>
                <w:sz w:val="16"/>
              </w:rPr>
              <w:t>Role</w:t>
            </w:r>
          </w:p>
        </w:tc>
        <w:tc>
          <w:tcPr>
            <w:tcW w:type="dxa" w:w="6480"/>
            <w:vAlign w:val="center"/>
            <w:shd w:fill="F5F7FA"/>
            <w:tcMar>
              <w:top w:w="90" w:type="dxa"/>
              <w:start w:w="100" w:type="dxa"/>
              <w:bottom w:w="90" w:type="dxa"/>
              <w:end w:w="100" w:type="dxa"/>
            </w:tcMar>
          </w:tcPr>
          <w:p>
            <w:pPr>
              <w:spacing w:after="0"/>
              <w:jc w:val="center"/>
            </w:pPr>
            <w:r>
              <w:rPr>
                <w:sz w:val="16"/>
              </w:rPr>
              <w:t>AI Engineer</w:t>
            </w:r>
          </w:p>
        </w:tc>
      </w:tr>
      <w:tr>
        <w:tc>
          <w:tcPr>
            <w:tcW w:type="dxa" w:w="2592"/>
            <w:vAlign w:val="center"/>
            <w:tcMar>
              <w:top w:w="90" w:type="dxa"/>
              <w:start w:w="100" w:type="dxa"/>
              <w:bottom w:w="90" w:type="dxa"/>
              <w:end w:w="100" w:type="dxa"/>
            </w:tcMar>
          </w:tcPr>
          <w:p>
            <w:pPr>
              <w:spacing w:after="0"/>
              <w:jc w:val="center"/>
            </w:pPr>
            <w:r>
              <w:rPr>
                <w:sz w:val="16"/>
              </w:rPr>
              <w:t>Runtime</w:t>
            </w:r>
          </w:p>
        </w:tc>
        <w:tc>
          <w:tcPr>
            <w:tcW w:type="dxa" w:w="6480"/>
            <w:vAlign w:val="center"/>
            <w:tcMar>
              <w:top w:w="90" w:type="dxa"/>
              <w:start w:w="100" w:type="dxa"/>
              <w:bottom w:w="90" w:type="dxa"/>
              <w:end w:w="100" w:type="dxa"/>
            </w:tcMar>
          </w:tcPr>
          <w:p>
            <w:pPr>
              <w:spacing w:after="0"/>
              <w:jc w:val="left"/>
            </w:pPr>
            <w:r>
              <w:rPr>
                <w:sz w:val="16"/>
              </w:rPr>
              <w:t>Local Docker Compose and Ollama</w:t>
            </w:r>
          </w:p>
        </w:tc>
      </w:tr>
      <w:tr>
        <w:tc>
          <w:tcPr>
            <w:tcW w:type="dxa" w:w="2592"/>
            <w:vAlign w:val="center"/>
            <w:shd w:fill="F5F7FA"/>
            <w:tcMar>
              <w:top w:w="90" w:type="dxa"/>
              <w:start w:w="100" w:type="dxa"/>
              <w:bottom w:w="90" w:type="dxa"/>
              <w:end w:w="100" w:type="dxa"/>
            </w:tcMar>
          </w:tcPr>
          <w:p>
            <w:pPr>
              <w:spacing w:after="0"/>
              <w:jc w:val="center"/>
            </w:pPr>
            <w:r>
              <w:rPr>
                <w:sz w:val="16"/>
              </w:rPr>
              <w:t>Interface</w:t>
            </w:r>
          </w:p>
        </w:tc>
        <w:tc>
          <w:tcPr>
            <w:tcW w:type="dxa" w:w="6480"/>
            <w:vAlign w:val="center"/>
            <w:shd w:fill="F5F7FA"/>
            <w:tcMar>
              <w:top w:w="90" w:type="dxa"/>
              <w:start w:w="100" w:type="dxa"/>
              <w:bottom w:w="90" w:type="dxa"/>
              <w:end w:w="100" w:type="dxa"/>
            </w:tcMar>
          </w:tcPr>
          <w:p>
            <w:pPr>
              <w:spacing w:after="0"/>
              <w:jc w:val="left"/>
            </w:pPr>
            <w:r>
              <w:rPr>
                <w:sz w:val="16"/>
              </w:rPr>
              <w:t>Streamlit with FastAPI</w:t>
            </w:r>
          </w:p>
        </w:tc>
      </w:tr>
      <w:tr>
        <w:tc>
          <w:tcPr>
            <w:tcW w:type="dxa" w:w="2592"/>
            <w:vAlign w:val="center"/>
            <w:tcMar>
              <w:top w:w="90" w:type="dxa"/>
              <w:start w:w="100" w:type="dxa"/>
              <w:bottom w:w="90" w:type="dxa"/>
              <w:end w:w="100" w:type="dxa"/>
            </w:tcMar>
          </w:tcPr>
          <w:p>
            <w:pPr>
              <w:spacing w:after="0"/>
              <w:jc w:val="center"/>
            </w:pPr>
            <w:r>
              <w:rPr>
                <w:sz w:val="16"/>
              </w:rPr>
              <w:t>Data</w:t>
            </w:r>
          </w:p>
        </w:tc>
        <w:tc>
          <w:tcPr>
            <w:tcW w:type="dxa" w:w="6480"/>
            <w:vAlign w:val="center"/>
            <w:tcMar>
              <w:top w:w="90" w:type="dxa"/>
              <w:start w:w="100" w:type="dxa"/>
              <w:bottom w:w="90" w:type="dxa"/>
              <w:end w:w="100" w:type="dxa"/>
            </w:tcMar>
          </w:tcPr>
          <w:p>
            <w:pPr>
              <w:spacing w:after="0"/>
              <w:jc w:val="left"/>
            </w:pPr>
            <w:r>
              <w:rPr>
                <w:sz w:val="16"/>
              </w:rPr>
              <w:t>3 official PDFs, 603 pages, 70,402 OpenFEMA rows</w:t>
            </w:r>
          </w:p>
        </w:tc>
      </w:tr>
      <w:tr>
        <w:tc>
          <w:tcPr>
            <w:tcW w:type="dxa" w:w="2592"/>
            <w:vAlign w:val="center"/>
            <w:shd w:fill="F5F7FA"/>
            <w:tcMar>
              <w:top w:w="90" w:type="dxa"/>
              <w:start w:w="100" w:type="dxa"/>
              <w:bottom w:w="90" w:type="dxa"/>
              <w:end w:w="100" w:type="dxa"/>
            </w:tcMar>
          </w:tcPr>
          <w:p>
            <w:pPr>
              <w:spacing w:after="0"/>
              <w:jc w:val="center"/>
            </w:pPr>
            <w:r>
              <w:rPr>
                <w:sz w:val="16"/>
              </w:rPr>
              <w:t>Core stores</w:t>
            </w:r>
          </w:p>
        </w:tc>
        <w:tc>
          <w:tcPr>
            <w:tcW w:type="dxa" w:w="6480"/>
            <w:vAlign w:val="center"/>
            <w:shd w:fill="F5F7FA"/>
            <w:tcMar>
              <w:top w:w="90" w:type="dxa"/>
              <w:start w:w="100" w:type="dxa"/>
              <w:bottom w:w="90" w:type="dxa"/>
              <w:end w:w="100" w:type="dxa"/>
            </w:tcMar>
          </w:tcPr>
          <w:p>
            <w:pPr>
              <w:spacing w:after="0"/>
              <w:jc w:val="left"/>
            </w:pPr>
            <w:r>
              <w:rPr>
                <w:sz w:val="16"/>
              </w:rPr>
              <w:t>MongoDB and Qdrant</w:t>
            </w:r>
          </w:p>
        </w:tc>
      </w:tr>
    </w:tbl>
    <w:p>
      <w:pPr>
        <w:spacing w:after="20"/>
      </w:pPr>
    </w:p>
    <w:p>
      <w:pPr>
        <w:spacing w:before="440"/>
        <w:jc w:val="center"/>
      </w:pPr>
      <w:r>
        <w:rPr>
          <w:sz w:val="21"/>
        </w:rPr>
        <w:t>The solution meets every required capability and adds measured retrieval, bounded memory, tenant isolation, auditability and observability without hiding the core logic.</w:t>
      </w:r>
    </w:p>
    <w:p>
      <w:r>
        <w:br w:type="page"/>
      </w:r>
    </w:p>
    <w:p>
      <w:pPr>
        <w:pStyle w:val="Heading1"/>
      </w:pPr>
      <w:r>
        <w:t>1 Problem and solution</w:t>
      </w:r>
    </w:p>
    <w:p>
      <w:r>
        <w:t>The assessment requires a lightweight assistant that answers document questions, calculates answers from structured data, calls an external tool, handles uncertainty, collects feedback and reports evaluation results. SupplyGuard AI implements these as explicit execution paths.</w:t>
      </w:r>
    </w:p>
    <w:p>
      <w:r>
        <w:t>The use case combines procurement, supply-chain cybersecurity and disaster risk. It creates one coherent scenario while exercising policies, tables, acronyms, geographic data and repeated records.</w:t>
      </w:r>
    </w:p>
    <w:p>
      <w:pPr>
        <w:pStyle w:val="Heading2"/>
      </w:pPr>
      <w:r>
        <w:t>Solution summary</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31"/>
        <w:gridCol w:w="3331"/>
        <w:gridCol w:w="3331"/>
      </w:tblGrid>
      <w:tr>
        <w:tc>
          <w:tcPr>
            <w:tcW w:type="dxa" w:w="1656"/>
            <w:shd w:fill="16324F"/>
            <w:vAlign w:val="center"/>
            <w:tcMar>
              <w:top w:w="90" w:type="dxa"/>
              <w:start w:w="100" w:type="dxa"/>
              <w:bottom w:w="90" w:type="dxa"/>
              <w:end w:w="100" w:type="dxa"/>
            </w:tcMar>
          </w:tcPr>
          <w:p>
            <w:pPr>
              <w:jc w:val="center"/>
            </w:pPr>
            <w:r>
              <w:rPr>
                <w:b/>
                <w:color w:val="FFFFFF"/>
                <w:sz w:val="16"/>
              </w:rPr>
              <w:t>Layer</w:t>
            </w:r>
          </w:p>
        </w:tc>
        <w:tc>
          <w:tcPr>
            <w:tcW w:type="dxa" w:w="1872"/>
            <w:shd w:fill="16324F"/>
            <w:vAlign w:val="center"/>
            <w:tcMar>
              <w:top w:w="90" w:type="dxa"/>
              <w:start w:w="100" w:type="dxa"/>
              <w:bottom w:w="90" w:type="dxa"/>
              <w:end w:w="100" w:type="dxa"/>
            </w:tcMar>
          </w:tcPr>
          <w:p>
            <w:pPr>
              <w:jc w:val="center"/>
            </w:pPr>
            <w:r>
              <w:rPr>
                <w:b/>
                <w:color w:val="FFFFFF"/>
                <w:sz w:val="16"/>
              </w:rPr>
              <w:t>Implementation</w:t>
            </w:r>
          </w:p>
        </w:tc>
        <w:tc>
          <w:tcPr>
            <w:tcW w:type="dxa" w:w="5688"/>
            <w:shd w:fill="16324F"/>
            <w:vAlign w:val="center"/>
            <w:tcMar>
              <w:top w:w="90" w:type="dxa"/>
              <w:start w:w="100" w:type="dxa"/>
              <w:bottom w:w="90" w:type="dxa"/>
              <w:end w:w="100" w:type="dxa"/>
            </w:tcMar>
          </w:tcPr>
          <w:p>
            <w:pPr>
              <w:jc w:val="center"/>
            </w:pPr>
            <w:r>
              <w:rPr>
                <w:b/>
                <w:color w:val="FFFFFF"/>
                <w:sz w:val="16"/>
              </w:rPr>
              <w:t>Responsibility</w:t>
            </w:r>
          </w:p>
        </w:tc>
      </w:tr>
      <w:tr>
        <w:tc>
          <w:tcPr>
            <w:tcW w:type="dxa" w:w="1656"/>
            <w:vAlign w:val="center"/>
            <w:tcMar>
              <w:top w:w="90" w:type="dxa"/>
              <w:start w:w="100" w:type="dxa"/>
              <w:bottom w:w="90" w:type="dxa"/>
              <w:end w:w="100" w:type="dxa"/>
            </w:tcMar>
          </w:tcPr>
          <w:p>
            <w:pPr>
              <w:spacing w:after="0"/>
              <w:jc w:val="center"/>
            </w:pPr>
            <w:r>
              <w:rPr>
                <w:sz w:val="16"/>
              </w:rPr>
              <w:t>Experience</w:t>
            </w:r>
          </w:p>
        </w:tc>
        <w:tc>
          <w:tcPr>
            <w:tcW w:type="dxa" w:w="1872"/>
            <w:vAlign w:val="center"/>
            <w:tcMar>
              <w:top w:w="90" w:type="dxa"/>
              <w:start w:w="100" w:type="dxa"/>
              <w:bottom w:w="90" w:type="dxa"/>
              <w:end w:w="100" w:type="dxa"/>
            </w:tcMar>
          </w:tcPr>
          <w:p>
            <w:pPr>
              <w:spacing w:after="0"/>
              <w:jc w:val="center"/>
            </w:pPr>
            <w:r>
              <w:rPr>
                <w:sz w:val="16"/>
              </w:rPr>
              <w:t>Streamlit</w:t>
            </w:r>
          </w:p>
        </w:tc>
        <w:tc>
          <w:tcPr>
            <w:tcW w:type="dxa" w:w="5688"/>
            <w:vAlign w:val="center"/>
            <w:tcMar>
              <w:top w:w="90" w:type="dxa"/>
              <w:start w:w="100" w:type="dxa"/>
              <w:bottom w:w="90" w:type="dxa"/>
              <w:end w:w="100" w:type="dxa"/>
            </w:tcMar>
          </w:tcPr>
          <w:p>
            <w:pPr>
              <w:spacing w:after="0"/>
              <w:jc w:val="left"/>
            </w:pPr>
            <w:r>
              <w:rPr>
                <w:sz w:val="16"/>
              </w:rPr>
              <w:t>Multi-turn questions, citations, traces and per-answer feedback</w:t>
            </w:r>
          </w:p>
        </w:tc>
      </w:tr>
      <w:tr>
        <w:tc>
          <w:tcPr>
            <w:tcW w:type="dxa" w:w="1656"/>
            <w:vAlign w:val="center"/>
            <w:shd w:fill="F5F7FA"/>
            <w:tcMar>
              <w:top w:w="90" w:type="dxa"/>
              <w:start w:w="100" w:type="dxa"/>
              <w:bottom w:w="90" w:type="dxa"/>
              <w:end w:w="100" w:type="dxa"/>
            </w:tcMar>
          </w:tcPr>
          <w:p>
            <w:pPr>
              <w:spacing w:after="0"/>
              <w:jc w:val="center"/>
            </w:pPr>
            <w:r>
              <w:rPr>
                <w:sz w:val="16"/>
              </w:rPr>
              <w:t>API</w:t>
            </w:r>
          </w:p>
        </w:tc>
        <w:tc>
          <w:tcPr>
            <w:tcW w:type="dxa" w:w="1872"/>
            <w:vAlign w:val="center"/>
            <w:shd w:fill="F5F7FA"/>
            <w:tcMar>
              <w:top w:w="90" w:type="dxa"/>
              <w:start w:w="100" w:type="dxa"/>
              <w:bottom w:w="90" w:type="dxa"/>
              <w:end w:w="100" w:type="dxa"/>
            </w:tcMar>
          </w:tcPr>
          <w:p>
            <w:pPr>
              <w:spacing w:after="0"/>
              <w:jc w:val="center"/>
            </w:pPr>
            <w:r>
              <w:rPr>
                <w:sz w:val="16"/>
              </w:rPr>
              <w:t>FastAPI</w:t>
            </w:r>
          </w:p>
        </w:tc>
        <w:tc>
          <w:tcPr>
            <w:tcW w:type="dxa" w:w="5688"/>
            <w:vAlign w:val="center"/>
            <w:shd w:fill="F5F7FA"/>
            <w:tcMar>
              <w:top w:w="90" w:type="dxa"/>
              <w:start w:w="100" w:type="dxa"/>
              <w:bottom w:w="90" w:type="dxa"/>
              <w:end w:w="100" w:type="dxa"/>
            </w:tcMar>
          </w:tcPr>
          <w:p>
            <w:pPr>
              <w:spacing w:after="0"/>
              <w:jc w:val="left"/>
            </w:pPr>
            <w:r>
              <w:rPr>
                <w:sz w:val="16"/>
              </w:rPr>
              <w:t>Contracts, auth, status codes, orchestration and health</w:t>
            </w:r>
          </w:p>
        </w:tc>
      </w:tr>
      <w:tr>
        <w:tc>
          <w:tcPr>
            <w:tcW w:type="dxa" w:w="1656"/>
            <w:vAlign w:val="center"/>
            <w:tcMar>
              <w:top w:w="90" w:type="dxa"/>
              <w:start w:w="100" w:type="dxa"/>
              <w:bottom w:w="90" w:type="dxa"/>
              <w:end w:w="100" w:type="dxa"/>
            </w:tcMar>
          </w:tcPr>
          <w:p>
            <w:pPr>
              <w:spacing w:after="0"/>
              <w:jc w:val="center"/>
            </w:pPr>
            <w:r>
              <w:rPr>
                <w:sz w:val="16"/>
              </w:rPr>
              <w:t>Models</w:t>
            </w:r>
          </w:p>
        </w:tc>
        <w:tc>
          <w:tcPr>
            <w:tcW w:type="dxa" w:w="1872"/>
            <w:vAlign w:val="center"/>
            <w:tcMar>
              <w:top w:w="90" w:type="dxa"/>
              <w:start w:w="100" w:type="dxa"/>
              <w:bottom w:w="90" w:type="dxa"/>
              <w:end w:w="100" w:type="dxa"/>
            </w:tcMar>
          </w:tcPr>
          <w:p>
            <w:pPr>
              <w:spacing w:after="0"/>
              <w:jc w:val="center"/>
            </w:pPr>
            <w:r>
              <w:rPr>
                <w:sz w:val="16"/>
              </w:rPr>
              <w:t>Ollama</w:t>
            </w:r>
          </w:p>
        </w:tc>
        <w:tc>
          <w:tcPr>
            <w:tcW w:type="dxa" w:w="5688"/>
            <w:vAlign w:val="center"/>
            <w:tcMar>
              <w:top w:w="90" w:type="dxa"/>
              <w:start w:w="100" w:type="dxa"/>
              <w:bottom w:w="90" w:type="dxa"/>
              <w:end w:w="100" w:type="dxa"/>
            </w:tcMar>
          </w:tcPr>
          <w:p>
            <w:pPr>
              <w:spacing w:after="0"/>
              <w:jc w:val="left"/>
            </w:pPr>
            <w:r>
              <w:rPr>
                <w:sz w:val="16"/>
              </w:rPr>
              <w:t>Local intent routing, generation and 768-dimensional embeddings</w:t>
            </w:r>
          </w:p>
        </w:tc>
      </w:tr>
      <w:tr>
        <w:tc>
          <w:tcPr>
            <w:tcW w:type="dxa" w:w="1656"/>
            <w:vAlign w:val="center"/>
            <w:shd w:fill="F5F7FA"/>
            <w:tcMar>
              <w:top w:w="90" w:type="dxa"/>
              <w:start w:w="100" w:type="dxa"/>
              <w:bottom w:w="90" w:type="dxa"/>
              <w:end w:w="100" w:type="dxa"/>
            </w:tcMar>
          </w:tcPr>
          <w:p>
            <w:pPr>
              <w:spacing w:after="0"/>
              <w:jc w:val="center"/>
            </w:pPr>
            <w:r>
              <w:rPr>
                <w:sz w:val="16"/>
              </w:rPr>
              <w:t>Operational data</w:t>
            </w:r>
          </w:p>
        </w:tc>
        <w:tc>
          <w:tcPr>
            <w:tcW w:type="dxa" w:w="1872"/>
            <w:vAlign w:val="center"/>
            <w:shd w:fill="F5F7FA"/>
            <w:tcMar>
              <w:top w:w="90" w:type="dxa"/>
              <w:start w:w="100" w:type="dxa"/>
              <w:bottom w:w="90" w:type="dxa"/>
              <w:end w:w="100" w:type="dxa"/>
            </w:tcMar>
          </w:tcPr>
          <w:p>
            <w:pPr>
              <w:spacing w:after="0"/>
              <w:jc w:val="center"/>
            </w:pPr>
            <w:r>
              <w:rPr>
                <w:sz w:val="16"/>
              </w:rPr>
              <w:t>MongoDB</w:t>
            </w:r>
          </w:p>
        </w:tc>
        <w:tc>
          <w:tcPr>
            <w:tcW w:type="dxa" w:w="5688"/>
            <w:vAlign w:val="center"/>
            <w:shd w:fill="F5F7FA"/>
            <w:tcMar>
              <w:top w:w="90" w:type="dxa"/>
              <w:start w:w="100" w:type="dxa"/>
              <w:bottom w:w="90" w:type="dxa"/>
              <w:end w:w="100" w:type="dxa"/>
            </w:tcMar>
          </w:tcPr>
          <w:p>
            <w:pPr>
              <w:spacing w:after="0"/>
              <w:jc w:val="left"/>
            </w:pPr>
            <w:r>
              <w:rPr>
                <w:sz w:val="16"/>
              </w:rPr>
              <w:t>Chunks, FEMA rows, memory, feedback, audits and runs</w:t>
            </w:r>
          </w:p>
        </w:tc>
      </w:tr>
      <w:tr>
        <w:tc>
          <w:tcPr>
            <w:tcW w:type="dxa" w:w="1656"/>
            <w:vAlign w:val="center"/>
            <w:tcMar>
              <w:top w:w="90" w:type="dxa"/>
              <w:start w:w="100" w:type="dxa"/>
              <w:bottom w:w="90" w:type="dxa"/>
              <w:end w:w="100" w:type="dxa"/>
            </w:tcMar>
          </w:tcPr>
          <w:p>
            <w:pPr>
              <w:spacing w:after="0"/>
              <w:jc w:val="center"/>
            </w:pPr>
            <w:r>
              <w:rPr>
                <w:sz w:val="16"/>
              </w:rPr>
              <w:t>Vector search</w:t>
            </w:r>
          </w:p>
        </w:tc>
        <w:tc>
          <w:tcPr>
            <w:tcW w:type="dxa" w:w="1872"/>
            <w:vAlign w:val="center"/>
            <w:tcMar>
              <w:top w:w="90" w:type="dxa"/>
              <w:start w:w="100" w:type="dxa"/>
              <w:bottom w:w="90" w:type="dxa"/>
              <w:end w:w="100" w:type="dxa"/>
            </w:tcMar>
          </w:tcPr>
          <w:p>
            <w:pPr>
              <w:spacing w:after="0"/>
              <w:jc w:val="center"/>
            </w:pPr>
            <w:r>
              <w:rPr>
                <w:sz w:val="16"/>
              </w:rPr>
              <w:t>Qdrant</w:t>
            </w:r>
          </w:p>
        </w:tc>
        <w:tc>
          <w:tcPr>
            <w:tcW w:type="dxa" w:w="5688"/>
            <w:vAlign w:val="center"/>
            <w:tcMar>
              <w:top w:w="90" w:type="dxa"/>
              <w:start w:w="100" w:type="dxa"/>
              <w:bottom w:w="90" w:type="dxa"/>
              <w:end w:w="100" w:type="dxa"/>
            </w:tcMar>
          </w:tcPr>
          <w:p>
            <w:pPr>
              <w:spacing w:after="0"/>
              <w:jc w:val="left"/>
            </w:pPr>
            <w:r>
              <w:rPr>
                <w:sz w:val="16"/>
              </w:rPr>
              <w:t>Persistent cosine vectors and tenant-filtered payloads</w:t>
            </w:r>
          </w:p>
        </w:tc>
      </w:tr>
      <w:tr>
        <w:tc>
          <w:tcPr>
            <w:tcW w:type="dxa" w:w="1656"/>
            <w:vAlign w:val="center"/>
            <w:shd w:fill="F5F7FA"/>
            <w:tcMar>
              <w:top w:w="90" w:type="dxa"/>
              <w:start w:w="100" w:type="dxa"/>
              <w:bottom w:w="90" w:type="dxa"/>
              <w:end w:w="100" w:type="dxa"/>
            </w:tcMar>
          </w:tcPr>
          <w:p>
            <w:pPr>
              <w:spacing w:after="0"/>
              <w:jc w:val="center"/>
            </w:pPr>
            <w:r>
              <w:rPr>
                <w:sz w:val="16"/>
              </w:rPr>
              <w:t>External tool</w:t>
            </w:r>
          </w:p>
        </w:tc>
        <w:tc>
          <w:tcPr>
            <w:tcW w:type="dxa" w:w="1872"/>
            <w:vAlign w:val="center"/>
            <w:shd w:fill="F5F7FA"/>
            <w:tcMar>
              <w:top w:w="90" w:type="dxa"/>
              <w:start w:w="100" w:type="dxa"/>
              <w:bottom w:w="90" w:type="dxa"/>
              <w:end w:w="100" w:type="dxa"/>
            </w:tcMar>
          </w:tcPr>
          <w:p>
            <w:pPr>
              <w:spacing w:after="0"/>
              <w:jc w:val="center"/>
            </w:pPr>
            <w:r>
              <w:rPr>
                <w:sz w:val="16"/>
              </w:rPr>
              <w:t>MCP server</w:t>
            </w:r>
          </w:p>
        </w:tc>
        <w:tc>
          <w:tcPr>
            <w:tcW w:type="dxa" w:w="5688"/>
            <w:vAlign w:val="center"/>
            <w:shd w:fill="F5F7FA"/>
            <w:tcMar>
              <w:top w:w="90" w:type="dxa"/>
              <w:start w:w="100" w:type="dxa"/>
              <w:bottom w:w="90" w:type="dxa"/>
              <w:end w:w="100" w:type="dxa"/>
            </w:tcMar>
          </w:tcPr>
          <w:p>
            <w:pPr>
              <w:spacing w:after="0"/>
              <w:jc w:val="left"/>
            </w:pPr>
            <w:r>
              <w:rPr>
                <w:sz w:val="16"/>
              </w:rPr>
              <w:t>Validated FEMA queries over Streamable HTTP</w:t>
            </w:r>
          </w:p>
        </w:tc>
      </w:tr>
    </w:tbl>
    <w:p>
      <w:pPr>
        <w:spacing w:after="20"/>
      </w:pPr>
    </w:p>
    <w:p>
      <w:pPr>
        <w:pStyle w:val="Heading2"/>
      </w:pPr>
      <w:r>
        <w:t>Required capability mapping</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31"/>
        <w:gridCol w:w="3331"/>
        <w:gridCol w:w="3331"/>
      </w:tblGrid>
      <w:tr>
        <w:tc>
          <w:tcPr>
            <w:tcW w:type="dxa" w:w="2088"/>
            <w:shd w:fill="16324F"/>
            <w:vAlign w:val="center"/>
            <w:tcMar>
              <w:top w:w="90" w:type="dxa"/>
              <w:start w:w="100" w:type="dxa"/>
              <w:bottom w:w="90" w:type="dxa"/>
              <w:end w:w="100" w:type="dxa"/>
            </w:tcMar>
          </w:tcPr>
          <w:p>
            <w:pPr>
              <w:jc w:val="center"/>
            </w:pPr>
            <w:r>
              <w:rPr>
                <w:b/>
                <w:color w:val="FFFFFF"/>
                <w:sz w:val="16"/>
              </w:rPr>
              <w:t>Requirement</w:t>
            </w:r>
          </w:p>
        </w:tc>
        <w:tc>
          <w:tcPr>
            <w:tcW w:type="dxa" w:w="3672"/>
            <w:shd w:fill="16324F"/>
            <w:vAlign w:val="center"/>
            <w:tcMar>
              <w:top w:w="90" w:type="dxa"/>
              <w:start w:w="100" w:type="dxa"/>
              <w:bottom w:w="90" w:type="dxa"/>
              <w:end w:w="100" w:type="dxa"/>
            </w:tcMar>
          </w:tcPr>
          <w:p>
            <w:pPr>
              <w:jc w:val="center"/>
            </w:pPr>
            <w:r>
              <w:rPr>
                <w:b/>
                <w:color w:val="FFFFFF"/>
                <w:sz w:val="16"/>
              </w:rPr>
              <w:t>Delivered behaviour</w:t>
            </w:r>
          </w:p>
        </w:tc>
        <w:tc>
          <w:tcPr>
            <w:tcW w:type="dxa" w:w="3456"/>
            <w:shd w:fill="16324F"/>
            <w:vAlign w:val="center"/>
            <w:tcMar>
              <w:top w:w="90" w:type="dxa"/>
              <w:start w:w="100" w:type="dxa"/>
              <w:bottom w:w="90" w:type="dxa"/>
              <w:end w:w="100" w:type="dxa"/>
            </w:tcMar>
          </w:tcPr>
          <w:p>
            <w:pPr>
              <w:jc w:val="center"/>
            </w:pPr>
            <w:r>
              <w:rPr>
                <w:b/>
                <w:color w:val="FFFFFF"/>
                <w:sz w:val="16"/>
              </w:rPr>
              <w:t>Reviewer evidence</w:t>
            </w:r>
          </w:p>
        </w:tc>
      </w:tr>
      <w:tr>
        <w:tc>
          <w:tcPr>
            <w:tcW w:type="dxa" w:w="2088"/>
            <w:vAlign w:val="center"/>
            <w:tcMar>
              <w:top w:w="90" w:type="dxa"/>
              <w:start w:w="100" w:type="dxa"/>
              <w:bottom w:w="90" w:type="dxa"/>
              <w:end w:w="100" w:type="dxa"/>
            </w:tcMar>
          </w:tcPr>
          <w:p>
            <w:pPr>
              <w:spacing w:after="0"/>
              <w:jc w:val="left"/>
            </w:pPr>
            <w:r>
              <w:rPr>
                <w:sz w:val="16"/>
              </w:rPr>
              <w:t>Document assistant</w:t>
            </w:r>
          </w:p>
        </w:tc>
        <w:tc>
          <w:tcPr>
            <w:tcW w:type="dxa" w:w="3672"/>
            <w:vAlign w:val="center"/>
            <w:tcMar>
              <w:top w:w="90" w:type="dxa"/>
              <w:start w:w="100" w:type="dxa"/>
              <w:bottom w:w="90" w:type="dxa"/>
              <w:end w:w="100" w:type="dxa"/>
            </w:tcMar>
          </w:tcPr>
          <w:p>
            <w:pPr>
              <w:spacing w:after="0"/>
              <w:jc w:val="left"/>
            </w:pPr>
            <w:r>
              <w:rPr>
                <w:sz w:val="16"/>
              </w:rPr>
              <w:t>Hybrid RAG with evidence-only generation</w:t>
            </w:r>
          </w:p>
        </w:tc>
        <w:tc>
          <w:tcPr>
            <w:tcW w:type="dxa" w:w="3456"/>
            <w:vAlign w:val="center"/>
            <w:tcMar>
              <w:top w:w="90" w:type="dxa"/>
              <w:start w:w="100" w:type="dxa"/>
              <w:bottom w:w="90" w:type="dxa"/>
              <w:end w:w="100" w:type="dxa"/>
            </w:tcMar>
          </w:tcPr>
          <w:p>
            <w:pPr>
              <w:spacing w:after="0"/>
              <w:jc w:val="left"/>
            </w:pPr>
            <w:r>
              <w:rPr>
                <w:sz w:val="16"/>
              </w:rPr>
              <w:t>Answer plus page-level citations</w:t>
            </w:r>
          </w:p>
        </w:tc>
      </w:tr>
      <w:tr>
        <w:tc>
          <w:tcPr>
            <w:tcW w:type="dxa" w:w="2088"/>
            <w:vAlign w:val="center"/>
            <w:shd w:fill="F5F7FA"/>
            <w:tcMar>
              <w:top w:w="90" w:type="dxa"/>
              <w:start w:w="100" w:type="dxa"/>
              <w:bottom w:w="90" w:type="dxa"/>
              <w:end w:w="100" w:type="dxa"/>
            </w:tcMar>
          </w:tcPr>
          <w:p>
            <w:pPr>
              <w:spacing w:after="0"/>
              <w:jc w:val="center"/>
            </w:pPr>
            <w:r>
              <w:rPr>
                <w:sz w:val="16"/>
              </w:rPr>
              <w:t>Structured data</w:t>
            </w:r>
          </w:p>
        </w:tc>
        <w:tc>
          <w:tcPr>
            <w:tcW w:type="dxa" w:w="3672"/>
            <w:vAlign w:val="center"/>
            <w:shd w:fill="F5F7FA"/>
            <w:tcMar>
              <w:top w:w="90" w:type="dxa"/>
              <w:start w:w="100" w:type="dxa"/>
              <w:bottom w:w="90" w:type="dxa"/>
              <w:end w:w="100" w:type="dxa"/>
            </w:tcMar>
          </w:tcPr>
          <w:p>
            <w:pPr>
              <w:spacing w:after="0"/>
              <w:jc w:val="left"/>
            </w:pPr>
            <w:r>
              <w:rPr>
                <w:sz w:val="16"/>
              </w:rPr>
              <w:t>Allowlisted MongoDB computation</w:t>
            </w:r>
          </w:p>
        </w:tc>
        <w:tc>
          <w:tcPr>
            <w:tcW w:type="dxa" w:w="3456"/>
            <w:vAlign w:val="center"/>
            <w:shd w:fill="F5F7FA"/>
            <w:tcMar>
              <w:top w:w="90" w:type="dxa"/>
              <w:start w:w="100" w:type="dxa"/>
              <w:bottom w:w="90" w:type="dxa"/>
              <w:end w:w="100" w:type="dxa"/>
            </w:tcMar>
          </w:tcPr>
          <w:p>
            <w:pPr>
              <w:spacing w:after="0"/>
              <w:jc w:val="left"/>
            </w:pPr>
            <w:r>
              <w:rPr>
                <w:sz w:val="16"/>
              </w:rPr>
              <w:t>Computation trace and typed result</w:t>
            </w:r>
          </w:p>
        </w:tc>
      </w:tr>
      <w:tr>
        <w:tc>
          <w:tcPr>
            <w:tcW w:type="dxa" w:w="2088"/>
            <w:vAlign w:val="center"/>
            <w:tcMar>
              <w:top w:w="90" w:type="dxa"/>
              <w:start w:w="100" w:type="dxa"/>
              <w:bottom w:w="90" w:type="dxa"/>
              <w:end w:w="100" w:type="dxa"/>
            </w:tcMar>
          </w:tcPr>
          <w:p>
            <w:pPr>
              <w:spacing w:after="0"/>
              <w:jc w:val="center"/>
            </w:pPr>
            <w:r>
              <w:rPr>
                <w:sz w:val="16"/>
              </w:rPr>
              <w:t>External tool</w:t>
            </w:r>
          </w:p>
        </w:tc>
        <w:tc>
          <w:tcPr>
            <w:tcW w:type="dxa" w:w="3672"/>
            <w:vAlign w:val="center"/>
            <w:tcMar>
              <w:top w:w="90" w:type="dxa"/>
              <w:start w:w="100" w:type="dxa"/>
              <w:bottom w:w="90" w:type="dxa"/>
              <w:end w:w="100" w:type="dxa"/>
            </w:tcMar>
          </w:tcPr>
          <w:p>
            <w:pPr>
              <w:spacing w:after="0"/>
              <w:jc w:val="left"/>
            </w:pPr>
            <w:r>
              <w:rPr>
                <w:sz w:val="16"/>
              </w:rPr>
              <w:t>Independent MCP service</w:t>
            </w:r>
          </w:p>
        </w:tc>
        <w:tc>
          <w:tcPr>
            <w:tcW w:type="dxa" w:w="3456"/>
            <w:vAlign w:val="center"/>
            <w:tcMar>
              <w:top w:w="90" w:type="dxa"/>
              <w:start w:w="100" w:type="dxa"/>
              <w:bottom w:w="90" w:type="dxa"/>
              <w:end w:w="100" w:type="dxa"/>
            </w:tcMar>
          </w:tcPr>
          <w:p>
            <w:pPr>
              <w:spacing w:after="0"/>
              <w:jc w:val="left"/>
            </w:pPr>
            <w:r>
              <w:rPr>
                <w:sz w:val="16"/>
              </w:rPr>
              <w:t>Validated arguments and exact output</w:t>
            </w:r>
          </w:p>
        </w:tc>
      </w:tr>
      <w:tr>
        <w:tc>
          <w:tcPr>
            <w:tcW w:type="dxa" w:w="2088"/>
            <w:vAlign w:val="center"/>
            <w:shd w:fill="F5F7FA"/>
            <w:tcMar>
              <w:top w:w="90" w:type="dxa"/>
              <w:start w:w="100" w:type="dxa"/>
              <w:bottom w:w="90" w:type="dxa"/>
              <w:end w:w="100" w:type="dxa"/>
            </w:tcMar>
          </w:tcPr>
          <w:p>
            <w:pPr>
              <w:spacing w:after="0"/>
              <w:jc w:val="center"/>
            </w:pPr>
            <w:r>
              <w:rPr>
                <w:sz w:val="16"/>
              </w:rPr>
              <w:t>Reliability</w:t>
            </w:r>
          </w:p>
        </w:tc>
        <w:tc>
          <w:tcPr>
            <w:tcW w:type="dxa" w:w="3672"/>
            <w:vAlign w:val="center"/>
            <w:shd w:fill="F5F7FA"/>
            <w:tcMar>
              <w:top w:w="90" w:type="dxa"/>
              <w:start w:w="100" w:type="dxa"/>
              <w:bottom w:w="90" w:type="dxa"/>
              <w:end w:w="100" w:type="dxa"/>
            </w:tcMar>
          </w:tcPr>
          <w:p>
            <w:pPr>
              <w:spacing w:after="0"/>
              <w:jc w:val="left"/>
            </w:pPr>
            <w:r>
              <w:rPr>
                <w:sz w:val="16"/>
              </w:rPr>
              <w:t>Scope guard and retrieval refusal</w:t>
            </w:r>
          </w:p>
        </w:tc>
        <w:tc>
          <w:tcPr>
            <w:tcW w:type="dxa" w:w="3456"/>
            <w:vAlign w:val="center"/>
            <w:shd w:fill="F5F7FA"/>
            <w:tcMar>
              <w:top w:w="90" w:type="dxa"/>
              <w:start w:w="100" w:type="dxa"/>
              <w:bottom w:w="90" w:type="dxa"/>
              <w:end w:w="100" w:type="dxa"/>
            </w:tcMar>
          </w:tcPr>
          <w:p>
            <w:pPr>
              <w:spacing w:after="0"/>
              <w:jc w:val="left"/>
            </w:pPr>
            <w:r>
              <w:rPr>
                <w:sz w:val="16"/>
              </w:rPr>
              <w:t>Zero-confidence unsupported response</w:t>
            </w:r>
          </w:p>
        </w:tc>
      </w:tr>
      <w:tr>
        <w:tc>
          <w:tcPr>
            <w:tcW w:type="dxa" w:w="2088"/>
            <w:vAlign w:val="center"/>
            <w:tcMar>
              <w:top w:w="90" w:type="dxa"/>
              <w:start w:w="100" w:type="dxa"/>
              <w:bottom w:w="90" w:type="dxa"/>
              <w:end w:w="100" w:type="dxa"/>
            </w:tcMar>
          </w:tcPr>
          <w:p>
            <w:pPr>
              <w:spacing w:after="0"/>
              <w:jc w:val="center"/>
            </w:pPr>
            <w:r>
              <w:rPr>
                <w:sz w:val="16"/>
              </w:rPr>
              <w:t>Feedback</w:t>
            </w:r>
          </w:p>
        </w:tc>
        <w:tc>
          <w:tcPr>
            <w:tcW w:type="dxa" w:w="3672"/>
            <w:vAlign w:val="center"/>
            <w:tcMar>
              <w:top w:w="90" w:type="dxa"/>
              <w:start w:w="100" w:type="dxa"/>
              <w:bottom w:w="90" w:type="dxa"/>
              <w:end w:w="100" w:type="dxa"/>
            </w:tcMar>
          </w:tcPr>
          <w:p>
            <w:pPr>
              <w:spacing w:after="0"/>
              <w:jc w:val="left"/>
            </w:pPr>
            <w:r>
              <w:rPr>
                <w:sz w:val="16"/>
              </w:rPr>
              <w:t>Idempotent MongoDB record</w:t>
            </w:r>
          </w:p>
        </w:tc>
        <w:tc>
          <w:tcPr>
            <w:tcW w:type="dxa" w:w="3456"/>
            <w:vAlign w:val="center"/>
            <w:tcMar>
              <w:top w:w="90" w:type="dxa"/>
              <w:start w:w="100" w:type="dxa"/>
              <w:bottom w:w="90" w:type="dxa"/>
              <w:end w:w="100" w:type="dxa"/>
            </w:tcMar>
          </w:tcPr>
          <w:p>
            <w:pPr>
              <w:spacing w:after="0"/>
              <w:jc w:val="left"/>
            </w:pPr>
            <w:r>
              <w:rPr>
                <w:sz w:val="16"/>
              </w:rPr>
              <w:t>Helpful or Not Helpful per request</w:t>
            </w:r>
          </w:p>
        </w:tc>
      </w:tr>
      <w:tr>
        <w:tc>
          <w:tcPr>
            <w:tcW w:type="dxa" w:w="2088"/>
            <w:vAlign w:val="center"/>
            <w:shd w:fill="F5F7FA"/>
            <w:tcMar>
              <w:top w:w="90" w:type="dxa"/>
              <w:start w:w="100" w:type="dxa"/>
              <w:bottom w:w="90" w:type="dxa"/>
              <w:end w:w="100" w:type="dxa"/>
            </w:tcMar>
          </w:tcPr>
          <w:p>
            <w:pPr>
              <w:spacing w:after="0"/>
              <w:jc w:val="center"/>
            </w:pPr>
            <w:r>
              <w:rPr>
                <w:sz w:val="16"/>
              </w:rPr>
              <w:t>Evaluation</w:t>
            </w:r>
          </w:p>
        </w:tc>
        <w:tc>
          <w:tcPr>
            <w:tcW w:type="dxa" w:w="3672"/>
            <w:vAlign w:val="center"/>
            <w:shd w:fill="F5F7FA"/>
            <w:tcMar>
              <w:top w:w="90" w:type="dxa"/>
              <w:start w:w="100" w:type="dxa"/>
              <w:bottom w:w="90" w:type="dxa"/>
              <w:end w:w="100" w:type="dxa"/>
            </w:tcMar>
          </w:tcPr>
          <w:p>
            <w:pPr>
              <w:spacing w:after="0"/>
              <w:jc w:val="left"/>
            </w:pPr>
            <w:r>
              <w:rPr>
                <w:sz w:val="16"/>
              </w:rPr>
              <w:t>8 required plus 6 difficult cases</w:t>
            </w:r>
          </w:p>
        </w:tc>
        <w:tc>
          <w:tcPr>
            <w:tcW w:type="dxa" w:w="3456"/>
            <w:vAlign w:val="center"/>
            <w:shd w:fill="F5F7FA"/>
            <w:tcMar>
              <w:top w:w="90" w:type="dxa"/>
              <w:start w:w="100" w:type="dxa"/>
              <w:bottom w:w="90" w:type="dxa"/>
              <w:end w:w="100" w:type="dxa"/>
            </w:tcMar>
          </w:tcPr>
          <w:p>
            <w:pPr>
              <w:spacing w:after="0"/>
              <w:jc w:val="left"/>
            </w:pPr>
            <w:r>
              <w:rPr>
                <w:sz w:val="16"/>
              </w:rPr>
              <w:t>Expected, actual and pass or fail</w:t>
            </w:r>
          </w:p>
        </w:tc>
      </w:tr>
    </w:tbl>
    <w:p>
      <w:pPr>
        <w:spacing w:after="20"/>
      </w:pPr>
    </w:p>
    <w:p>
      <w:r>
        <w:br w:type="page"/>
      </w:r>
    </w:p>
    <w:p>
      <w:pPr>
        <w:pStyle w:val="Heading1"/>
      </w:pPr>
      <w:r>
        <w:t>2 Architecture and end-to-end flow</w:t>
      </w:r>
    </w:p>
    <w:p>
      <w:r>
        <w:t>The editable architecture is supplied as docs/SupplyGuard_AI_Architecture.drawio. It separates offline ingestion from online questions and shows all four routing outcomes.</w:t>
      </w:r>
    </w:p>
    <w:p>
      <w:pPr>
        <w:pStyle w:val="Heading2"/>
      </w:pPr>
      <w:r>
        <w:t>Offline ingestion</w:t>
      </w:r>
    </w:p>
    <w:p>
      <w:pPr>
        <w:spacing w:after="50"/>
        <w:ind w:left="288" w:hanging="288"/>
      </w:pPr>
      <w:r>
        <w:rPr>
          <w:b/>
        </w:rPr>
        <w:t xml:space="preserve">1. </w:t>
      </w:r>
      <w:r>
        <w:t>Read only the official PDFs and OpenFEMA CSV under the data directory.</w:t>
      </w:r>
    </w:p>
    <w:p>
      <w:pPr>
        <w:spacing w:after="50"/>
        <w:ind w:left="288" w:hanging="288"/>
      </w:pPr>
      <w:r>
        <w:rPr>
          <w:b/>
        </w:rPr>
        <w:t xml:space="preserve">2. </w:t>
      </w:r>
      <w:r>
        <w:t>Extract page text in reading order, serialise tables separately and count images.</w:t>
      </w:r>
    </w:p>
    <w:p>
      <w:pPr>
        <w:spacing w:after="50"/>
        <w:ind w:left="288" w:hanging="288"/>
      </w:pPr>
      <w:r>
        <w:rPr>
          <w:b/>
        </w:rPr>
        <w:t xml:space="preserve">3. </w:t>
      </w:r>
      <w:r>
        <w:t>Mark blank and OCR-required pages rather than silently discarding them.</w:t>
      </w:r>
    </w:p>
    <w:p>
      <w:pPr>
        <w:spacing w:after="50"/>
        <w:ind w:left="288" w:hanging="288"/>
      </w:pPr>
      <w:r>
        <w:rPr>
          <w:b/>
        </w:rPr>
        <w:t xml:space="preserve">4. </w:t>
      </w:r>
      <w:r>
        <w:t>Create page-element-bounded chunks and generate embeddings locally through Ollama.</w:t>
      </w:r>
    </w:p>
    <w:p>
      <w:pPr>
        <w:spacing w:after="50"/>
        <w:ind w:left="288" w:hanging="288"/>
      </w:pPr>
      <w:r>
        <w:rPr>
          <w:b/>
        </w:rPr>
        <w:t xml:space="preserve">5. </w:t>
      </w:r>
      <w:r>
        <w:t>Upsert chunks into MongoDB and vectors into Qdrant using deterministic IDs.</w:t>
      </w:r>
    </w:p>
    <w:p>
      <w:pPr>
        <w:spacing w:after="50"/>
        <w:ind w:left="288" w:hanging="288"/>
      </w:pPr>
      <w:r>
        <w:rPr>
          <w:b/>
        </w:rPr>
        <w:t xml:space="preserve">6. </w:t>
      </w:r>
      <w:r>
        <w:t>Store typed FEMA rows, checksums, ingestion totals and parser failures.</w:t>
      </w:r>
    </w:p>
    <w:p>
      <w:pPr>
        <w:pStyle w:val="Heading2"/>
      </w:pPr>
      <w:r>
        <w:t>Online question flow</w:t>
      </w:r>
    </w:p>
    <w:p>
      <w:pPr>
        <w:spacing w:after="50"/>
        <w:ind w:left="288" w:hanging="288"/>
      </w:pPr>
      <w:r>
        <w:rPr>
          <w:b/>
        </w:rPr>
        <w:t xml:space="preserve">1. </w:t>
      </w:r>
      <w:r>
        <w:t>Streamlit sends the tenant, conversation ID and question to FastAPI.</w:t>
      </w:r>
    </w:p>
    <w:p>
      <w:pPr>
        <w:spacing w:after="50"/>
        <w:ind w:left="288" w:hanging="288"/>
      </w:pPr>
      <w:r>
        <w:rPr>
          <w:b/>
        </w:rPr>
        <w:t xml:space="preserve">2. </w:t>
      </w:r>
      <w:r>
        <w:t>The API validates the request, loads bounded referential memory and assigns a request ID.</w:t>
      </w:r>
    </w:p>
    <w:p>
      <w:pPr>
        <w:spacing w:after="50"/>
        <w:ind w:left="288" w:hanging="288"/>
      </w:pPr>
      <w:r>
        <w:rPr>
          <w:b/>
        </w:rPr>
        <w:t xml:space="preserve">3. </w:t>
      </w:r>
      <w:r>
        <w:t>A local LLM proposes document, analytics, MCP or unsupported; rules authorise the route.</w:t>
      </w:r>
    </w:p>
    <w:p>
      <w:pPr>
        <w:spacing w:after="50"/>
        <w:ind w:left="288" w:hanging="288"/>
      </w:pPr>
      <w:r>
        <w:rPr>
          <w:b/>
        </w:rPr>
        <w:t xml:space="preserve">4. </w:t>
      </w:r>
      <w:r>
        <w:t>The selected path retrieves evidence, computes, calls MCP or refuses.</w:t>
      </w:r>
    </w:p>
    <w:p>
      <w:pPr>
        <w:spacing w:after="50"/>
        <w:ind w:left="288" w:hanging="288"/>
      </w:pPr>
      <w:r>
        <w:rPr>
          <w:b/>
        </w:rPr>
        <w:t xml:space="preserve">5. </w:t>
      </w:r>
      <w:r>
        <w:t>The orchestrator returns answer, confidence, citations, warnings and execution trace.</w:t>
      </w:r>
    </w:p>
    <w:p>
      <w:pPr>
        <w:spacing w:after="50"/>
        <w:ind w:left="288" w:hanging="288"/>
      </w:pPr>
      <w:r>
        <w:rPr>
          <w:b/>
        </w:rPr>
        <w:t xml:space="preserve">6. </w:t>
      </w:r>
      <w:r>
        <w:t>MongoDB stores the audit and conversation turn; feedback is stored by request ID.</w:t>
      </w:r>
    </w:p>
    <w:p>
      <w:pPr>
        <w:pStyle w:val="Heading2"/>
      </w:pPr>
      <w:r>
        <w:t>Why explicit orchestration</w:t>
      </w:r>
    </w:p>
    <w:p>
      <w:r>
        <w:t>Three execution routes plus refusal do not require a graph framework. A typed orchestrator is easier to inspect, debug and test. LangGraph would become valuable for resumable workflows, parallel tools or human approval checkpoints.</w:t>
      </w:r>
    </w:p>
    <w:p>
      <w:pPr>
        <w:pStyle w:val="Heading2"/>
      </w:pPr>
      <w:r>
        <w:t>Local model selection</w:t>
      </w:r>
    </w:p>
    <w:p>
      <w:r>
        <w:t>Mistral instruct was selected from the locally installed models for evidence-only instruction following and refusal. It runs at temperature zero. nomic-embed-text is purpose-built for retrieval and produces 768-dimensional vectors. Ollama keeps data local and avoids paid APIs.</w:t>
      </w:r>
    </w:p>
    <w:p>
      <w:r>
        <w:br w:type="page"/>
      </w:r>
    </w:p>
    <w:p>
      <w:pPr>
        <w:pStyle w:val="Heading1"/>
      </w:pPr>
      <w:r>
        <w:t>3 Dataset, chunking and retrieval</w:t>
      </w:r>
    </w:p>
    <w:p>
      <w:pPr>
        <w:pStyle w:val="Heading2"/>
      </w:pPr>
      <w:r>
        <w:t>Official mixed-content corpus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31"/>
        <w:gridCol w:w="3331"/>
        <w:gridCol w:w="3331"/>
      </w:tblGrid>
      <w:tr>
        <w:tc>
          <w:tcPr>
            <w:tcW w:type="dxa" w:w="3888"/>
            <w:shd w:fill="16324F"/>
            <w:vAlign w:val="center"/>
            <w:tcMar>
              <w:top w:w="90" w:type="dxa"/>
              <w:start w:w="100" w:type="dxa"/>
              <w:bottom w:w="90" w:type="dxa"/>
              <w:end w:w="100" w:type="dxa"/>
            </w:tcMar>
          </w:tcPr>
          <w:p>
            <w:pPr>
              <w:jc w:val="center"/>
            </w:pPr>
            <w:r>
              <w:rPr>
                <w:b/>
                <w:color w:val="FFFFFF"/>
                <w:sz w:val="16"/>
              </w:rPr>
              <w:t>Source</w:t>
            </w:r>
          </w:p>
        </w:tc>
        <w:tc>
          <w:tcPr>
            <w:tcW w:type="dxa" w:w="1440"/>
            <w:shd w:fill="16324F"/>
            <w:vAlign w:val="center"/>
            <w:tcMar>
              <w:top w:w="90" w:type="dxa"/>
              <w:start w:w="100" w:type="dxa"/>
              <w:bottom w:w="90" w:type="dxa"/>
              <w:end w:w="100" w:type="dxa"/>
            </w:tcMar>
          </w:tcPr>
          <w:p>
            <w:pPr>
              <w:jc w:val="center"/>
            </w:pPr>
            <w:r>
              <w:rPr>
                <w:b/>
                <w:color w:val="FFFFFF"/>
                <w:sz w:val="16"/>
              </w:rPr>
              <w:t>Size</w:t>
            </w:r>
          </w:p>
        </w:tc>
        <w:tc>
          <w:tcPr>
            <w:tcW w:type="dxa" w:w="4320"/>
            <w:shd w:fill="16324F"/>
            <w:vAlign w:val="center"/>
            <w:tcMar>
              <w:top w:w="90" w:type="dxa"/>
              <w:start w:w="100" w:type="dxa"/>
              <w:bottom w:w="90" w:type="dxa"/>
              <w:end w:w="100" w:type="dxa"/>
            </w:tcMar>
          </w:tcPr>
          <w:p>
            <w:pPr>
              <w:jc w:val="center"/>
            </w:pPr>
            <w:r>
              <w:rPr>
                <w:b/>
                <w:color w:val="FFFFFF"/>
                <w:sz w:val="16"/>
              </w:rPr>
              <w:t>Why it is difficult</w:t>
            </w:r>
          </w:p>
        </w:tc>
      </w:tr>
      <w:tr>
        <w:tc>
          <w:tcPr>
            <w:tcW w:type="dxa" w:w="3888"/>
            <w:vAlign w:val="center"/>
            <w:tcMar>
              <w:top w:w="90" w:type="dxa"/>
              <w:start w:w="100" w:type="dxa"/>
              <w:bottom w:w="90" w:type="dxa"/>
              <w:end w:w="100" w:type="dxa"/>
            </w:tcMar>
          </w:tcPr>
          <w:p>
            <w:pPr>
              <w:spacing w:after="0"/>
              <w:jc w:val="left"/>
            </w:pPr>
            <w:r>
              <w:rPr>
                <w:sz w:val="16"/>
              </w:rPr>
              <w:t>World Bank Procurement Regulations 2025</w:t>
            </w:r>
          </w:p>
        </w:tc>
        <w:tc>
          <w:tcPr>
            <w:tcW w:type="dxa" w:w="1440"/>
            <w:vAlign w:val="center"/>
            <w:tcMar>
              <w:top w:w="90" w:type="dxa"/>
              <w:start w:w="100" w:type="dxa"/>
              <w:bottom w:w="90" w:type="dxa"/>
              <w:end w:w="100" w:type="dxa"/>
            </w:tcMar>
          </w:tcPr>
          <w:p>
            <w:pPr>
              <w:spacing w:after="0"/>
              <w:jc w:val="center"/>
            </w:pPr>
            <w:r>
              <w:rPr>
                <w:sz w:val="16"/>
              </w:rPr>
              <w:t>154 pages</w:t>
            </w:r>
          </w:p>
        </w:tc>
        <w:tc>
          <w:tcPr>
            <w:tcW w:type="dxa" w:w="4320"/>
            <w:vAlign w:val="center"/>
            <w:tcMar>
              <w:top w:w="90" w:type="dxa"/>
              <w:start w:w="100" w:type="dxa"/>
              <w:bottom w:w="90" w:type="dxa"/>
              <w:end w:w="100" w:type="dxa"/>
            </w:tcMar>
          </w:tcPr>
          <w:p>
            <w:pPr>
              <w:spacing w:after="0"/>
              <w:jc w:val="left"/>
            </w:pPr>
            <w:r>
              <w:rPr>
                <w:sz w:val="16"/>
              </w:rPr>
              <w:t>Rules, annexes and specialised terminology</w:t>
            </w:r>
          </w:p>
        </w:tc>
      </w:tr>
      <w:tr>
        <w:tc>
          <w:tcPr>
            <w:tcW w:type="dxa" w:w="3888"/>
            <w:vAlign w:val="center"/>
            <w:shd w:fill="F5F7FA"/>
            <w:tcMar>
              <w:top w:w="90" w:type="dxa"/>
              <w:start w:w="100" w:type="dxa"/>
              <w:bottom w:w="90" w:type="dxa"/>
              <w:end w:w="100" w:type="dxa"/>
            </w:tcMar>
          </w:tcPr>
          <w:p>
            <w:pPr>
              <w:spacing w:after="0"/>
              <w:jc w:val="left"/>
            </w:pPr>
            <w:r>
              <w:rPr>
                <w:sz w:val="16"/>
              </w:rPr>
              <w:t>World Bank Contract Management Guidance 2024</w:t>
            </w:r>
          </w:p>
        </w:tc>
        <w:tc>
          <w:tcPr>
            <w:tcW w:type="dxa" w:w="1440"/>
            <w:vAlign w:val="center"/>
            <w:shd w:fill="F5F7FA"/>
            <w:tcMar>
              <w:top w:w="90" w:type="dxa"/>
              <w:start w:w="100" w:type="dxa"/>
              <w:bottom w:w="90" w:type="dxa"/>
              <w:end w:w="100" w:type="dxa"/>
            </w:tcMar>
          </w:tcPr>
          <w:p>
            <w:pPr>
              <w:spacing w:after="0"/>
              <w:jc w:val="center"/>
            </w:pPr>
            <w:r>
              <w:rPr>
                <w:sz w:val="16"/>
              </w:rPr>
              <w:t>124 pages</w:t>
            </w:r>
          </w:p>
        </w:tc>
        <w:tc>
          <w:tcPr>
            <w:tcW w:type="dxa" w:w="4320"/>
            <w:vAlign w:val="center"/>
            <w:shd w:fill="F5F7FA"/>
            <w:tcMar>
              <w:top w:w="90" w:type="dxa"/>
              <w:start w:w="100" w:type="dxa"/>
              <w:bottom w:w="90" w:type="dxa"/>
              <w:end w:w="100" w:type="dxa"/>
            </w:tcMar>
          </w:tcPr>
          <w:p>
            <w:pPr>
              <w:spacing w:after="0"/>
              <w:jc w:val="left"/>
            </w:pPr>
            <w:r>
              <w:rPr>
                <w:sz w:val="16"/>
              </w:rPr>
              <w:t>Tables, diagrams, KPIs and workflows</w:t>
            </w:r>
          </w:p>
        </w:tc>
      </w:tr>
      <w:tr>
        <w:tc>
          <w:tcPr>
            <w:tcW w:type="dxa" w:w="3888"/>
            <w:vAlign w:val="center"/>
            <w:tcMar>
              <w:top w:w="90" w:type="dxa"/>
              <w:start w:w="100" w:type="dxa"/>
              <w:bottom w:w="90" w:type="dxa"/>
              <w:end w:w="100" w:type="dxa"/>
            </w:tcMar>
          </w:tcPr>
          <w:p>
            <w:pPr>
              <w:spacing w:after="0"/>
              <w:jc w:val="left"/>
            </w:pPr>
            <w:r>
              <w:rPr>
                <w:sz w:val="16"/>
              </w:rPr>
              <w:t>NIST SP 800-161 Rev. 1 Update 1</w:t>
            </w:r>
          </w:p>
        </w:tc>
        <w:tc>
          <w:tcPr>
            <w:tcW w:type="dxa" w:w="1440"/>
            <w:vAlign w:val="center"/>
            <w:tcMar>
              <w:top w:w="90" w:type="dxa"/>
              <w:start w:w="100" w:type="dxa"/>
              <w:bottom w:w="90" w:type="dxa"/>
              <w:end w:w="100" w:type="dxa"/>
            </w:tcMar>
          </w:tcPr>
          <w:p>
            <w:pPr>
              <w:spacing w:after="0"/>
              <w:jc w:val="center"/>
            </w:pPr>
            <w:r>
              <w:rPr>
                <w:sz w:val="16"/>
              </w:rPr>
              <w:t>325 pages</w:t>
            </w:r>
          </w:p>
        </w:tc>
        <w:tc>
          <w:tcPr>
            <w:tcW w:type="dxa" w:w="4320"/>
            <w:vAlign w:val="center"/>
            <w:tcMar>
              <w:top w:w="90" w:type="dxa"/>
              <w:start w:w="100" w:type="dxa"/>
              <w:bottom w:w="90" w:type="dxa"/>
              <w:end w:w="100" w:type="dxa"/>
            </w:tcMar>
          </w:tcPr>
          <w:p>
            <w:pPr>
              <w:spacing w:after="0"/>
              <w:jc w:val="left"/>
            </w:pPr>
            <w:r>
              <w:rPr>
                <w:sz w:val="16"/>
              </w:rPr>
              <w:t>Dense controls, acronyms and cross-references</w:t>
            </w:r>
          </w:p>
        </w:tc>
      </w:tr>
      <w:tr>
        <w:tc>
          <w:tcPr>
            <w:tcW w:type="dxa" w:w="3888"/>
            <w:vAlign w:val="center"/>
            <w:shd w:fill="F5F7FA"/>
            <w:tcMar>
              <w:top w:w="90" w:type="dxa"/>
              <w:start w:w="100" w:type="dxa"/>
              <w:bottom w:w="90" w:type="dxa"/>
              <w:end w:w="100" w:type="dxa"/>
            </w:tcMar>
          </w:tcPr>
          <w:p>
            <w:pPr>
              <w:spacing w:after="0"/>
              <w:jc w:val="left"/>
            </w:pPr>
            <w:r>
              <w:rPr>
                <w:sz w:val="16"/>
              </w:rPr>
              <w:t>OpenFEMA Disaster Declarations v2</w:t>
            </w:r>
          </w:p>
        </w:tc>
        <w:tc>
          <w:tcPr>
            <w:tcW w:type="dxa" w:w="1440"/>
            <w:vAlign w:val="center"/>
            <w:shd w:fill="F5F7FA"/>
            <w:tcMar>
              <w:top w:w="90" w:type="dxa"/>
              <w:start w:w="100" w:type="dxa"/>
              <w:bottom w:w="90" w:type="dxa"/>
              <w:end w:w="100" w:type="dxa"/>
            </w:tcMar>
          </w:tcPr>
          <w:p>
            <w:pPr>
              <w:spacing w:after="0"/>
              <w:jc w:val="center"/>
            </w:pPr>
            <w:r>
              <w:rPr>
                <w:sz w:val="16"/>
              </w:rPr>
              <w:t>70,402 rows</w:t>
            </w:r>
          </w:p>
        </w:tc>
        <w:tc>
          <w:tcPr>
            <w:tcW w:type="dxa" w:w="4320"/>
            <w:vAlign w:val="center"/>
            <w:shd w:fill="F5F7FA"/>
            <w:tcMar>
              <w:top w:w="90" w:type="dxa"/>
              <w:start w:w="100" w:type="dxa"/>
              <w:bottom w:w="90" w:type="dxa"/>
              <w:end w:w="100" w:type="dxa"/>
            </w:tcMar>
          </w:tcPr>
          <w:p>
            <w:pPr>
              <w:spacing w:after="0"/>
              <w:jc w:val="left"/>
            </w:pPr>
            <w:r>
              <w:rPr>
                <w:sz w:val="16"/>
              </w:rPr>
              <w:t>Nulls, dates, geography and repeated rows</w:t>
            </w:r>
          </w:p>
        </w:tc>
      </w:tr>
    </w:tbl>
    <w:p>
      <w:pPr>
        <w:spacing w:after="20"/>
      </w:pPr>
    </w:p>
    <w:p>
      <w:pPr>
        <w:pStyle w:val="Heading2"/>
      </w:pPr>
      <w:r>
        <w:t>Measured chunking decision</w:t>
      </w:r>
    </w:p>
    <w:p>
      <w:r>
        <w:t>The implementation uses 160 words with 30 words of overlap, a 130-word step. Chunks stay inside each page element, and tables remain separate from prose. The value was selected from a reproducible benchmark rather than convention.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1666"/>
        <w:gridCol w:w="1666"/>
        <w:gridCol w:w="1666"/>
        <w:gridCol w:w="1666"/>
        <w:gridCol w:w="1666"/>
        <w:gridCol w:w="1666"/>
      </w:tblGrid>
      <w:tr>
        <w:tc>
          <w:tcPr>
            <w:tcW w:type="dxa" w:w="2016"/>
            <w:shd w:fill="16324F"/>
            <w:vAlign w:val="center"/>
            <w:tcMar>
              <w:top w:w="90" w:type="dxa"/>
              <w:start w:w="100" w:type="dxa"/>
              <w:bottom w:w="90" w:type="dxa"/>
              <w:end w:w="100" w:type="dxa"/>
            </w:tcMar>
          </w:tcPr>
          <w:p>
            <w:pPr>
              <w:jc w:val="center"/>
            </w:pPr>
            <w:r>
              <w:rPr>
                <w:b/>
                <w:color w:val="FFFFFF"/>
                <w:sz w:val="16"/>
              </w:rPr>
              <w:t>Candidate</w:t>
            </w:r>
          </w:p>
        </w:tc>
        <w:tc>
          <w:tcPr>
            <w:tcW w:type="dxa" w:w="1152"/>
            <w:shd w:fill="16324F"/>
            <w:vAlign w:val="center"/>
            <w:tcMar>
              <w:top w:w="90" w:type="dxa"/>
              <w:start w:w="100" w:type="dxa"/>
              <w:bottom w:w="90" w:type="dxa"/>
              <w:end w:w="100" w:type="dxa"/>
            </w:tcMar>
          </w:tcPr>
          <w:p>
            <w:pPr>
              <w:jc w:val="center"/>
            </w:pPr>
            <w:r>
              <w:rPr>
                <w:b/>
                <w:color w:val="FFFFFF"/>
                <w:sz w:val="16"/>
              </w:rPr>
              <w:t>Chunks</w:t>
            </w:r>
          </w:p>
        </w:tc>
        <w:tc>
          <w:tcPr>
            <w:tcW w:type="dxa" w:w="1440"/>
            <w:shd w:fill="16324F"/>
            <w:vAlign w:val="center"/>
            <w:tcMar>
              <w:top w:w="90" w:type="dxa"/>
              <w:start w:w="100" w:type="dxa"/>
              <w:bottom w:w="90" w:type="dxa"/>
              <w:end w:w="100" w:type="dxa"/>
            </w:tcMar>
          </w:tcPr>
          <w:p>
            <w:pPr>
              <w:jc w:val="center"/>
            </w:pPr>
            <w:r>
              <w:rPr>
                <w:b/>
                <w:color w:val="FFFFFF"/>
                <w:sz w:val="16"/>
              </w:rPr>
              <w:t>Recall at 6</w:t>
            </w:r>
          </w:p>
        </w:tc>
        <w:tc>
          <w:tcPr>
            <w:tcW w:type="dxa" w:w="1224"/>
            <w:shd w:fill="16324F"/>
            <w:vAlign w:val="center"/>
            <w:tcMar>
              <w:top w:w="90" w:type="dxa"/>
              <w:start w:w="100" w:type="dxa"/>
              <w:bottom w:w="90" w:type="dxa"/>
              <w:end w:w="100" w:type="dxa"/>
            </w:tcMar>
          </w:tcPr>
          <w:p>
            <w:pPr>
              <w:jc w:val="center"/>
            </w:pPr>
            <w:r>
              <w:rPr>
                <w:b/>
                <w:color w:val="FFFFFF"/>
                <w:sz w:val="16"/>
              </w:rPr>
              <w:t>Hit rate</w:t>
            </w:r>
          </w:p>
        </w:tc>
        <w:tc>
          <w:tcPr>
            <w:tcW w:type="dxa" w:w="1224"/>
            <w:shd w:fill="16324F"/>
            <w:vAlign w:val="center"/>
            <w:tcMar>
              <w:top w:w="90" w:type="dxa"/>
              <w:start w:w="100" w:type="dxa"/>
              <w:bottom w:w="90" w:type="dxa"/>
              <w:end w:w="100" w:type="dxa"/>
            </w:tcMar>
          </w:tcPr>
          <w:p>
            <w:pPr>
              <w:jc w:val="center"/>
            </w:pPr>
            <w:r>
              <w:rPr>
                <w:b/>
                <w:color w:val="FFFFFF"/>
                <w:sz w:val="16"/>
              </w:rPr>
              <w:t>MRR at 6</w:t>
            </w:r>
          </w:p>
        </w:tc>
        <w:tc>
          <w:tcPr>
            <w:tcW w:type="dxa" w:w="1584"/>
            <w:shd w:fill="16324F"/>
            <w:vAlign w:val="center"/>
            <w:tcMar>
              <w:top w:w="90" w:type="dxa"/>
              <w:start w:w="100" w:type="dxa"/>
              <w:bottom w:w="90" w:type="dxa"/>
              <w:end w:w="100" w:type="dxa"/>
            </w:tcMar>
          </w:tcPr>
          <w:p>
            <w:pPr>
              <w:jc w:val="center"/>
            </w:pPr>
            <w:r>
              <w:rPr>
                <w:b/>
                <w:color w:val="FFFFFF"/>
                <w:sz w:val="16"/>
              </w:rPr>
              <w:t>Context words</w:t>
            </w:r>
          </w:p>
        </w:tc>
      </w:tr>
      <w:tr>
        <w:tc>
          <w:tcPr>
            <w:tcW w:type="dxa" w:w="2016"/>
            <w:vAlign w:val="center"/>
            <w:tcMar>
              <w:top w:w="90" w:type="dxa"/>
              <w:start w:w="100" w:type="dxa"/>
              <w:bottom w:w="90" w:type="dxa"/>
              <w:end w:w="100" w:type="dxa"/>
            </w:tcMar>
          </w:tcPr>
          <w:p>
            <w:pPr>
              <w:spacing w:after="0"/>
              <w:jc w:val="center"/>
            </w:pPr>
            <w:r>
              <w:rPr>
                <w:sz w:val="16"/>
              </w:rPr>
              <w:t>160 / 30 selected</w:t>
            </w:r>
          </w:p>
        </w:tc>
        <w:tc>
          <w:tcPr>
            <w:tcW w:type="dxa" w:w="1152"/>
            <w:vAlign w:val="center"/>
            <w:tcMar>
              <w:top w:w="90" w:type="dxa"/>
              <w:start w:w="100" w:type="dxa"/>
              <w:bottom w:w="90" w:type="dxa"/>
              <w:end w:w="100" w:type="dxa"/>
            </w:tcMar>
          </w:tcPr>
          <w:p>
            <w:pPr>
              <w:spacing w:after="0"/>
              <w:jc w:val="center"/>
            </w:pPr>
            <w:r>
              <w:rPr>
                <w:sz w:val="16"/>
              </w:rPr>
              <w:t>2,198</w:t>
            </w:r>
          </w:p>
        </w:tc>
        <w:tc>
          <w:tcPr>
            <w:tcW w:type="dxa" w:w="1440"/>
            <w:vAlign w:val="center"/>
            <w:tcMar>
              <w:top w:w="90" w:type="dxa"/>
              <w:start w:w="100" w:type="dxa"/>
              <w:bottom w:w="90" w:type="dxa"/>
              <w:end w:w="100" w:type="dxa"/>
            </w:tcMar>
          </w:tcPr>
          <w:p>
            <w:pPr>
              <w:spacing w:after="0"/>
              <w:jc w:val="center"/>
            </w:pPr>
            <w:r>
              <w:rPr>
                <w:sz w:val="16"/>
              </w:rPr>
              <w:t>74.6%</w:t>
            </w:r>
          </w:p>
        </w:tc>
        <w:tc>
          <w:tcPr>
            <w:tcW w:type="dxa" w:w="1224"/>
            <w:vAlign w:val="center"/>
            <w:tcMar>
              <w:top w:w="90" w:type="dxa"/>
              <w:start w:w="100" w:type="dxa"/>
              <w:bottom w:w="90" w:type="dxa"/>
              <w:end w:w="100" w:type="dxa"/>
            </w:tcMar>
          </w:tcPr>
          <w:p>
            <w:pPr>
              <w:spacing w:after="0"/>
              <w:jc w:val="center"/>
            </w:pPr>
            <w:r>
              <w:rPr>
                <w:sz w:val="16"/>
              </w:rPr>
              <w:t>100%</w:t>
            </w:r>
          </w:p>
        </w:tc>
        <w:tc>
          <w:tcPr>
            <w:tcW w:type="dxa" w:w="1224"/>
            <w:vAlign w:val="center"/>
            <w:tcMar>
              <w:top w:w="90" w:type="dxa"/>
              <w:start w:w="100" w:type="dxa"/>
              <w:bottom w:w="90" w:type="dxa"/>
              <w:end w:w="100" w:type="dxa"/>
            </w:tcMar>
          </w:tcPr>
          <w:p>
            <w:pPr>
              <w:spacing w:after="0"/>
              <w:jc w:val="center"/>
            </w:pPr>
            <w:r>
              <w:rPr>
                <w:sz w:val="16"/>
              </w:rPr>
              <w:t>0.413</w:t>
            </w:r>
          </w:p>
        </w:tc>
        <w:tc>
          <w:tcPr>
            <w:tcW w:type="dxa" w:w="1584"/>
            <w:vAlign w:val="center"/>
            <w:tcMar>
              <w:top w:w="90" w:type="dxa"/>
              <w:start w:w="100" w:type="dxa"/>
              <w:bottom w:w="90" w:type="dxa"/>
              <w:end w:w="100" w:type="dxa"/>
            </w:tcMar>
          </w:tcPr>
          <w:p>
            <w:pPr>
              <w:spacing w:after="0"/>
              <w:jc w:val="center"/>
            </w:pPr>
            <w:r>
              <w:rPr>
                <w:sz w:val="16"/>
              </w:rPr>
              <w:t>749</w:t>
            </w:r>
          </w:p>
        </w:tc>
      </w:tr>
      <w:tr>
        <w:tc>
          <w:tcPr>
            <w:tcW w:type="dxa" w:w="2016"/>
            <w:vAlign w:val="center"/>
            <w:shd w:fill="F5F7FA"/>
            <w:tcMar>
              <w:top w:w="90" w:type="dxa"/>
              <w:start w:w="100" w:type="dxa"/>
              <w:bottom w:w="90" w:type="dxa"/>
              <w:end w:w="100" w:type="dxa"/>
            </w:tcMar>
          </w:tcPr>
          <w:p>
            <w:pPr>
              <w:spacing w:after="0"/>
              <w:jc w:val="center"/>
            </w:pPr>
            <w:r>
              <w:rPr>
                <w:sz w:val="16"/>
              </w:rPr>
              <w:t>240 / 40</w:t>
            </w:r>
          </w:p>
        </w:tc>
        <w:tc>
          <w:tcPr>
            <w:tcW w:type="dxa" w:w="1152"/>
            <w:vAlign w:val="center"/>
            <w:shd w:fill="F5F7FA"/>
            <w:tcMar>
              <w:top w:w="90" w:type="dxa"/>
              <w:start w:w="100" w:type="dxa"/>
              <w:bottom w:w="90" w:type="dxa"/>
              <w:end w:w="100" w:type="dxa"/>
            </w:tcMar>
          </w:tcPr>
          <w:p>
            <w:pPr>
              <w:spacing w:after="0"/>
              <w:jc w:val="center"/>
            </w:pPr>
            <w:r>
              <w:rPr>
                <w:sz w:val="16"/>
              </w:rPr>
              <w:t>1,562</w:t>
            </w:r>
          </w:p>
        </w:tc>
        <w:tc>
          <w:tcPr>
            <w:tcW w:type="dxa" w:w="1440"/>
            <w:vAlign w:val="center"/>
            <w:shd w:fill="F5F7FA"/>
            <w:tcMar>
              <w:top w:w="90" w:type="dxa"/>
              <w:start w:w="100" w:type="dxa"/>
              <w:bottom w:w="90" w:type="dxa"/>
              <w:end w:w="100" w:type="dxa"/>
            </w:tcMar>
          </w:tcPr>
          <w:p>
            <w:pPr>
              <w:spacing w:after="0"/>
              <w:jc w:val="center"/>
            </w:pPr>
            <w:r>
              <w:rPr>
                <w:sz w:val="16"/>
              </w:rPr>
              <w:t>70.5%</w:t>
            </w:r>
          </w:p>
        </w:tc>
        <w:tc>
          <w:tcPr>
            <w:tcW w:type="dxa" w:w="1224"/>
            <w:vAlign w:val="center"/>
            <w:shd w:fill="F5F7FA"/>
            <w:tcMar>
              <w:top w:w="90" w:type="dxa"/>
              <w:start w:w="100" w:type="dxa"/>
              <w:bottom w:w="90" w:type="dxa"/>
              <w:end w:w="100" w:type="dxa"/>
            </w:tcMar>
          </w:tcPr>
          <w:p>
            <w:pPr>
              <w:spacing w:after="0"/>
              <w:jc w:val="center"/>
            </w:pPr>
            <w:r>
              <w:rPr>
                <w:sz w:val="16"/>
              </w:rPr>
              <w:t>100%</w:t>
            </w:r>
          </w:p>
        </w:tc>
        <w:tc>
          <w:tcPr>
            <w:tcW w:type="dxa" w:w="1224"/>
            <w:vAlign w:val="center"/>
            <w:shd w:fill="F5F7FA"/>
            <w:tcMar>
              <w:top w:w="90" w:type="dxa"/>
              <w:start w:w="100" w:type="dxa"/>
              <w:bottom w:w="90" w:type="dxa"/>
              <w:end w:w="100" w:type="dxa"/>
            </w:tcMar>
          </w:tcPr>
          <w:p>
            <w:pPr>
              <w:spacing w:after="0"/>
              <w:jc w:val="center"/>
            </w:pPr>
            <w:r>
              <w:rPr>
                <w:sz w:val="16"/>
              </w:rPr>
              <w:t>0.396</w:t>
            </w:r>
          </w:p>
        </w:tc>
        <w:tc>
          <w:tcPr>
            <w:tcW w:type="dxa" w:w="1584"/>
            <w:vAlign w:val="center"/>
            <w:shd w:fill="F5F7FA"/>
            <w:tcMar>
              <w:top w:w="90" w:type="dxa"/>
              <w:start w:w="100" w:type="dxa"/>
              <w:bottom w:w="90" w:type="dxa"/>
              <w:end w:w="100" w:type="dxa"/>
            </w:tcMar>
          </w:tcPr>
          <w:p>
            <w:pPr>
              <w:spacing w:after="0"/>
              <w:jc w:val="center"/>
            </w:pPr>
            <w:r>
              <w:rPr>
                <w:sz w:val="16"/>
              </w:rPr>
              <w:t>1,067</w:t>
            </w:r>
          </w:p>
        </w:tc>
      </w:tr>
      <w:tr>
        <w:tc>
          <w:tcPr>
            <w:tcW w:type="dxa" w:w="2016"/>
            <w:vAlign w:val="center"/>
            <w:tcMar>
              <w:top w:w="90" w:type="dxa"/>
              <w:start w:w="100" w:type="dxa"/>
              <w:bottom w:w="90" w:type="dxa"/>
              <w:end w:w="100" w:type="dxa"/>
            </w:tcMar>
          </w:tcPr>
          <w:p>
            <w:pPr>
              <w:spacing w:after="0"/>
              <w:jc w:val="center"/>
            </w:pPr>
            <w:r>
              <w:rPr>
                <w:sz w:val="16"/>
              </w:rPr>
              <w:t>400 / 60</w:t>
            </w:r>
          </w:p>
        </w:tc>
        <w:tc>
          <w:tcPr>
            <w:tcW w:type="dxa" w:w="1152"/>
            <w:vAlign w:val="center"/>
            <w:tcMar>
              <w:top w:w="90" w:type="dxa"/>
              <w:start w:w="100" w:type="dxa"/>
              <w:bottom w:w="90" w:type="dxa"/>
              <w:end w:w="100" w:type="dxa"/>
            </w:tcMar>
          </w:tcPr>
          <w:p>
            <w:pPr>
              <w:spacing w:after="0"/>
              <w:jc w:val="center"/>
            </w:pPr>
            <w:r>
              <w:rPr>
                <w:sz w:val="16"/>
              </w:rPr>
              <w:t>1,114</w:t>
            </w:r>
          </w:p>
        </w:tc>
        <w:tc>
          <w:tcPr>
            <w:tcW w:type="dxa" w:w="1440"/>
            <w:vAlign w:val="center"/>
            <w:tcMar>
              <w:top w:w="90" w:type="dxa"/>
              <w:start w:w="100" w:type="dxa"/>
              <w:bottom w:w="90" w:type="dxa"/>
              <w:end w:w="100" w:type="dxa"/>
            </w:tcMar>
          </w:tcPr>
          <w:p>
            <w:pPr>
              <w:spacing w:after="0"/>
              <w:jc w:val="center"/>
            </w:pPr>
            <w:r>
              <w:rPr>
                <w:sz w:val="16"/>
              </w:rPr>
              <w:t>74.1%</w:t>
            </w:r>
          </w:p>
        </w:tc>
        <w:tc>
          <w:tcPr>
            <w:tcW w:type="dxa" w:w="1224"/>
            <w:vAlign w:val="center"/>
            <w:tcMar>
              <w:top w:w="90" w:type="dxa"/>
              <w:start w:w="100" w:type="dxa"/>
              <w:bottom w:w="90" w:type="dxa"/>
              <w:end w:w="100" w:type="dxa"/>
            </w:tcMar>
          </w:tcPr>
          <w:p>
            <w:pPr>
              <w:spacing w:after="0"/>
              <w:jc w:val="center"/>
            </w:pPr>
            <w:r>
              <w:rPr>
                <w:sz w:val="16"/>
              </w:rPr>
              <w:t>100%</w:t>
            </w:r>
          </w:p>
        </w:tc>
        <w:tc>
          <w:tcPr>
            <w:tcW w:type="dxa" w:w="1224"/>
            <w:vAlign w:val="center"/>
            <w:tcMar>
              <w:top w:w="90" w:type="dxa"/>
              <w:start w:w="100" w:type="dxa"/>
              <w:bottom w:w="90" w:type="dxa"/>
              <w:end w:w="100" w:type="dxa"/>
            </w:tcMar>
          </w:tcPr>
          <w:p>
            <w:pPr>
              <w:spacing w:after="0"/>
              <w:jc w:val="center"/>
            </w:pPr>
            <w:r>
              <w:rPr>
                <w:sz w:val="16"/>
              </w:rPr>
              <w:t>0.479</w:t>
            </w:r>
          </w:p>
        </w:tc>
        <w:tc>
          <w:tcPr>
            <w:tcW w:type="dxa" w:w="1584"/>
            <w:vAlign w:val="center"/>
            <w:tcMar>
              <w:top w:w="90" w:type="dxa"/>
              <w:start w:w="100" w:type="dxa"/>
              <w:bottom w:w="90" w:type="dxa"/>
              <w:end w:w="100" w:type="dxa"/>
            </w:tcMar>
          </w:tcPr>
          <w:p>
            <w:pPr>
              <w:spacing w:after="0"/>
              <w:jc w:val="center"/>
            </w:pPr>
            <w:r>
              <w:rPr>
                <w:sz w:val="16"/>
              </w:rPr>
              <w:t>1,434</w:t>
            </w:r>
          </w:p>
        </w:tc>
      </w:tr>
    </w:tbl>
    <w:p>
      <w:pPr>
        <w:spacing w:after="20"/>
      </w:pPr>
    </w:p>
    <w:p>
      <w:r>
        <w:t>The selected candidate achieved the highest concept recall with the smallest evidence packet. The 400-word candidate had better MRR but consumed 91 percent more context. Heading hierarchy is inconsistent across publishers, so fully heading-driven splitting would be unreliable. Element-aware boundaries preserve tables and pages while fixed overlap stays measurable.</w:t>
      </w:r>
    </w:p>
    <w:p>
      <w:pPr>
        <w:pStyle w:val="Heading2"/>
      </w:pPr>
      <w:r>
        <w:t>Hybrid retrieval and grounding</w:t>
      </w:r>
    </w:p>
    <w:p>
      <w:pPr>
        <w:pStyle w:val="ListBullet"/>
        <w:spacing w:after="50"/>
      </w:pPr>
      <w:r>
        <w:t>Qdrant retrieves 20 dense cosine candidates for semantic paraphrases.</w:t>
      </w:r>
    </w:p>
    <w:p>
      <w:pPr>
        <w:pStyle w:val="ListBullet"/>
        <w:spacing w:after="50"/>
      </w:pPr>
      <w:r>
        <w:t>MongoDB retrieves 20 lexical candidates for acronyms, controls and exact values.</w:t>
      </w:r>
    </w:p>
    <w:p>
      <w:pPr>
        <w:pStyle w:val="ListBullet"/>
        <w:spacing w:after="50"/>
      </w:pPr>
      <w:r>
        <w:t>Reciprocal Rank Fusion combines ranks without mixing incompatible score scales.</w:t>
      </w:r>
    </w:p>
    <w:p>
      <w:pPr>
        <w:pStyle w:val="ListBullet"/>
        <w:spacing w:after="50"/>
      </w:pPr>
      <w:r>
        <w:t>The top six chunks form the evidence packet; evidence below 0.35 is refused.</w:t>
      </w:r>
    </w:p>
    <w:p>
      <w:pPr>
        <w:pStyle w:val="ListBullet"/>
        <w:spacing w:after="50"/>
      </w:pPr>
      <w:r>
        <w:t>Citations come from retrieved records, not model-generated source text.</w:t>
      </w:r>
    </w:p>
    <w:p>
      <w:r>
        <w:br w:type="page"/>
      </w:r>
    </w:p>
    <w:p>
      <w:pPr>
        <w:pStyle w:val="Heading1"/>
      </w:pPr>
      <w:r>
        <w:t>4 Structured analytics and MCP</w:t>
      </w:r>
    </w:p>
    <w:p>
      <w:pPr>
        <w:pStyle w:val="Heading2"/>
      </w:pPr>
      <w:r>
        <w:t>Correct structured computation</w:t>
      </w:r>
    </w:p>
    <w:p>
      <w:r>
        <w:t>The LLM never performs FEMA arithmetic. The service maps supported wording to known fields and builds an allowlisted MongoDB pipeline. User text cannot supply operators or arbitrary pipelines.</w:t>
      </w:r>
    </w:p>
    <w:p>
      <w:r>
        <w:t>OpenFEMA stores one row per designated area, so one disaster appears multiple times. Raw-row counting incorrectly reports Texas with 5,444. Grouping by state and disasterNumber first correctly returns California with 397 distinct declarations. This is a regression case.</w:t>
      </w:r>
    </w:p>
    <w:p>
      <w:pPr>
        <w:pStyle w:val="Heading2"/>
      </w:pPr>
      <w:r>
        <w:t>External tool through MCP</w:t>
      </w:r>
    </w:p>
    <w:p>
      <w:r>
        <w:t>The MCP server is a separate process using Streamable HTTP, providing a real client-server boundary instead of labelling a local function as a tool.</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31"/>
        <w:gridCol w:w="3331"/>
        <w:gridCol w:w="3331"/>
      </w:tblGrid>
      <w:tr>
        <w:tc>
          <w:tcPr>
            <w:tcW w:type="dxa" w:w="2232"/>
            <w:shd w:fill="16324F"/>
            <w:vAlign w:val="center"/>
            <w:tcMar>
              <w:top w:w="90" w:type="dxa"/>
              <w:start w:w="100" w:type="dxa"/>
              <w:bottom w:w="90" w:type="dxa"/>
              <w:end w:w="100" w:type="dxa"/>
            </w:tcMar>
          </w:tcPr>
          <w:p>
            <w:pPr>
              <w:jc w:val="center"/>
            </w:pPr>
            <w:r>
              <w:rPr>
                <w:b/>
                <w:color w:val="FFFFFF"/>
                <w:sz w:val="16"/>
              </w:rPr>
              <w:t>Tool</w:t>
            </w:r>
          </w:p>
        </w:tc>
        <w:tc>
          <w:tcPr>
            <w:tcW w:type="dxa" w:w="3096"/>
            <w:shd w:fill="16324F"/>
            <w:vAlign w:val="center"/>
            <w:tcMar>
              <w:top w:w="90" w:type="dxa"/>
              <w:start w:w="100" w:type="dxa"/>
              <w:bottom w:w="90" w:type="dxa"/>
              <w:end w:w="100" w:type="dxa"/>
            </w:tcMar>
          </w:tcPr>
          <w:p>
            <w:pPr>
              <w:jc w:val="center"/>
            </w:pPr>
            <w:r>
              <w:rPr>
                <w:b/>
                <w:color w:val="FFFFFF"/>
                <w:sz w:val="16"/>
              </w:rPr>
              <w:t>Validated inputs</w:t>
            </w:r>
          </w:p>
        </w:tc>
        <w:tc>
          <w:tcPr>
            <w:tcW w:type="dxa" w:w="4032"/>
            <w:shd w:fill="16324F"/>
            <w:vAlign w:val="center"/>
            <w:tcMar>
              <w:top w:w="90" w:type="dxa"/>
              <w:start w:w="100" w:type="dxa"/>
              <w:bottom w:w="90" w:type="dxa"/>
              <w:end w:w="100" w:type="dxa"/>
            </w:tcMar>
          </w:tcPr>
          <w:p>
            <w:pPr>
              <w:jc w:val="center"/>
            </w:pPr>
            <w:r>
              <w:rPr>
                <w:b/>
                <w:color w:val="FFFFFF"/>
                <w:sz w:val="16"/>
              </w:rPr>
              <w:t>Output</w:t>
            </w:r>
          </w:p>
        </w:tc>
      </w:tr>
      <w:tr>
        <w:tc>
          <w:tcPr>
            <w:tcW w:type="dxa" w:w="2232"/>
            <w:vAlign w:val="center"/>
            <w:tcMar>
              <w:top w:w="90" w:type="dxa"/>
              <w:start w:w="100" w:type="dxa"/>
              <w:bottom w:w="90" w:type="dxa"/>
              <w:end w:w="100" w:type="dxa"/>
            </w:tcMar>
          </w:tcPr>
          <w:p>
            <w:pPr>
              <w:spacing w:after="0"/>
              <w:jc w:val="left"/>
            </w:pPr>
            <w:r>
              <w:rPr>
                <w:sz w:val="16"/>
              </w:rPr>
              <w:t>disaster_statistics</w:t>
            </w:r>
          </w:p>
        </w:tc>
        <w:tc>
          <w:tcPr>
            <w:tcW w:type="dxa" w:w="3096"/>
            <w:vAlign w:val="center"/>
            <w:tcMar>
              <w:top w:w="90" w:type="dxa"/>
              <w:start w:w="100" w:type="dxa"/>
              <w:bottom w:w="90" w:type="dxa"/>
              <w:end w:w="100" w:type="dxa"/>
            </w:tcMar>
          </w:tcPr>
          <w:p>
            <w:pPr>
              <w:spacing w:after="0"/>
              <w:jc w:val="left"/>
            </w:pPr>
            <w:r>
              <w:rPr>
                <w:sz w:val="16"/>
              </w:rPr>
              <w:t>Optional state and year</w:t>
            </w:r>
          </w:p>
        </w:tc>
        <w:tc>
          <w:tcPr>
            <w:tcW w:type="dxa" w:w="4032"/>
            <w:vAlign w:val="center"/>
            <w:tcMar>
              <w:top w:w="90" w:type="dxa"/>
              <w:start w:w="100" w:type="dxa"/>
              <w:bottom w:w="90" w:type="dxa"/>
              <w:end w:w="100" w:type="dxa"/>
            </w:tcMar>
          </w:tcPr>
          <w:p>
            <w:pPr>
              <w:spacing w:after="0"/>
              <w:jc w:val="left"/>
            </w:pPr>
            <w:r>
              <w:rPr>
                <w:sz w:val="16"/>
              </w:rPr>
              <w:t>Distinct totals, row count, incident breakdown and source</w:t>
            </w:r>
          </w:p>
        </w:tc>
      </w:tr>
      <w:tr>
        <w:tc>
          <w:tcPr>
            <w:tcW w:type="dxa" w:w="2232"/>
            <w:vAlign w:val="center"/>
            <w:shd w:fill="F5F7FA"/>
            <w:tcMar>
              <w:top w:w="90" w:type="dxa"/>
              <w:start w:w="100" w:type="dxa"/>
              <w:bottom w:w="90" w:type="dxa"/>
              <w:end w:w="100" w:type="dxa"/>
            </w:tcMar>
          </w:tcPr>
          <w:p>
            <w:pPr>
              <w:spacing w:after="0"/>
              <w:jc w:val="center"/>
            </w:pPr>
            <w:r>
              <w:rPr>
                <w:sz w:val="16"/>
              </w:rPr>
              <w:t>lookup_disasters</w:t>
            </w:r>
          </w:p>
        </w:tc>
        <w:tc>
          <w:tcPr>
            <w:tcW w:type="dxa" w:w="3096"/>
            <w:vAlign w:val="center"/>
            <w:shd w:fill="F5F7FA"/>
            <w:tcMar>
              <w:top w:w="90" w:type="dxa"/>
              <w:start w:w="100" w:type="dxa"/>
              <w:bottom w:w="90" w:type="dxa"/>
              <w:end w:w="100" w:type="dxa"/>
            </w:tcMar>
          </w:tcPr>
          <w:p>
            <w:pPr>
              <w:spacing w:after="0"/>
              <w:jc w:val="left"/>
            </w:pPr>
            <w:r>
              <w:rPr>
                <w:sz w:val="16"/>
              </w:rPr>
              <w:t>State, year and bounded limit</w:t>
            </w:r>
          </w:p>
        </w:tc>
        <w:tc>
          <w:tcPr>
            <w:tcW w:type="dxa" w:w="4032"/>
            <w:vAlign w:val="center"/>
            <w:shd w:fill="F5F7FA"/>
            <w:tcMar>
              <w:top w:w="90" w:type="dxa"/>
              <w:start w:w="100" w:type="dxa"/>
              <w:bottom w:w="90" w:type="dxa"/>
              <w:end w:w="100" w:type="dxa"/>
            </w:tcMar>
          </w:tcPr>
          <w:p>
            <w:pPr>
              <w:spacing w:after="0"/>
              <w:jc w:val="left"/>
            </w:pPr>
            <w:r>
              <w:rPr>
                <w:sz w:val="16"/>
              </w:rPr>
              <w:t>Matching records with explicit source</w:t>
            </w:r>
          </w:p>
        </w:tc>
      </w:tr>
    </w:tbl>
    <w:p>
      <w:pPr>
        <w:spacing w:after="20"/>
      </w:pPr>
    </w:p>
    <w:p>
      <w:pPr>
        <w:pStyle w:val="Heading2"/>
      </w:pPr>
      <w:r>
        <w:t>Guarded intent selection</w:t>
      </w:r>
    </w:p>
    <w:p>
      <w:r>
        <w:t>Explicit FEMA tool wording selects MCP. Otherwise, a local LLM proposes an intent and rules control access. FEMA analytics requires a FEMA subject and supported operation. Procurement misrouted as analytics is corrected to document RAG. Unrelated requests are refused before access.</w:t>
      </w:r>
    </w:p>
    <w:p>
      <w:pPr>
        <w:pStyle w:val="Heading2"/>
      </w:pPr>
      <w:r>
        <w:t>Failure handling</w:t>
      </w:r>
    </w:p>
    <w:p>
      <w:pPr>
        <w:pStyle w:val="ListBullet"/>
        <w:spacing w:after="50"/>
      </w:pPr>
      <w:r>
        <w:t>Invalid state or year values fail validation before tool execution.</w:t>
      </w:r>
    </w:p>
    <w:p>
      <w:pPr>
        <w:pStyle w:val="ListBullet"/>
        <w:spacing w:after="50"/>
      </w:pPr>
      <w:r>
        <w:t>Tool and storage failures produce controlled warnings and dependency status.</w:t>
      </w:r>
    </w:p>
    <w:p>
      <w:pPr>
        <w:pStyle w:val="ListBullet"/>
        <w:spacing w:after="50"/>
      </w:pPr>
      <w:r>
        <w:t>No failed path falls back to unsupported model knowledge.</w:t>
      </w:r>
    </w:p>
    <w:p>
      <w:pPr>
        <w:pStyle w:val="ListBullet"/>
        <w:spacing w:after="50"/>
      </w:pPr>
      <w:r>
        <w:t>The response exposes the tool, validated arguments, source and output.</w:t>
      </w:r>
    </w:p>
    <w:p>
      <w:r>
        <w:br w:type="page"/>
      </w:r>
    </w:p>
    <w:p>
      <w:pPr>
        <w:pStyle w:val="Heading1"/>
      </w:pPr>
      <w:r>
        <w:t>5 Reliability, memory and feedback</w:t>
      </w:r>
    </w:p>
    <w:p>
      <w:pPr>
        <w:pStyle w:val="Heading2"/>
      </w:pPr>
      <w:r>
        <w:t>Reliability controls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c>
          <w:tcPr>
            <w:tcW w:type="dxa" w:w="2880"/>
            <w:shd w:fill="16324F"/>
            <w:vAlign w:val="center"/>
            <w:tcMar>
              <w:top w:w="90" w:type="dxa"/>
              <w:start w:w="100" w:type="dxa"/>
              <w:bottom w:w="90" w:type="dxa"/>
              <w:end w:w="100" w:type="dxa"/>
            </w:tcMar>
          </w:tcPr>
          <w:p>
            <w:pPr>
              <w:jc w:val="center"/>
            </w:pPr>
            <w:r>
              <w:rPr>
                <w:b/>
                <w:color w:val="FFFFFF"/>
                <w:sz w:val="16"/>
              </w:rPr>
              <w:t>Risk or edge case</w:t>
            </w:r>
          </w:p>
        </w:tc>
        <w:tc>
          <w:tcPr>
            <w:tcW w:type="dxa" w:w="6768"/>
            <w:shd w:fill="16324F"/>
            <w:vAlign w:val="center"/>
            <w:tcMar>
              <w:top w:w="90" w:type="dxa"/>
              <w:start w:w="100" w:type="dxa"/>
              <w:bottom w:w="90" w:type="dxa"/>
              <w:end w:w="100" w:type="dxa"/>
            </w:tcMar>
          </w:tcPr>
          <w:p>
            <w:pPr>
              <w:jc w:val="center"/>
            </w:pPr>
            <w:r>
              <w:rPr>
                <w:b/>
                <w:color w:val="FFFFFF"/>
                <w:sz w:val="16"/>
              </w:rPr>
              <w:t>Control</w:t>
            </w:r>
          </w:p>
        </w:tc>
      </w:tr>
      <w:tr>
        <w:tc>
          <w:tcPr>
            <w:tcW w:type="dxa" w:w="2880"/>
            <w:vAlign w:val="center"/>
            <w:tcMar>
              <w:top w:w="90" w:type="dxa"/>
              <w:start w:w="100" w:type="dxa"/>
              <w:bottom w:w="90" w:type="dxa"/>
              <w:end w:w="100" w:type="dxa"/>
            </w:tcMar>
          </w:tcPr>
          <w:p>
            <w:pPr>
              <w:spacing w:after="0"/>
              <w:jc w:val="center"/>
            </w:pPr>
            <w:r>
              <w:rPr>
                <w:sz w:val="16"/>
              </w:rPr>
              <w:t>Weak evidence</w:t>
            </w:r>
          </w:p>
        </w:tc>
        <w:tc>
          <w:tcPr>
            <w:tcW w:type="dxa" w:w="6768"/>
            <w:vAlign w:val="center"/>
            <w:tcMar>
              <w:top w:w="90" w:type="dxa"/>
              <w:start w:w="100" w:type="dxa"/>
              <w:bottom w:w="90" w:type="dxa"/>
              <w:end w:w="100" w:type="dxa"/>
            </w:tcMar>
          </w:tcPr>
          <w:p>
            <w:pPr>
              <w:spacing w:after="0"/>
              <w:jc w:val="left"/>
            </w:pPr>
            <w:r>
              <w:rPr>
                <w:sz w:val="16"/>
              </w:rPr>
              <w:t>Refuse below threshold; never generate from model memory</w:t>
            </w:r>
          </w:p>
        </w:tc>
      </w:tr>
      <w:tr>
        <w:tc>
          <w:tcPr>
            <w:tcW w:type="dxa" w:w="2880"/>
            <w:vAlign w:val="center"/>
            <w:shd w:fill="F5F7FA"/>
            <w:tcMar>
              <w:top w:w="90" w:type="dxa"/>
              <w:start w:w="100" w:type="dxa"/>
              <w:bottom w:w="90" w:type="dxa"/>
              <w:end w:w="100" w:type="dxa"/>
            </w:tcMar>
          </w:tcPr>
          <w:p>
            <w:pPr>
              <w:spacing w:after="0"/>
              <w:jc w:val="center"/>
            </w:pPr>
            <w:r>
              <w:rPr>
                <w:sz w:val="16"/>
              </w:rPr>
              <w:t>Prompt injection</w:t>
            </w:r>
          </w:p>
        </w:tc>
        <w:tc>
          <w:tcPr>
            <w:tcW w:type="dxa" w:w="6768"/>
            <w:vAlign w:val="center"/>
            <w:shd w:fill="F5F7FA"/>
            <w:tcMar>
              <w:top w:w="90" w:type="dxa"/>
              <w:start w:w="100" w:type="dxa"/>
              <w:bottom w:w="90" w:type="dxa"/>
              <w:end w:w="100" w:type="dxa"/>
            </w:tcMar>
          </w:tcPr>
          <w:p>
            <w:pPr>
              <w:spacing w:after="0"/>
              <w:jc w:val="left"/>
            </w:pPr>
            <w:r>
              <w:rPr>
                <w:sz w:val="16"/>
              </w:rPr>
              <w:t>Treat chunks as untrusted evidence, not application instructions</w:t>
            </w:r>
          </w:p>
        </w:tc>
      </w:tr>
      <w:tr>
        <w:tc>
          <w:tcPr>
            <w:tcW w:type="dxa" w:w="2880"/>
            <w:vAlign w:val="center"/>
            <w:tcMar>
              <w:top w:w="90" w:type="dxa"/>
              <w:start w:w="100" w:type="dxa"/>
              <w:bottom w:w="90" w:type="dxa"/>
              <w:end w:w="100" w:type="dxa"/>
            </w:tcMar>
          </w:tcPr>
          <w:p>
            <w:pPr>
              <w:spacing w:after="0"/>
              <w:jc w:val="center"/>
            </w:pPr>
            <w:r>
              <w:rPr>
                <w:sz w:val="16"/>
              </w:rPr>
              <w:t>NoSQL injection</w:t>
            </w:r>
          </w:p>
        </w:tc>
        <w:tc>
          <w:tcPr>
            <w:tcW w:type="dxa" w:w="6768"/>
            <w:vAlign w:val="center"/>
            <w:tcMar>
              <w:top w:w="90" w:type="dxa"/>
              <w:start w:w="100" w:type="dxa"/>
              <w:bottom w:w="90" w:type="dxa"/>
              <w:end w:w="100" w:type="dxa"/>
            </w:tcMar>
          </w:tcPr>
          <w:p>
            <w:pPr>
              <w:spacing w:after="0"/>
              <w:jc w:val="left"/>
            </w:pPr>
            <w:r>
              <w:rPr>
                <w:sz w:val="16"/>
              </w:rPr>
              <w:t>Allowlisted fields and server-owned pipelines</w:t>
            </w:r>
          </w:p>
        </w:tc>
      </w:tr>
      <w:tr>
        <w:tc>
          <w:tcPr>
            <w:tcW w:type="dxa" w:w="2880"/>
            <w:vAlign w:val="center"/>
            <w:shd w:fill="F5F7FA"/>
            <w:tcMar>
              <w:top w:w="90" w:type="dxa"/>
              <w:start w:w="100" w:type="dxa"/>
              <w:bottom w:w="90" w:type="dxa"/>
              <w:end w:w="100" w:type="dxa"/>
            </w:tcMar>
          </w:tcPr>
          <w:p>
            <w:pPr>
              <w:spacing w:after="0"/>
              <w:jc w:val="left"/>
            </w:pPr>
            <w:r>
              <w:rPr>
                <w:sz w:val="16"/>
              </w:rPr>
              <w:t>Cross-tenant leakage</w:t>
            </w:r>
          </w:p>
        </w:tc>
        <w:tc>
          <w:tcPr>
            <w:tcW w:type="dxa" w:w="6768"/>
            <w:vAlign w:val="center"/>
            <w:shd w:fill="F5F7FA"/>
            <w:tcMar>
              <w:top w:w="90" w:type="dxa"/>
              <w:start w:w="100" w:type="dxa"/>
              <w:bottom w:w="90" w:type="dxa"/>
              <w:end w:w="100" w:type="dxa"/>
            </w:tcMar>
          </w:tcPr>
          <w:p>
            <w:pPr>
              <w:spacing w:after="0"/>
              <w:jc w:val="left"/>
            </w:pPr>
            <w:r>
              <w:rPr>
                <w:sz w:val="16"/>
              </w:rPr>
              <w:t>Tenant filters in MongoDB and Qdrant plus isolated conversation IDs</w:t>
            </w:r>
          </w:p>
        </w:tc>
      </w:tr>
      <w:tr>
        <w:tc>
          <w:tcPr>
            <w:tcW w:type="dxa" w:w="2880"/>
            <w:vAlign w:val="center"/>
            <w:tcMar>
              <w:top w:w="90" w:type="dxa"/>
              <w:start w:w="100" w:type="dxa"/>
              <w:bottom w:w="90" w:type="dxa"/>
              <w:end w:w="100" w:type="dxa"/>
            </w:tcMar>
          </w:tcPr>
          <w:p>
            <w:pPr>
              <w:spacing w:after="0"/>
              <w:jc w:val="left"/>
            </w:pPr>
            <w:r>
              <w:rPr>
                <w:sz w:val="16"/>
              </w:rPr>
              <w:t>Duplicate ingestion</w:t>
            </w:r>
          </w:p>
        </w:tc>
        <w:tc>
          <w:tcPr>
            <w:tcW w:type="dxa" w:w="6768"/>
            <w:vAlign w:val="center"/>
            <w:tcMar>
              <w:top w:w="90" w:type="dxa"/>
              <w:start w:w="100" w:type="dxa"/>
              <w:bottom w:w="90" w:type="dxa"/>
              <w:end w:w="100" w:type="dxa"/>
            </w:tcMar>
          </w:tcPr>
          <w:p>
            <w:pPr>
              <w:spacing w:after="0"/>
              <w:jc w:val="left"/>
            </w:pPr>
            <w:r>
              <w:rPr>
                <w:sz w:val="16"/>
              </w:rPr>
              <w:t>Deterministic IDs and idempotent upserts</w:t>
            </w:r>
          </w:p>
        </w:tc>
      </w:tr>
      <w:tr>
        <w:tc>
          <w:tcPr>
            <w:tcW w:type="dxa" w:w="2880"/>
            <w:vAlign w:val="center"/>
            <w:shd w:fill="F5F7FA"/>
            <w:tcMar>
              <w:top w:w="90" w:type="dxa"/>
              <w:start w:w="100" w:type="dxa"/>
              <w:bottom w:w="90" w:type="dxa"/>
              <w:end w:w="100" w:type="dxa"/>
            </w:tcMar>
          </w:tcPr>
          <w:p>
            <w:pPr>
              <w:spacing w:after="0"/>
              <w:jc w:val="left"/>
            </w:pPr>
            <w:r>
              <w:rPr>
                <w:sz w:val="16"/>
              </w:rPr>
              <w:t>Duplicate feedback</w:t>
            </w:r>
          </w:p>
        </w:tc>
        <w:tc>
          <w:tcPr>
            <w:tcW w:type="dxa" w:w="6768"/>
            <w:vAlign w:val="center"/>
            <w:shd w:fill="F5F7FA"/>
            <w:tcMar>
              <w:top w:w="90" w:type="dxa"/>
              <w:start w:w="100" w:type="dxa"/>
              <w:bottom w:w="90" w:type="dxa"/>
              <w:end w:w="100" w:type="dxa"/>
            </w:tcMar>
          </w:tcPr>
          <w:p>
            <w:pPr>
              <w:spacing w:after="0"/>
              <w:jc w:val="left"/>
            </w:pPr>
            <w:r>
              <w:rPr>
                <w:sz w:val="16"/>
              </w:rPr>
              <w:t>Request-ID uniqueness and disabled submitted state</w:t>
            </w:r>
          </w:p>
        </w:tc>
      </w:tr>
      <w:tr>
        <w:tc>
          <w:tcPr>
            <w:tcW w:type="dxa" w:w="2880"/>
            <w:vAlign w:val="center"/>
            <w:tcMar>
              <w:top w:w="90" w:type="dxa"/>
              <w:start w:w="100" w:type="dxa"/>
              <w:bottom w:w="90" w:type="dxa"/>
              <w:end w:w="100" w:type="dxa"/>
            </w:tcMar>
          </w:tcPr>
          <w:p>
            <w:pPr>
              <w:spacing w:after="0"/>
              <w:jc w:val="left"/>
            </w:pPr>
            <w:r>
              <w:rPr>
                <w:sz w:val="16"/>
              </w:rPr>
              <w:t>Conflicting evidence</w:t>
            </w:r>
          </w:p>
        </w:tc>
        <w:tc>
          <w:tcPr>
            <w:tcW w:type="dxa" w:w="6768"/>
            <w:vAlign w:val="center"/>
            <w:tcMar>
              <w:top w:w="90" w:type="dxa"/>
              <w:start w:w="100" w:type="dxa"/>
              <w:bottom w:w="90" w:type="dxa"/>
              <w:end w:w="100" w:type="dxa"/>
            </w:tcMar>
          </w:tcPr>
          <w:p>
            <w:pPr>
              <w:spacing w:after="0"/>
              <w:jc w:val="left"/>
            </w:pPr>
            <w:r>
              <w:rPr>
                <w:sz w:val="16"/>
              </w:rPr>
              <w:t>Numeric contradiction warning</w:t>
            </w:r>
          </w:p>
        </w:tc>
      </w:tr>
      <w:tr>
        <w:tc>
          <w:tcPr>
            <w:tcW w:type="dxa" w:w="2880"/>
            <w:vAlign w:val="center"/>
            <w:shd w:fill="F5F7FA"/>
            <w:tcMar>
              <w:top w:w="90" w:type="dxa"/>
              <w:start w:w="100" w:type="dxa"/>
              <w:bottom w:w="90" w:type="dxa"/>
              <w:end w:w="100" w:type="dxa"/>
            </w:tcMar>
          </w:tcPr>
          <w:p>
            <w:pPr>
              <w:spacing w:after="0"/>
              <w:jc w:val="left"/>
            </w:pPr>
            <w:r>
              <w:rPr>
                <w:sz w:val="16"/>
              </w:rPr>
              <w:t>Scanned or blank pages</w:t>
            </w:r>
          </w:p>
        </w:tc>
        <w:tc>
          <w:tcPr>
            <w:tcW w:type="dxa" w:w="6768"/>
            <w:vAlign w:val="center"/>
            <w:shd w:fill="F5F7FA"/>
            <w:tcMar>
              <w:top w:w="90" w:type="dxa"/>
              <w:start w:w="100" w:type="dxa"/>
              <w:bottom w:w="90" w:type="dxa"/>
              <w:end w:w="100" w:type="dxa"/>
            </w:tcMar>
          </w:tcPr>
          <w:p>
            <w:pPr>
              <w:spacing w:after="0"/>
              <w:jc w:val="left"/>
            </w:pPr>
            <w:r>
              <w:rPr>
                <w:sz w:val="16"/>
              </w:rPr>
              <w:t>Explicit OCR-required or blank classification</w:t>
            </w:r>
          </w:p>
        </w:tc>
      </w:tr>
      <w:tr>
        <w:tc>
          <w:tcPr>
            <w:tcW w:type="dxa" w:w="2880"/>
            <w:vAlign w:val="center"/>
            <w:tcMar>
              <w:top w:w="90" w:type="dxa"/>
              <w:start w:w="100" w:type="dxa"/>
              <w:bottom w:w="90" w:type="dxa"/>
              <w:end w:w="100" w:type="dxa"/>
            </w:tcMar>
          </w:tcPr>
          <w:p>
            <w:pPr>
              <w:spacing w:after="0"/>
              <w:jc w:val="left"/>
            </w:pPr>
            <w:r>
              <w:rPr>
                <w:sz w:val="16"/>
              </w:rPr>
              <w:t>Misclassified intent</w:t>
            </w:r>
          </w:p>
        </w:tc>
        <w:tc>
          <w:tcPr>
            <w:tcW w:type="dxa" w:w="6768"/>
            <w:vAlign w:val="center"/>
            <w:tcMar>
              <w:top w:w="90" w:type="dxa"/>
              <w:start w:w="100" w:type="dxa"/>
              <w:bottom w:w="90" w:type="dxa"/>
              <w:end w:w="100" w:type="dxa"/>
            </w:tcMar>
          </w:tcPr>
          <w:p>
            <w:pPr>
              <w:spacing w:after="0"/>
              <w:jc w:val="left"/>
            </w:pPr>
            <w:r>
              <w:rPr>
                <w:sz w:val="16"/>
              </w:rPr>
              <w:t>Deterministic eligibility corrects or refuses the proposal</w:t>
            </w:r>
          </w:p>
        </w:tc>
      </w:tr>
    </w:tbl>
    <w:p>
      <w:pPr>
        <w:spacing w:after="20"/>
      </w:pPr>
    </w:p>
    <w:p>
      <w:pPr>
        <w:pStyle w:val="Heading2"/>
      </w:pPr>
      <w:r>
        <w:t>Context and memory management</w:t>
      </w:r>
    </w:p>
    <w:p>
      <w:r>
        <w:t>Only referential follow-ups reuse history. Memory is isolated by tenant and conversation, bounded to six turns and 4,000 characters, and expires after 24 hours through MongoDB TTL. It resolves 'What about 2024?' after a California 2025 question, but never replaces evidence.</w:t>
      </w:r>
    </w:p>
    <w:p>
      <w:pPr>
        <w:pStyle w:val="Heading2"/>
      </w:pPr>
      <w:r>
        <w:t>Feedback and learning</w:t>
      </w:r>
    </w:p>
    <w:p>
      <w:r>
        <w:t>Every answer has independent Helpful or Not Helpful feedback with an optional reason. The UI confirms success and disables duplicates. This is not reinforcement learning or RLHF because no weights, rewards, policy or prompts change online. It is labelled data for reviewed regression tests.</w:t>
      </w:r>
    </w:p>
    <w:p>
      <w:pPr>
        <w:pStyle w:val="Heading2"/>
      </w:pPr>
      <w:r>
        <w:t>API and observability</w:t>
      </w:r>
    </w:p>
    <w:p>
      <w:pPr>
        <w:pStyle w:val="ListBullet"/>
        <w:spacing w:after="50"/>
      </w:pPr>
      <w:r>
        <w:t>Typed request and response models with validation, authentication and conflict status codes.</w:t>
      </w:r>
    </w:p>
    <w:p>
      <w:pPr>
        <w:pStyle w:val="ListBullet"/>
        <w:spacing w:after="50"/>
      </w:pPr>
      <w:r>
        <w:t>Structured JSON logs, correlation IDs, duration and Prometheus metrics.</w:t>
      </w:r>
    </w:p>
    <w:p>
      <w:pPr>
        <w:pStyle w:val="ListBullet"/>
        <w:spacing w:after="50"/>
      </w:pPr>
      <w:r>
        <w:t>Dependency-aware readiness for MongoDB, Qdrant, Ollama and MCP.</w:t>
      </w:r>
    </w:p>
    <w:p>
      <w:pPr>
        <w:pStyle w:val="ListBullet"/>
        <w:spacing w:after="50"/>
      </w:pPr>
      <w:r>
        <w:t>Replayable audits containing routing, evidence, computation and tool decisions.</w:t>
      </w:r>
    </w:p>
    <w:p>
      <w:r>
        <w:br w:type="page"/>
      </w:r>
    </w:p>
    <w:p>
      <w:pPr>
        <w:pStyle w:val="Heading1"/>
      </w:pPr>
      <w:r>
        <w:t>6 Evaluation and additional engineering</w:t>
      </w:r>
    </w:p>
    <w:p>
      <w:pPr>
        <w:pStyle w:val="Heading2"/>
      </w:pPr>
      <w:r>
        <w:t>Evaluation design</w:t>
      </w:r>
    </w:p>
    <w:p>
      <w:r>
        <w:t>The suite contains four document questions, two structured questions, one MCP question and one refusal case as required, plus six difficult regressions. It records Expected, Actual and Pass or Fail. Document cases measure expected-concept completeness, excerpt-supported groundedness and citation coverage. Other routes measure computation, tool behaviour and refusal correctness. The completeness and groundedness threshold is 0.50.</w:t>
      </w:r>
    </w:p>
    <w:p>
      <w:r>
        <w:t>The chunk benchmark is an offline lexical proxy; the end-to-end suite exercises routing, retrieval, generation, computation, tool use and refusal. The separation avoids presenting retrieval metrics as full answer accuracy.</w:t>
      </w:r>
    </w:p>
    <w:p>
      <w:pPr>
        <w:pStyle w:val="Heading2"/>
      </w:pPr>
      <w:r>
        <w:t>Features beyond the assessment</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c>
          <w:tcPr>
            <w:tcW w:type="dxa" w:w="2592"/>
            <w:shd w:fill="16324F"/>
            <w:vAlign w:val="center"/>
            <w:tcMar>
              <w:top w:w="90" w:type="dxa"/>
              <w:start w:w="100" w:type="dxa"/>
              <w:bottom w:w="90" w:type="dxa"/>
              <w:end w:w="100" w:type="dxa"/>
            </w:tcMar>
          </w:tcPr>
          <w:p>
            <w:pPr>
              <w:jc w:val="center"/>
            </w:pPr>
            <w:r>
              <w:rPr>
                <w:b/>
                <w:color w:val="FFFFFF"/>
                <w:sz w:val="16"/>
              </w:rPr>
              <w:t>Extension</w:t>
            </w:r>
          </w:p>
        </w:tc>
        <w:tc>
          <w:tcPr>
            <w:tcW w:type="dxa" w:w="7056"/>
            <w:shd w:fill="16324F"/>
            <w:vAlign w:val="center"/>
            <w:tcMar>
              <w:top w:w="90" w:type="dxa"/>
              <w:start w:w="100" w:type="dxa"/>
              <w:bottom w:w="90" w:type="dxa"/>
              <w:end w:w="100" w:type="dxa"/>
            </w:tcMar>
          </w:tcPr>
          <w:p>
            <w:pPr>
              <w:jc w:val="center"/>
            </w:pPr>
            <w:r>
              <w:rPr>
                <w:b/>
                <w:color w:val="FFFFFF"/>
                <w:sz w:val="16"/>
              </w:rPr>
              <w:t>Engineering value</w:t>
            </w:r>
          </w:p>
        </w:tc>
      </w:tr>
      <w:tr>
        <w:tc>
          <w:tcPr>
            <w:tcW w:type="dxa" w:w="2592"/>
            <w:vAlign w:val="center"/>
            <w:tcMar>
              <w:top w:w="90" w:type="dxa"/>
              <w:start w:w="100" w:type="dxa"/>
              <w:bottom w:w="90" w:type="dxa"/>
              <w:end w:w="100" w:type="dxa"/>
            </w:tcMar>
          </w:tcPr>
          <w:p>
            <w:pPr>
              <w:spacing w:after="0"/>
              <w:jc w:val="left"/>
            </w:pPr>
            <w:r>
              <w:rPr>
                <w:sz w:val="16"/>
              </w:rPr>
              <w:t>Hybrid RRF retrieval</w:t>
            </w:r>
          </w:p>
        </w:tc>
        <w:tc>
          <w:tcPr>
            <w:tcW w:type="dxa" w:w="7056"/>
            <w:vAlign w:val="center"/>
            <w:tcMar>
              <w:top w:w="90" w:type="dxa"/>
              <w:start w:w="100" w:type="dxa"/>
              <w:bottom w:w="90" w:type="dxa"/>
              <w:end w:w="100" w:type="dxa"/>
            </w:tcMar>
          </w:tcPr>
          <w:p>
            <w:pPr>
              <w:spacing w:after="0"/>
              <w:jc w:val="left"/>
            </w:pPr>
            <w:r>
              <w:rPr>
                <w:sz w:val="16"/>
              </w:rPr>
              <w:t>Combines semantic recall and exact-term precision using inspectable ranks</w:t>
            </w:r>
          </w:p>
        </w:tc>
      </w:tr>
      <w:tr>
        <w:tc>
          <w:tcPr>
            <w:tcW w:type="dxa" w:w="2592"/>
            <w:vAlign w:val="center"/>
            <w:shd w:fill="F5F7FA"/>
            <w:tcMar>
              <w:top w:w="90" w:type="dxa"/>
              <w:start w:w="100" w:type="dxa"/>
              <w:bottom w:w="90" w:type="dxa"/>
              <w:end w:w="100" w:type="dxa"/>
            </w:tcMar>
          </w:tcPr>
          <w:p>
            <w:pPr>
              <w:spacing w:after="0"/>
              <w:jc w:val="center"/>
            </w:pPr>
            <w:r>
              <w:rPr>
                <w:sz w:val="16"/>
              </w:rPr>
              <w:t>Measured chunking</w:t>
            </w:r>
          </w:p>
        </w:tc>
        <w:tc>
          <w:tcPr>
            <w:tcW w:type="dxa" w:w="7056"/>
            <w:vAlign w:val="center"/>
            <w:shd w:fill="F5F7FA"/>
            <w:tcMar>
              <w:top w:w="90" w:type="dxa"/>
              <w:start w:w="100" w:type="dxa"/>
              <w:bottom w:w="90" w:type="dxa"/>
              <w:end w:w="100" w:type="dxa"/>
            </w:tcMar>
          </w:tcPr>
          <w:p>
            <w:pPr>
              <w:spacing w:after="0"/>
              <w:jc w:val="left"/>
            </w:pPr>
            <w:r>
              <w:rPr>
                <w:sz w:val="16"/>
              </w:rPr>
              <w:t>Uses recall, hit rate, MRR, latency and context cost</w:t>
            </w:r>
          </w:p>
        </w:tc>
      </w:tr>
      <w:tr>
        <w:tc>
          <w:tcPr>
            <w:tcW w:type="dxa" w:w="2592"/>
            <w:vAlign w:val="center"/>
            <w:tcMar>
              <w:top w:w="90" w:type="dxa"/>
              <w:start w:w="100" w:type="dxa"/>
              <w:bottom w:w="90" w:type="dxa"/>
              <w:end w:w="100" w:type="dxa"/>
            </w:tcMar>
          </w:tcPr>
          <w:p>
            <w:pPr>
              <w:spacing w:after="0"/>
              <w:jc w:val="center"/>
            </w:pPr>
            <w:r>
              <w:rPr>
                <w:sz w:val="16"/>
              </w:rPr>
              <w:t>Bounded memory</w:t>
            </w:r>
          </w:p>
        </w:tc>
        <w:tc>
          <w:tcPr>
            <w:tcW w:type="dxa" w:w="7056"/>
            <w:vAlign w:val="center"/>
            <w:tcMar>
              <w:top w:w="90" w:type="dxa"/>
              <w:start w:w="100" w:type="dxa"/>
              <w:bottom w:w="90" w:type="dxa"/>
              <w:end w:w="100" w:type="dxa"/>
            </w:tcMar>
          </w:tcPr>
          <w:p>
            <w:pPr>
              <w:spacing w:after="0"/>
              <w:jc w:val="left"/>
            </w:pPr>
            <w:r>
              <w:rPr>
                <w:sz w:val="16"/>
              </w:rPr>
              <w:t>Natural follow-ups without unbounded or cross-tenant context</w:t>
            </w:r>
          </w:p>
        </w:tc>
      </w:tr>
      <w:tr>
        <w:tc>
          <w:tcPr>
            <w:tcW w:type="dxa" w:w="2592"/>
            <w:vAlign w:val="center"/>
            <w:shd w:fill="F5F7FA"/>
            <w:tcMar>
              <w:top w:w="90" w:type="dxa"/>
              <w:start w:w="100" w:type="dxa"/>
              <w:bottom w:w="90" w:type="dxa"/>
              <w:end w:w="100" w:type="dxa"/>
            </w:tcMar>
          </w:tcPr>
          <w:p>
            <w:pPr>
              <w:spacing w:after="0"/>
              <w:jc w:val="center"/>
            </w:pPr>
            <w:r>
              <w:rPr>
                <w:sz w:val="16"/>
              </w:rPr>
              <w:t>Independent MCP</w:t>
            </w:r>
          </w:p>
        </w:tc>
        <w:tc>
          <w:tcPr>
            <w:tcW w:type="dxa" w:w="7056"/>
            <w:vAlign w:val="center"/>
            <w:shd w:fill="F5F7FA"/>
            <w:tcMar>
              <w:top w:w="90" w:type="dxa"/>
              <w:start w:w="100" w:type="dxa"/>
              <w:bottom w:w="90" w:type="dxa"/>
              <w:end w:w="100" w:type="dxa"/>
            </w:tcMar>
          </w:tcPr>
          <w:p>
            <w:pPr>
              <w:spacing w:after="0"/>
              <w:jc w:val="left"/>
            </w:pPr>
            <w:r>
              <w:rPr>
                <w:sz w:val="16"/>
              </w:rPr>
              <w:t>Actual client-server boundary and typed validation</w:t>
            </w:r>
          </w:p>
        </w:tc>
      </w:tr>
      <w:tr>
        <w:tc>
          <w:tcPr>
            <w:tcW w:type="dxa" w:w="2592"/>
            <w:vAlign w:val="center"/>
            <w:tcMar>
              <w:top w:w="90" w:type="dxa"/>
              <w:start w:w="100" w:type="dxa"/>
              <w:bottom w:w="90" w:type="dxa"/>
              <w:end w:w="100" w:type="dxa"/>
            </w:tcMar>
          </w:tcPr>
          <w:p>
            <w:pPr>
              <w:spacing w:after="0"/>
              <w:jc w:val="left"/>
            </w:pPr>
            <w:r>
              <w:rPr>
                <w:sz w:val="16"/>
              </w:rPr>
              <w:t>Correct FEMA grain</w:t>
            </w:r>
          </w:p>
        </w:tc>
        <w:tc>
          <w:tcPr>
            <w:tcW w:type="dxa" w:w="7056"/>
            <w:vAlign w:val="center"/>
            <w:tcMar>
              <w:top w:w="90" w:type="dxa"/>
              <w:start w:w="100" w:type="dxa"/>
              <w:bottom w:w="90" w:type="dxa"/>
              <w:end w:w="100" w:type="dxa"/>
            </w:tcMar>
          </w:tcPr>
          <w:p>
            <w:pPr>
              <w:spacing w:after="0"/>
              <w:jc w:val="left"/>
            </w:pPr>
            <w:r>
              <w:rPr>
                <w:sz w:val="16"/>
              </w:rPr>
              <w:t>Prevents a confident wrong answer from repeated rows</w:t>
            </w:r>
          </w:p>
        </w:tc>
      </w:tr>
      <w:tr>
        <w:tc>
          <w:tcPr>
            <w:tcW w:type="dxa" w:w="2592"/>
            <w:vAlign w:val="center"/>
            <w:shd w:fill="F5F7FA"/>
            <w:tcMar>
              <w:top w:w="90" w:type="dxa"/>
              <w:start w:w="100" w:type="dxa"/>
              <w:bottom w:w="90" w:type="dxa"/>
              <w:end w:w="100" w:type="dxa"/>
            </w:tcMar>
          </w:tcPr>
          <w:p>
            <w:pPr>
              <w:spacing w:after="0"/>
              <w:jc w:val="center"/>
            </w:pPr>
            <w:r>
              <w:rPr>
                <w:sz w:val="16"/>
              </w:rPr>
              <w:t>Replayable audits</w:t>
            </w:r>
          </w:p>
        </w:tc>
        <w:tc>
          <w:tcPr>
            <w:tcW w:type="dxa" w:w="7056"/>
            <w:vAlign w:val="center"/>
            <w:shd w:fill="F5F7FA"/>
            <w:tcMar>
              <w:top w:w="90" w:type="dxa"/>
              <w:start w:w="100" w:type="dxa"/>
              <w:bottom w:w="90" w:type="dxa"/>
              <w:end w:w="100" w:type="dxa"/>
            </w:tcMar>
          </w:tcPr>
          <w:p>
            <w:pPr>
              <w:spacing w:after="0"/>
              <w:jc w:val="left"/>
            </w:pPr>
            <w:r>
              <w:rPr>
                <w:sz w:val="16"/>
              </w:rPr>
              <w:t>Preserves route, evidence and tool decisions</w:t>
            </w:r>
          </w:p>
        </w:tc>
      </w:tr>
      <w:tr>
        <w:tc>
          <w:tcPr>
            <w:tcW w:type="dxa" w:w="2592"/>
            <w:vAlign w:val="center"/>
            <w:tcMar>
              <w:top w:w="90" w:type="dxa"/>
              <w:start w:w="100" w:type="dxa"/>
              <w:bottom w:w="90" w:type="dxa"/>
              <w:end w:w="100" w:type="dxa"/>
            </w:tcMar>
          </w:tcPr>
          <w:p>
            <w:pPr>
              <w:spacing w:after="0"/>
              <w:jc w:val="center"/>
            </w:pPr>
            <w:r>
              <w:rPr>
                <w:sz w:val="16"/>
              </w:rPr>
              <w:t>Security controls</w:t>
            </w:r>
          </w:p>
        </w:tc>
        <w:tc>
          <w:tcPr>
            <w:tcW w:type="dxa" w:w="7056"/>
            <w:vAlign w:val="center"/>
            <w:tcMar>
              <w:top w:w="90" w:type="dxa"/>
              <w:start w:w="100" w:type="dxa"/>
              <w:bottom w:w="90" w:type="dxa"/>
              <w:end w:w="100" w:type="dxa"/>
            </w:tcMar>
          </w:tcPr>
          <w:p>
            <w:pPr>
              <w:spacing w:after="0"/>
              <w:jc w:val="left"/>
            </w:pPr>
            <w:r>
              <w:rPr>
                <w:sz w:val="16"/>
              </w:rPr>
              <w:t>Prompt boundary, allowlisted analytics and scope guards</w:t>
            </w:r>
          </w:p>
        </w:tc>
      </w:tr>
      <w:tr>
        <w:tc>
          <w:tcPr>
            <w:tcW w:type="dxa" w:w="2592"/>
            <w:vAlign w:val="center"/>
            <w:shd w:fill="F5F7FA"/>
            <w:tcMar>
              <w:top w:w="90" w:type="dxa"/>
              <w:start w:w="100" w:type="dxa"/>
              <w:bottom w:w="90" w:type="dxa"/>
              <w:end w:w="100" w:type="dxa"/>
            </w:tcMar>
          </w:tcPr>
          <w:p>
            <w:pPr>
              <w:spacing w:after="0"/>
              <w:jc w:val="left"/>
            </w:pPr>
            <w:r>
              <w:rPr>
                <w:sz w:val="16"/>
              </w:rPr>
              <w:t>Operational visibility</w:t>
            </w:r>
          </w:p>
        </w:tc>
        <w:tc>
          <w:tcPr>
            <w:tcW w:type="dxa" w:w="7056"/>
            <w:vAlign w:val="center"/>
            <w:shd w:fill="F5F7FA"/>
            <w:tcMar>
              <w:top w:w="90" w:type="dxa"/>
              <w:start w:w="100" w:type="dxa"/>
              <w:bottom w:w="90" w:type="dxa"/>
              <w:end w:w="100" w:type="dxa"/>
            </w:tcMar>
          </w:tcPr>
          <w:p>
            <w:pPr>
              <w:spacing w:after="0"/>
              <w:jc w:val="left"/>
            </w:pPr>
            <w:r>
              <w:rPr>
                <w:sz w:val="16"/>
              </w:rPr>
              <w:t>Logs, request IDs, metrics, health and ingestion records</w:t>
            </w:r>
          </w:p>
        </w:tc>
      </w:tr>
      <w:tr>
        <w:tc>
          <w:tcPr>
            <w:tcW w:type="dxa" w:w="2592"/>
            <w:vAlign w:val="center"/>
            <w:tcMar>
              <w:top w:w="90" w:type="dxa"/>
              <w:start w:w="100" w:type="dxa"/>
              <w:bottom w:w="90" w:type="dxa"/>
              <w:end w:w="100" w:type="dxa"/>
            </w:tcMar>
          </w:tcPr>
          <w:p>
            <w:pPr>
              <w:spacing w:after="0"/>
              <w:jc w:val="center"/>
            </w:pPr>
            <w:r>
              <w:rPr>
                <w:sz w:val="16"/>
              </w:rPr>
              <w:t>Reproducibility</w:t>
            </w:r>
          </w:p>
        </w:tc>
        <w:tc>
          <w:tcPr>
            <w:tcW w:type="dxa" w:w="7056"/>
            <w:vAlign w:val="center"/>
            <w:tcMar>
              <w:top w:w="90" w:type="dxa"/>
              <w:start w:w="100" w:type="dxa"/>
              <w:bottom w:w="90" w:type="dxa"/>
              <w:end w:w="100" w:type="dxa"/>
            </w:tcMar>
          </w:tcPr>
          <w:p>
            <w:pPr>
              <w:spacing w:after="0"/>
              <w:jc w:val="left"/>
            </w:pPr>
            <w:r>
              <w:rPr>
                <w:sz w:val="16"/>
              </w:rPr>
              <w:t>Official snapshots, checksums and deterministic IDs</w:t>
            </w:r>
          </w:p>
        </w:tc>
      </w:tr>
    </w:tbl>
    <w:p>
      <w:pPr>
        <w:spacing w:after="20"/>
      </w:pPr>
    </w:p>
    <w:p>
      <w:r>
        <w:br w:type="page"/>
      </w:r>
    </w:p>
    <w:p>
      <w:pPr>
        <w:pStyle w:val="Heading1"/>
      </w:pPr>
      <w:r>
        <w:t>7 Limitations and review guide</w:t>
      </w:r>
    </w:p>
    <w:p>
      <w:pPr>
        <w:pStyle w:val="Heading2"/>
      </w:pPr>
      <w:r>
        <w:t>Known limitations</w:t>
      </w:r>
    </w:p>
    <w:p>
      <w:pPr>
        <w:pStyle w:val="ListBullet"/>
        <w:spacing w:after="50"/>
      </w:pPr>
      <w:r>
        <w:t>Scanned pages are detected but not OCR processed.</w:t>
      </w:r>
    </w:p>
    <w:p>
      <w:pPr>
        <w:pStyle w:val="ListBullet"/>
        <w:spacing w:after="50"/>
      </w:pPr>
      <w:r>
        <w:t>The lexical retriever is lightweight and should become BM25 for a larger corpus.</w:t>
      </w:r>
    </w:p>
    <w:p>
      <w:pPr>
        <w:pStyle w:val="ListBullet"/>
        <w:spacing w:after="50"/>
      </w:pPr>
      <w:r>
        <w:t>The retrieval threshold is practical but not statistically calibrated.</w:t>
      </w:r>
    </w:p>
    <w:p>
      <w:pPr>
        <w:pStyle w:val="ListBullet"/>
        <w:spacing w:after="50"/>
      </w:pPr>
      <w:r>
        <w:t>API keys and container settings are demonstration credentials.</w:t>
      </w:r>
    </w:p>
    <w:p>
      <w:pPr>
        <w:pStyle w:val="ListBullet"/>
        <w:spacing w:after="50"/>
      </w:pPr>
      <w:r>
        <w:t>Public datasets are reproducible snapshots rather than continuously refreshed feeds.</w:t>
      </w:r>
    </w:p>
    <w:p>
      <w:pPr>
        <w:pStyle w:val="Heading2"/>
      </w:pPr>
      <w:r>
        <w:t>Next improvements</w:t>
      </w:r>
    </w:p>
    <w:p>
      <w:pPr>
        <w:pStyle w:val="ListBullet"/>
        <w:spacing w:after="50"/>
      </w:pPr>
      <w:r>
        <w:t>Add OCR with layout-aware table and figure extraction.</w:t>
      </w:r>
    </w:p>
    <w:p>
      <w:pPr>
        <w:pStyle w:val="ListBullet"/>
        <w:spacing w:after="50"/>
      </w:pPr>
      <w:r>
        <w:t>Add BM25 and a local cross-encoder reranker.</w:t>
      </w:r>
    </w:p>
    <w:p>
      <w:pPr>
        <w:pStyle w:val="ListBullet"/>
        <w:spacing w:after="50"/>
      </w:pPr>
      <w:r>
        <w:t>Create labelled relevance judgements and calibrate confidence.</w:t>
      </w:r>
    </w:p>
    <w:p>
      <w:pPr>
        <w:pStyle w:val="ListBullet"/>
        <w:spacing w:after="50"/>
      </w:pPr>
      <w:r>
        <w:t>Expand integration, concurrency and dependency-failure tests.</w:t>
      </w:r>
    </w:p>
    <w:p>
      <w:pPr>
        <w:pStyle w:val="ListBullet"/>
        <w:spacing w:after="50"/>
      </w:pPr>
      <w:r>
        <w:t>Add scheduled source refresh with checksum and schema-drift validation.</w:t>
      </w:r>
    </w:p>
    <w:p>
      <w:pPr>
        <w:pStyle w:val="ListBullet"/>
        <w:spacing w:after="50"/>
      </w:pPr>
      <w:r>
        <w:t>Replace demo credentials with OIDC and production secret management.</w:t>
      </w:r>
    </w:p>
    <w:p>
      <w:pPr>
        <w:pStyle w:val="Heading2"/>
      </w:pPr>
      <w:r>
        <w:t>Recommended reviewer flow</w:t>
      </w:r>
    </w:p>
    <w:p>
      <w:pPr>
        <w:spacing w:after="50"/>
        <w:ind w:left="288" w:hanging="288"/>
      </w:pPr>
      <w:r>
        <w:rPr>
          <w:b/>
        </w:rPr>
        <w:t xml:space="preserve">1. </w:t>
      </w:r>
      <w:r>
        <w:t>Open the Draw.io architecture and review offline versus online responsibilities.</w:t>
      </w:r>
    </w:p>
    <w:p>
      <w:pPr>
        <w:spacing w:after="50"/>
        <w:ind w:left="288" w:hanging="288"/>
      </w:pPr>
      <w:r>
        <w:rPr>
          <w:b/>
        </w:rPr>
        <w:t xml:space="preserve">2. </w:t>
      </w:r>
      <w:r>
        <w:t>Verify Docker readiness and persistent storage counts.</w:t>
      </w:r>
    </w:p>
    <w:p>
      <w:pPr>
        <w:spacing w:after="50"/>
        <w:ind w:left="288" w:hanging="288"/>
      </w:pPr>
      <w:r>
        <w:rPr>
          <w:b/>
        </w:rPr>
        <w:t xml:space="preserve">3. </w:t>
      </w:r>
      <w:r>
        <w:t>Ask a cited World Bank question and inspect the hybrid trace.</w:t>
      </w:r>
    </w:p>
    <w:p>
      <w:pPr>
        <w:spacing w:after="50"/>
        <w:ind w:left="288" w:hanging="288"/>
      </w:pPr>
      <w:r>
        <w:rPr>
          <w:b/>
        </w:rPr>
        <w:t xml:space="preserve">4. </w:t>
      </w:r>
      <w:r>
        <w:t>Ask which state has the most declarations and confirm California 397.</w:t>
      </w:r>
    </w:p>
    <w:p>
      <w:pPr>
        <w:spacing w:after="50"/>
        <w:ind w:left="288" w:hanging="288"/>
      </w:pPr>
      <w:r>
        <w:rPr>
          <w:b/>
        </w:rPr>
        <w:t xml:space="preserve">5. </w:t>
      </w:r>
      <w:r>
        <w:t>Call the FEMA MCP tool for California in 2025, then ask about 2024.</w:t>
      </w:r>
    </w:p>
    <w:p>
      <w:pPr>
        <w:spacing w:after="50"/>
        <w:ind w:left="288" w:hanging="288"/>
      </w:pPr>
      <w:r>
        <w:rPr>
          <w:b/>
        </w:rPr>
        <w:t xml:space="preserve">6. </w:t>
      </w:r>
      <w:r>
        <w:t>Ask an unrelated identity question and verify refusal.</w:t>
      </w:r>
    </w:p>
    <w:p>
      <w:pPr>
        <w:spacing w:after="50"/>
        <w:ind w:left="288" w:hanging="288"/>
      </w:pPr>
      <w:r>
        <w:rPr>
          <w:b/>
        </w:rPr>
        <w:t xml:space="preserve">7. </w:t>
      </w:r>
      <w:r>
        <w:t>Submit feedback, inspect MongoDB and view a vector payload in Qdrant.</w:t>
      </w:r>
    </w:p>
    <w:p>
      <w:pPr>
        <w:spacing w:after="50"/>
        <w:ind w:left="288" w:hanging="288"/>
      </w:pPr>
      <w:r>
        <w:rPr>
          <w:b/>
        </w:rPr>
        <w:t xml:space="preserve">8. </w:t>
      </w:r>
      <w:r>
        <w:t>Open Evaluation and compare expected, actual and pass or fail.</w:t>
      </w:r>
    </w:p>
    <w:p>
      <w:pPr>
        <w:pStyle w:val="Heading2"/>
      </w:pPr>
      <w:r>
        <w:t>Submission artifacts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4997"/>
        <w:gridCol w:w="4997"/>
      </w:tblGrid>
      <w:tr>
        <w:tc>
          <w:tcPr>
            <w:tcW w:type="dxa" w:w="4032"/>
            <w:shd w:fill="16324F"/>
            <w:vAlign w:val="center"/>
            <w:tcMar>
              <w:top w:w="90" w:type="dxa"/>
              <w:start w:w="100" w:type="dxa"/>
              <w:bottom w:w="90" w:type="dxa"/>
              <w:end w:w="100" w:type="dxa"/>
            </w:tcMar>
          </w:tcPr>
          <w:p>
            <w:pPr>
              <w:jc w:val="center"/>
            </w:pPr>
            <w:r>
              <w:rPr>
                <w:b/>
                <w:color w:val="FFFFFF"/>
                <w:sz w:val="16"/>
              </w:rPr>
              <w:t>Artifact</w:t>
            </w:r>
          </w:p>
        </w:tc>
        <w:tc>
          <w:tcPr>
            <w:tcW w:type="dxa" w:w="5616"/>
            <w:shd w:fill="16324F"/>
            <w:vAlign w:val="center"/>
            <w:tcMar>
              <w:top w:w="90" w:type="dxa"/>
              <w:start w:w="100" w:type="dxa"/>
              <w:bottom w:w="90" w:type="dxa"/>
              <w:end w:w="100" w:type="dxa"/>
            </w:tcMar>
          </w:tcPr>
          <w:p>
            <w:pPr>
              <w:jc w:val="center"/>
            </w:pPr>
            <w:r>
              <w:rPr>
                <w:b/>
                <w:color w:val="FFFFFF"/>
                <w:sz w:val="16"/>
              </w:rPr>
              <w:t>Purpose</w:t>
            </w:r>
          </w:p>
        </w:tc>
      </w:tr>
      <w:tr>
        <w:tc>
          <w:tcPr>
            <w:tcW w:type="dxa" w:w="4032"/>
            <w:vAlign w:val="center"/>
            <w:tcMar>
              <w:top w:w="90" w:type="dxa"/>
              <w:start w:w="100" w:type="dxa"/>
              <w:bottom w:w="90" w:type="dxa"/>
              <w:end w:w="100" w:type="dxa"/>
            </w:tcMar>
          </w:tcPr>
          <w:p>
            <w:pPr>
              <w:spacing w:after="0"/>
              <w:jc w:val="center"/>
            </w:pPr>
            <w:r>
              <w:rPr>
                <w:sz w:val="16"/>
              </w:rPr>
              <w:t>README.md</w:t>
            </w:r>
          </w:p>
        </w:tc>
        <w:tc>
          <w:tcPr>
            <w:tcW w:type="dxa" w:w="5616"/>
            <w:vAlign w:val="center"/>
            <w:tcMar>
              <w:top w:w="90" w:type="dxa"/>
              <w:start w:w="100" w:type="dxa"/>
              <w:bottom w:w="90" w:type="dxa"/>
              <w:end w:w="100" w:type="dxa"/>
            </w:tcMar>
          </w:tcPr>
          <w:p>
            <w:pPr>
              <w:spacing w:after="0"/>
              <w:jc w:val="left"/>
            </w:pPr>
            <w:r>
              <w:rPr>
                <w:sz w:val="16"/>
              </w:rPr>
              <w:t>Setup, design decisions, commands and limitations</w:t>
            </w:r>
          </w:p>
        </w:tc>
      </w:tr>
      <w:tr>
        <w:tc>
          <w:tcPr>
            <w:tcW w:type="dxa" w:w="4032"/>
            <w:vAlign w:val="center"/>
            <w:shd w:fill="F5F7FA"/>
            <w:tcMar>
              <w:top w:w="90" w:type="dxa"/>
              <w:start w:w="100" w:type="dxa"/>
              <w:bottom w:w="90" w:type="dxa"/>
              <w:end w:w="100" w:type="dxa"/>
            </w:tcMar>
          </w:tcPr>
          <w:p>
            <w:pPr>
              <w:spacing w:after="0"/>
              <w:jc w:val="left"/>
            </w:pPr>
            <w:r>
              <w:rPr>
                <w:sz w:val="16"/>
              </w:rPr>
              <w:t>docs/SupplyGuard_AI_Architecture.drawio</w:t>
            </w:r>
          </w:p>
        </w:tc>
        <w:tc>
          <w:tcPr>
            <w:tcW w:type="dxa" w:w="5616"/>
            <w:vAlign w:val="center"/>
            <w:shd w:fill="F5F7FA"/>
            <w:tcMar>
              <w:top w:w="90" w:type="dxa"/>
              <w:start w:w="100" w:type="dxa"/>
              <w:bottom w:w="90" w:type="dxa"/>
              <w:end w:w="100" w:type="dxa"/>
            </w:tcMar>
          </w:tcPr>
          <w:p>
            <w:pPr>
              <w:spacing w:after="0"/>
              <w:jc w:val="left"/>
            </w:pPr>
            <w:r>
              <w:rPr>
                <w:sz w:val="16"/>
              </w:rPr>
              <w:t>Editable end-to-end diagram</w:t>
            </w:r>
          </w:p>
        </w:tc>
      </w:tr>
      <w:tr>
        <w:tc>
          <w:tcPr>
            <w:tcW w:type="dxa" w:w="4032"/>
            <w:vAlign w:val="center"/>
            <w:tcMar>
              <w:top w:w="90" w:type="dxa"/>
              <w:start w:w="100" w:type="dxa"/>
              <w:bottom w:w="90" w:type="dxa"/>
              <w:end w:w="100" w:type="dxa"/>
            </w:tcMar>
          </w:tcPr>
          <w:p>
            <w:pPr>
              <w:spacing w:after="0"/>
              <w:jc w:val="left"/>
            </w:pPr>
            <w:r>
              <w:rPr>
                <w:sz w:val="16"/>
              </w:rPr>
              <w:t>SupplyGuard_AI_Assessment_Submission.docx</w:t>
            </w:r>
          </w:p>
        </w:tc>
        <w:tc>
          <w:tcPr>
            <w:tcW w:type="dxa" w:w="5616"/>
            <w:vAlign w:val="center"/>
            <w:tcMar>
              <w:top w:w="90" w:type="dxa"/>
              <w:start w:w="100" w:type="dxa"/>
              <w:bottom w:w="90" w:type="dxa"/>
              <w:end w:w="100" w:type="dxa"/>
            </w:tcMar>
          </w:tcPr>
          <w:p>
            <w:pPr>
              <w:spacing w:after="0"/>
              <w:jc w:val="left"/>
            </w:pPr>
            <w:r>
              <w:rPr>
                <w:sz w:val="16"/>
              </w:rPr>
              <w:t>Reviewer-oriented submission narrative</w:t>
            </w:r>
          </w:p>
        </w:tc>
      </w:tr>
      <w:tr>
        <w:tc>
          <w:tcPr>
            <w:tcW w:type="dxa" w:w="4032"/>
            <w:vAlign w:val="center"/>
            <w:shd w:fill="F5F7FA"/>
            <w:tcMar>
              <w:top w:w="90" w:type="dxa"/>
              <w:start w:w="100" w:type="dxa"/>
              <w:bottom w:w="90" w:type="dxa"/>
              <w:end w:w="100" w:type="dxa"/>
            </w:tcMar>
          </w:tcPr>
          <w:p>
            <w:pPr>
              <w:spacing w:after="0"/>
              <w:jc w:val="left"/>
            </w:pPr>
            <w:r>
              <w:rPr>
                <w:sz w:val="16"/>
              </w:rPr>
              <w:t>docs/DEMO_SPEECH.md</w:t>
            </w:r>
          </w:p>
        </w:tc>
        <w:tc>
          <w:tcPr>
            <w:tcW w:type="dxa" w:w="5616"/>
            <w:vAlign w:val="center"/>
            <w:shd w:fill="F5F7FA"/>
            <w:tcMar>
              <w:top w:w="90" w:type="dxa"/>
              <w:start w:w="100" w:type="dxa"/>
              <w:bottom w:w="90" w:type="dxa"/>
              <w:end w:w="100" w:type="dxa"/>
            </w:tcMar>
          </w:tcPr>
          <w:p>
            <w:pPr>
              <w:spacing w:after="0"/>
              <w:jc w:val="left"/>
            </w:pPr>
            <w:r>
              <w:rPr>
                <w:sz w:val="16"/>
              </w:rPr>
              <w:t>Timed presentation narration</w:t>
            </w:r>
          </w:p>
        </w:tc>
      </w:tr>
      <w:tr>
        <w:tc>
          <w:tcPr>
            <w:tcW w:type="dxa" w:w="4032"/>
            <w:vAlign w:val="center"/>
            <w:tcMar>
              <w:top w:w="90" w:type="dxa"/>
              <w:start w:w="100" w:type="dxa"/>
              <w:bottom w:w="90" w:type="dxa"/>
              <w:end w:w="100" w:type="dxa"/>
            </w:tcMar>
          </w:tcPr>
          <w:p>
            <w:pPr>
              <w:spacing w:after="0"/>
              <w:jc w:val="left"/>
            </w:pPr>
            <w:r>
              <w:rPr>
                <w:sz w:val="16"/>
              </w:rPr>
              <w:t>docs/DATA_MANIFEST.md</w:t>
            </w:r>
          </w:p>
        </w:tc>
        <w:tc>
          <w:tcPr>
            <w:tcW w:type="dxa" w:w="5616"/>
            <w:vAlign w:val="center"/>
            <w:tcMar>
              <w:top w:w="90" w:type="dxa"/>
              <w:start w:w="100" w:type="dxa"/>
              <w:bottom w:w="90" w:type="dxa"/>
              <w:end w:w="100" w:type="dxa"/>
            </w:tcMar>
          </w:tcPr>
          <w:p>
            <w:pPr>
              <w:spacing w:after="0"/>
              <w:jc w:val="left"/>
            </w:pPr>
            <w:r>
              <w:rPr>
                <w:sz w:val="16"/>
              </w:rPr>
              <w:t>Official source provenance and checksums</w:t>
            </w:r>
          </w:p>
        </w:tc>
      </w:tr>
    </w:tbl>
    <w:p>
      <w:pPr>
        <w:spacing w:after="2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E5B69"/>
        <w:sz w:val="16"/>
      </w:rPr>
      <w:t xml:space="preserve">SupplyGuard AI Assessment 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228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SupplyGuard AI Assessment Submission</dc:title>
  <dc:subject>AI Engineer assessment submission</dc:subject>
  <dc:creator>Akshita Rastogi</dc:creator>
  <cp:keywords>RAG, Ollama, Qdrant, MongoDB, MCP, Streamlit, FastAPI</cp:keywords>
  <dc:description>generated by python-docx</dc:description>
  <cp:lastModifiedBy/>
  <cp:revision>1</cp:revision>
  <dcterms:created xsi:type="dcterms:W3CDTF">2013-12-23T23:15:00Z</dcterms:created>
  <dcterms:modified xsi:type="dcterms:W3CDTF">2013-12-23T23:15:00Z</dcterms:modified>
  <cp:category/>
</cp:coreProperties>
</file>