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C415C"/>
          <w:sz w:val="48"/>
        </w:rPr>
        <w:t>HOTEL BOOKING ANALYSIS</w:t>
      </w:r>
    </w:p>
    <w:p>
      <w:pPr>
        <w:spacing w:after="160"/>
        <w:jc w:val="center"/>
      </w:pPr>
      <w:r>
        <w:rPr>
          <w:color w:val="5F6E78"/>
          <w:sz w:val="20"/>
        </w:rPr>
        <w:t>Tableau Dashboard Project | Hotel Booking Demand Dataset</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EAF1F5"/>
          </w:tcPr>
          <w:p>
            <w:pPr>
              <w:spacing w:after="0"/>
              <w:jc w:val="center"/>
            </w:pPr>
            <w:r/>
            <w:r>
              <w:rPr>
                <w:b/>
                <w:color w:val="1C415C"/>
                <w:sz w:val="28"/>
              </w:rPr>
              <w:t>119,390</w:t>
              <w:br/>
            </w:r>
            <w:r>
              <w:rPr>
                <w:color w:val="4B5A64"/>
                <w:sz w:val="16"/>
              </w:rPr>
              <w:t>Total bookings</w:t>
            </w:r>
          </w:p>
        </w:tc>
        <w:tc>
          <w:tcPr>
            <w:tcW w:type="dxa" w:w="2541"/>
            <w:shd w:fill="EAF1F5"/>
          </w:tcPr>
          <w:p>
            <w:pPr>
              <w:spacing w:after="0"/>
              <w:jc w:val="center"/>
            </w:pPr>
            <w:r/>
            <w:r>
              <w:rPr>
                <w:b/>
                <w:color w:val="1C415C"/>
                <w:sz w:val="28"/>
              </w:rPr>
              <w:t>37.04%</w:t>
              <w:br/>
            </w:r>
            <w:r>
              <w:rPr>
                <w:color w:val="4B5A64"/>
                <w:sz w:val="16"/>
              </w:rPr>
              <w:t>Cancellation rate</w:t>
            </w:r>
          </w:p>
        </w:tc>
        <w:tc>
          <w:tcPr>
            <w:tcW w:type="dxa" w:w="2541"/>
            <w:shd w:fill="EAF1F5"/>
          </w:tcPr>
          <w:p>
            <w:pPr>
              <w:spacing w:after="0"/>
              <w:jc w:val="center"/>
            </w:pPr>
            <w:r/>
            <w:r>
              <w:rPr>
                <w:b/>
                <w:color w:val="1C415C"/>
                <w:sz w:val="28"/>
              </w:rPr>
              <w:t>€103.53</w:t>
              <w:br/>
            </w:r>
            <w:r>
              <w:rPr>
                <w:color w:val="4B5A64"/>
                <w:sz w:val="16"/>
              </w:rPr>
              <w:t>Average ADR*</w:t>
            </w:r>
          </w:p>
        </w:tc>
        <w:tc>
          <w:tcPr>
            <w:tcW w:type="dxa" w:w="2541"/>
            <w:shd w:fill="EAF1F5"/>
          </w:tcPr>
          <w:p>
            <w:pPr>
              <w:spacing w:after="0"/>
              <w:jc w:val="center"/>
            </w:pPr>
            <w:r/>
            <w:r>
              <w:rPr>
                <w:b/>
                <w:color w:val="1C415C"/>
                <w:sz w:val="28"/>
              </w:rPr>
              <w:t>3.43 nights</w:t>
              <w:br/>
            </w:r>
            <w:r>
              <w:rPr>
                <w:color w:val="4B5A64"/>
                <w:sz w:val="16"/>
              </w:rPr>
              <w:t>Average stay</w:t>
            </w:r>
          </w:p>
        </w:tc>
      </w:tr>
    </w:tbl>
    <w:p>
      <w:pPr>
        <w:pStyle w:val="Heading1"/>
      </w:pPr>
      <w:r>
        <w:t>1. Project Overview</w:t>
      </w:r>
    </w:p>
    <w:p>
      <w:r>
        <w:t>The purpose of this project was to analyse hotel booking patterns and cancellation behaviour using Tableau. The dataset combines booking records for City Hotels and Resort Hotels. The analysis focuses on booking volume, arrival trends, length of stay, average daily rate (ADR), booking channels, and cancellation patterns.</w:t>
      </w:r>
    </w:p>
    <w:p>
      <w:pPr>
        <w:pStyle w:val="Heading1"/>
      </w:pPr>
      <w:r>
        <w:t>2. Tools and Approach</w:t>
      </w:r>
    </w:p>
    <w:p>
      <w:pPr>
        <w:pStyle w:val="ListBullet"/>
        <w:spacing w:after="40"/>
        <w:ind w:left="259" w:hanging="173"/>
      </w:pPr>
      <w:r>
        <w:t>Tools: Microsoft Excel for data preparation and Tableau for calculations, visual analysis, filters, and dashboards.</w:t>
      </w:r>
    </w:p>
    <w:p>
      <w:pPr>
        <w:pStyle w:val="ListBullet"/>
        <w:spacing w:after="40"/>
        <w:ind w:left="259" w:hanging="173"/>
      </w:pPr>
      <w:r>
        <w:t>Prepared fields included total stay nights, total guests, cancellation status, arrival date, lead-time category, stay-duration category, and booking month number.</w:t>
      </w:r>
    </w:p>
    <w:p>
      <w:pPr>
        <w:pStyle w:val="ListBullet"/>
        <w:spacing w:after="40"/>
        <w:ind w:left="259" w:hanging="173"/>
      </w:pPr>
      <w:r>
        <w:t>Created two interactive dashboards: Hotel Booking Overview and Cancellation Intelligence, with a hotel-type filter to compare City and Resort Hotels.</w:t>
      </w:r>
    </w:p>
    <w:p>
      <w:pPr>
        <w:pStyle w:val="ListBullet"/>
        <w:spacing w:after="40"/>
        <w:ind w:left="259" w:hanging="173"/>
      </w:pPr>
      <w:r>
        <w:t>For the average ADR KPI, only positive ADR values were included to avoid letting zero or negative values distort the pricing metric. The source records were otherwise retained for booking-level analysis.</w:t>
      </w:r>
    </w:p>
    <w:p>
      <w:pPr>
        <w:pStyle w:val="Heading1"/>
      </w:pPr>
      <w:r>
        <w:t>3. Key Findings</w:t>
      </w:r>
    </w:p>
    <w:p>
      <w:pPr>
        <w:pStyle w:val="ListBullet"/>
        <w:spacing w:after="60"/>
        <w:ind w:left="259" w:hanging="173"/>
      </w:pPr>
      <w:r>
        <w:rPr>
          <w:b/>
        </w:rPr>
        <w:t xml:space="preserve">Cancellation differs by hotel type. </w:t>
      </w:r>
      <w:r>
        <w:t>City Hotels recorded a 41.7% cancellation rate, compared with 27.8% for Resort Hotels.</w:t>
      </w:r>
    </w:p>
    <w:p>
      <w:pPr>
        <w:pStyle w:val="ListBullet"/>
        <w:spacing w:after="60"/>
        <w:ind w:left="259" w:hanging="173"/>
      </w:pPr>
      <w:r>
        <w:rPr>
          <w:b/>
        </w:rPr>
        <w:t xml:space="preserve">Longer lead time is associated with higher cancellations. </w:t>
      </w:r>
      <w:r>
        <w:t>Bookings made 90+ days before arrival had a 50.65% cancellation rate; the 0–7 day group had a 9.63% rate.</w:t>
      </w:r>
    </w:p>
    <w:p>
      <w:pPr>
        <w:pStyle w:val="ListBullet"/>
        <w:spacing w:after="60"/>
        <w:ind w:left="259" w:hanging="173"/>
      </w:pPr>
      <w:r>
        <w:rPr>
          <w:b/>
        </w:rPr>
        <w:t xml:space="preserve">Deposit category shows an unusual pattern. </w:t>
      </w:r>
      <w:r>
        <w:t>The Non Refund category had a 99.4% cancellation rate. This result should be validated against the underlying records and category definitions before drawing operational conclusions.</w:t>
      </w:r>
    </w:p>
    <w:p>
      <w:pPr>
        <w:pStyle w:val="ListBullet"/>
        <w:spacing w:after="60"/>
        <w:ind w:left="259" w:hanging="173"/>
      </w:pPr>
      <w:r>
        <w:rPr>
          <w:b/>
        </w:rPr>
        <w:t xml:space="preserve">Online Travel Agents lead booking volume. </w:t>
      </w:r>
      <w:r>
        <w:t>Online TA accounted for 56,477 bookings, making it the largest market segment in the analysis.</w:t>
      </w:r>
    </w:p>
    <w:p>
      <w:pPr>
        <w:pStyle w:val="ListBullet"/>
        <w:spacing w:after="60"/>
        <w:ind w:left="259" w:hanging="173"/>
      </w:pPr>
      <w:r>
        <w:rPr>
          <w:b/>
        </w:rPr>
        <w:t xml:space="preserve">Resort stays are longer on average. </w:t>
      </w:r>
      <w:r>
        <w:t>Average stay was 4.32 nights at Resort Hotels and 2.98 nights at City Hotels.</w:t>
      </w:r>
    </w:p>
    <w:p>
      <w:r>
        <w:br w:type="page"/>
      </w:r>
    </w:p>
    <w:p>
      <w:pPr>
        <w:pStyle w:val="Heading1"/>
      </w:pPr>
      <w:r>
        <w:t>4. Dashboard Design</w:t>
      </w:r>
    </w:p>
    <w:p>
      <w:r>
        <w:t>The workbook contains two dashboards designed for different business questions. The Overview dashboard gives a high-level view of booking performance, while Cancellation Intelligence focuses on where cancellation rates vary across customer and booking characteristics.</w:t>
      </w:r>
    </w:p>
    <w:tbl>
      <w:tblPr>
        <w:tblStyle w:val="TableGrid"/>
        <w:tblW w:type="auto" w:w="0"/>
        <w:tblLook w:firstColumn="1" w:firstRow="1" w:lastColumn="0" w:lastRow="0" w:noHBand="0" w:noVBand="1" w:val="04A0"/>
      </w:tblPr>
      <w:tblGrid>
        <w:gridCol w:w="5083"/>
        <w:gridCol w:w="5083"/>
      </w:tblGrid>
      <w:tr>
        <w:tc>
          <w:tcPr>
            <w:tcW w:type="dxa" w:w="5083"/>
            <w:vAlign w:val="center"/>
            <w:shd w:fill="1C415C"/>
          </w:tcPr>
          <w:p>
            <w:pPr>
              <w:spacing w:after="20"/>
            </w:pPr>
            <w:r/>
            <w:r>
              <w:rPr>
                <w:rFonts w:ascii="Aptos" w:hAnsi="Aptos"/>
                <w:b/>
                <w:color w:val="FFFFFF"/>
                <w:sz w:val="18"/>
              </w:rPr>
              <w:t>Dashboard</w:t>
            </w:r>
          </w:p>
        </w:tc>
        <w:tc>
          <w:tcPr>
            <w:tcW w:type="dxa" w:w="5083"/>
            <w:vAlign w:val="center"/>
            <w:shd w:fill="1C415C"/>
          </w:tcPr>
          <w:p>
            <w:pPr>
              <w:spacing w:after="20"/>
            </w:pPr>
            <w:r/>
            <w:r>
              <w:rPr>
                <w:rFonts w:ascii="Aptos" w:hAnsi="Aptos"/>
                <w:b/>
                <w:color w:val="FFFFFF"/>
                <w:sz w:val="18"/>
              </w:rPr>
              <w:t>Contents and purpose</w:t>
            </w:r>
          </w:p>
        </w:tc>
      </w:tr>
      <w:tr>
        <w:tc>
          <w:tcPr>
            <w:tcW w:type="dxa" w:w="5083"/>
            <w:vAlign w:val="center"/>
          </w:tcPr>
          <w:p>
            <w:pPr>
              <w:spacing w:after="20"/>
            </w:pPr>
            <w:r/>
            <w:r>
              <w:rPr>
                <w:rFonts w:ascii="Aptos" w:hAnsi="Aptos"/>
                <w:b/>
                <w:color w:val="1C415C"/>
                <w:sz w:val="18"/>
              </w:rPr>
              <w:t>Hotel Booking Overview</w:t>
            </w:r>
          </w:p>
        </w:tc>
        <w:tc>
          <w:tcPr>
            <w:tcW w:type="dxa" w:w="5083"/>
            <w:vAlign w:val="center"/>
          </w:tcPr>
          <w:p>
            <w:pPr>
              <w:spacing w:after="20"/>
            </w:pPr>
            <w:r/>
            <w:r>
              <w:rPr>
                <w:rFonts w:ascii="Aptos" w:hAnsi="Aptos"/>
                <w:b w:val="0"/>
                <w:sz w:val="17"/>
              </w:rPr>
              <w:t>KPI cards; monthly booking trend; bookings by market segment and hotel type; distribution channel; stay duration; average ADR by hotel; average stay by hotel. Includes a hotel filter.</w:t>
            </w:r>
          </w:p>
        </w:tc>
      </w:tr>
      <w:tr>
        <w:tc>
          <w:tcPr>
            <w:tcW w:type="dxa" w:w="5083"/>
            <w:vAlign w:val="center"/>
          </w:tcPr>
          <w:p>
            <w:pPr>
              <w:spacing w:after="20"/>
            </w:pPr>
            <w:r/>
            <w:r>
              <w:rPr>
                <w:rFonts w:ascii="Aptos" w:hAnsi="Aptos"/>
                <w:b/>
                <w:color w:val="1C415C"/>
                <w:sz w:val="18"/>
              </w:rPr>
              <w:t>Cancellation Intelligence</w:t>
            </w:r>
          </w:p>
        </w:tc>
        <w:tc>
          <w:tcPr>
            <w:tcW w:type="dxa" w:w="5083"/>
            <w:vAlign w:val="center"/>
          </w:tcPr>
          <w:p>
            <w:pPr>
              <w:spacing w:after="20"/>
            </w:pPr>
            <w:r/>
            <w:r>
              <w:rPr>
                <w:rFonts w:ascii="Aptos" w:hAnsi="Aptos"/>
                <w:b w:val="0"/>
                <w:sz w:val="17"/>
              </w:rPr>
              <w:t>Cancellation rate by hotel, lead time, deposit type, market segment, customer type, and distribution channel. Includes a hotel filter and navigation back to the Overview dashboard.</w:t>
            </w:r>
          </w:p>
        </w:tc>
      </w:tr>
    </w:tbl>
    <w:p>
      <w:pPr>
        <w:pStyle w:val="Heading1"/>
      </w:pPr>
      <w:r>
        <w:t>5. Business Implications and Recommendations</w:t>
      </w:r>
    </w:p>
    <w:p>
      <w:pPr>
        <w:pStyle w:val="ListBullet"/>
        <w:spacing w:after="60"/>
        <w:ind w:left="259" w:hanging="173"/>
      </w:pPr>
      <w:r>
        <w:rPr>
          <w:b/>
        </w:rPr>
        <w:t xml:space="preserve">Monitor advance bookings. </w:t>
      </w:r>
      <w:r>
        <w:t>Bookings with long lead times show higher cancellation rates in this dataset. Track these cohorts over time and consider appropriately timed confirmation or reminder messages.</w:t>
      </w:r>
    </w:p>
    <w:p>
      <w:pPr>
        <w:pStyle w:val="ListBullet"/>
        <w:spacing w:after="60"/>
        <w:ind w:left="259" w:hanging="173"/>
      </w:pPr>
      <w:r>
        <w:rPr>
          <w:b/>
        </w:rPr>
        <w:t xml:space="preserve">Compare hotel types separately. </w:t>
      </w:r>
      <w:r>
        <w:t>City and Resort Hotels show different cancellation and stay-duration patterns, so operational monitoring should retain a hotel-type breakdown.</w:t>
      </w:r>
    </w:p>
    <w:p>
      <w:pPr>
        <w:pStyle w:val="ListBullet"/>
        <w:spacing w:after="60"/>
        <w:ind w:left="259" w:hanging="173"/>
      </w:pPr>
      <w:r>
        <w:rPr>
          <w:b/>
        </w:rPr>
        <w:t xml:space="preserve">Validate deposit-type data before acting. </w:t>
      </w:r>
      <w:r>
        <w:t>The near-total cancellation rate in the Non Refund category is unusual. Check the source records, definitions, and booking status logic before changing deposit or cancellation policies.</w:t>
      </w:r>
    </w:p>
    <w:p>
      <w:pPr>
        <w:pStyle w:val="ListBullet"/>
        <w:spacing w:after="60"/>
        <w:ind w:left="259" w:hanging="173"/>
      </w:pPr>
      <w:r>
        <w:rPr>
          <w:b/>
        </w:rPr>
        <w:t xml:space="preserve">Evaluate channels using more than volume. </w:t>
      </w:r>
      <w:r>
        <w:t>Online TA contributes the most bookings, but volume alone does not establish profitability. Review cancellation rate, revenue, and acquisition costs together where data is available.</w:t>
      </w:r>
    </w:p>
    <w:p>
      <w:pPr>
        <w:pStyle w:val="ListBullet"/>
        <w:spacing w:after="60"/>
        <w:ind w:left="259" w:hanging="173"/>
      </w:pPr>
      <w:r>
        <w:rPr>
          <w:b/>
        </w:rPr>
        <w:t xml:space="preserve">Use dashboards for routine review. </w:t>
      </w:r>
      <w:r>
        <w:t>Review booking volume, cancellation rates, lead-time patterns, and channel mix regularly to identify changes that merit investigation.</w:t>
      </w:r>
    </w:p>
    <w:p>
      <w:pPr>
        <w:pStyle w:val="Heading1"/>
      </w:pPr>
      <w:r>
        <w:t>6. Conclusion</w:t>
      </w:r>
    </w:p>
    <w:p>
      <w:r>
        <w:t>The Tableau analysis highlights meaningful differences in booking and cancellation behaviour across hotel types, lead-time groups, and booking channels. City Hotels had a higher cancellation rate, bookings made further in advance were more frequently cancelled, and Online TA generated the highest booking volume. The Non Refund result requires additional validation before it is used to guide policy. Overall, the dashboards provide a structured way to monitor booking performance and identify areas for further investigation.</w:t>
      </w:r>
    </w:p>
    <w:p>
      <w:pPr>
        <w:pStyle w:val="Heading2"/>
      </w:pPr>
      <w:r>
        <w:t>Project Summary for Portfolio / Interview</w:t>
      </w:r>
    </w:p>
    <w:p>
      <w:pPr>
        <w:spacing w:after="60"/>
        <w:ind w:left="173" w:right="173"/>
      </w:pPr>
      <w:r>
        <w:rPr>
          <w:i/>
          <w:sz w:val="18"/>
        </w:rPr>
        <w:t>“I analysed hotel booking data in Tableau to understand booking trends and cancellation behaviour. I built interactive dashboards with KPIs and comparisons across City and Resort Hotels, lead-time groups, deposit types, customer types, and booking channels. One key finding was that bookings made more than 90 days in advance had a higher cancellation rate. I also flagged an unusual result in the Non Refund category for further data validation. The project helped me practise turning raw booking data into clear visual insights for business decisions.”</w:t>
      </w:r>
    </w:p>
    <w:p>
      <w:pPr>
        <w:spacing w:before="80" w:after="0"/>
      </w:pPr>
      <w:r>
        <w:rPr>
          <w:color w:val="646E78"/>
          <w:sz w:val="15"/>
        </w:rPr>
        <w:t>*Average ADR calculated using positive ADR values only. Figures reflect the workbook analysis and may require validation against source records.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Hotel Booking Analysis | Tableau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1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1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415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