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CA5B23"/>
          <w:sz w:val="68"/>
        </w:rPr>
        <w:t>FOODBRIDGE</w:t>
      </w:r>
    </w:p>
    <w:p>
      <w:pPr>
        <w:jc w:val="center"/>
      </w:pPr>
      <w:r>
        <w:rPr>
          <w:b/>
          <w:color w:val="192A37"/>
          <w:sz w:val="34"/>
        </w:rPr>
        <w:t>Food Donation &amp; Surplus Food Redistribution Platform</w:t>
      </w:r>
    </w:p>
    <w:p>
      <w:pPr>
        <w:spacing w:before="240"/>
        <w:jc w:val="center"/>
      </w:pPr>
      <w:r>
        <w:rPr>
          <w:b/>
          <w:color w:val="195C5B"/>
          <w:sz w:val="24"/>
        </w:rPr>
        <w:t>PROJECT REPORT</w:t>
      </w:r>
    </w:p>
    <w:p/>
    <w:tbl>
      <w:tblPr>
        <w:tblStyle w:val="TableGrid"/>
        <w:tblW w:type="auto" w:w="0"/>
        <w:tblLook w:firstColumn="1" w:firstRow="1" w:lastColumn="0" w:lastRow="0" w:noHBand="0" w:noVBand="1" w:val="04A0"/>
      </w:tblPr>
      <w:tblGrid>
        <w:gridCol w:w="4968"/>
        <w:gridCol w:w="4968"/>
      </w:tblGrid>
      <w:tr>
        <w:tc>
          <w:tcPr>
            <w:tcW w:type="dxa" w:w="4968"/>
            <w:shd w:fill="FCE9DE"/>
          </w:tcPr>
          <w:p>
            <w:r>
              <w:rPr>
                <w:b/>
              </w:rPr>
              <w:t>Live Website</w:t>
            </w:r>
          </w:p>
        </w:tc>
        <w:tc>
          <w:tcPr>
            <w:tcW w:type="dxa" w:w="4968"/>
          </w:tcPr>
          <w:p>
            <w:r>
              <w:t>https://foodbridge-six-jet.vercel.app/</w:t>
            </w:r>
          </w:p>
        </w:tc>
      </w:tr>
      <w:tr>
        <w:tc>
          <w:tcPr>
            <w:tcW w:type="dxa" w:w="4968"/>
            <w:shd w:fill="FCE9DE"/>
          </w:tcPr>
          <w:p>
            <w:r>
              <w:rPr>
                <w:b/>
              </w:rPr>
              <w:t>Project Type</w:t>
            </w:r>
          </w:p>
        </w:tc>
        <w:tc>
          <w:tcPr>
            <w:tcW w:type="dxa" w:w="4968"/>
          </w:tcPr>
          <w:p>
            <w:r>
              <w:t>Web-based food donation and coordination prototype</w:t>
            </w:r>
          </w:p>
        </w:tc>
      </w:tr>
      <w:tr>
        <w:tc>
          <w:tcPr>
            <w:tcW w:type="dxa" w:w="4968"/>
            <w:shd w:fill="FCE9DE"/>
          </w:tcPr>
          <w:p>
            <w:r>
              <w:rPr>
                <w:b/>
              </w:rPr>
              <w:t>Deployment</w:t>
            </w:r>
          </w:p>
        </w:tc>
        <w:tc>
          <w:tcPr>
            <w:tcW w:type="dxa" w:w="4968"/>
          </w:tcPr>
          <w:p>
            <w:r>
              <w:t>Vercel</w:t>
            </w:r>
          </w:p>
        </w:tc>
      </w:tr>
      <w:tr>
        <w:tc>
          <w:tcPr>
            <w:tcW w:type="dxa" w:w="4968"/>
            <w:shd w:fill="FCE9DE"/>
          </w:tcPr>
          <w:p>
            <w:r>
              <w:rPr>
                <w:b/>
              </w:rPr>
              <w:t>Report Date</w:t>
            </w:r>
          </w:p>
        </w:tc>
        <w:tc>
          <w:tcPr>
            <w:tcW w:type="dxa" w:w="4968"/>
          </w:tcPr>
          <w:p>
            <w:r>
              <w:t>10 October 2026</w:t>
            </w:r>
          </w:p>
        </w:tc>
      </w:tr>
    </w:tbl>
    <w:p>
      <w:pPr>
        <w:spacing w:before="840"/>
        <w:jc w:val="center"/>
      </w:pPr>
      <w:r>
        <w:rPr>
          <w:i/>
        </w:rPr>
        <w:t>“Rescue surplus food. Connect communities. Reduce waste.”</w:t>
      </w:r>
    </w:p>
    <w:p>
      <w:r>
        <w:br w:type="page"/>
      </w:r>
    </w:p>
    <w:p>
      <w:pPr>
        <w:pStyle w:val="Heading1"/>
      </w:pPr>
      <w:r>
        <w:t>1. Executive Summary</w:t>
      </w:r>
    </w:p>
    <w:p>
      <w:r>
        <w:t>FoodBridge is a web-based concept designed to make surplus-food donation easier to coordinate. It aims to connect people or organizations with extra food to non-governmental organizations (NGOs) and other recipients that may be able to distribute it to people in need. By structuring food listings, pickup information, and user workflows in one interface, the platform addresses a practical gap between edible surplus food and nearby community demand.</w:t>
      </w:r>
    </w:p>
    <w:p>
      <w:r>
        <w:t>The deployed prototype uses a React and Vite frontend, React Router for navigation, Framer Motion for interface animation, and Leaflet with OpenStreetMap for map-oriented experiences. It includes separate landing, login, donor, NGO, and admin views, along with sample Hyderabad-based records for demonstration. The current implementation stores prototype data in browser localStorage. This makes it suitable for demonstrating the user experience, but it does not yet provide a shared, production-grade backend for multiple users and devices.</w:t>
      </w:r>
    </w:p>
    <w:p>
      <w:pPr>
        <w:pStyle w:val="Heading1"/>
      </w:pPr>
      <w:r>
        <w:t>2. Introduction</w:t>
      </w:r>
    </w:p>
    <w:p>
      <w:r>
        <w:t>Food waste and food insecurity can exist at the same time. Restaurants, caterers, event organizers, retailers, and households may have food left over while nearby community organizations need supplies. Without a clear coordination process, suitable food may not reach recipients before its safe-use window ends. FoodBridge proposes a digital workflow for publishing available surplus, discovering listings, coordinating claims, and monitoring activity.</w:t>
      </w:r>
    </w:p>
    <w:p>
      <w:r>
        <w:t>The project applies common web technologies to a socially useful problem. Its goal is not simply to list food, but to make the donation process easier to understand and manage for different types of users.</w:t>
      </w:r>
    </w:p>
    <w:p>
      <w:pPr>
        <w:pStyle w:val="Heading1"/>
      </w:pPr>
      <w:r>
        <w:t>3. Problem Statement</w:t>
      </w:r>
    </w:p>
    <w:p>
      <w:r>
        <w:t>There is often no simple, centralized process for matching surplus food with organizations that can collect and redistribute it quickly. Communication may be fragmented across calls and messages, while important details—such as quantity, availability, pickup location, and time sensitivity—can be difficult to track. These gaps can delay redistribution and increase the chance that edible food is discarded.</w:t>
      </w:r>
    </w:p>
    <w:p>
      <w:pPr>
        <w:pStyle w:val="Heading1"/>
      </w:pPr>
      <w:r>
        <w:t>4. Objectives</w:t>
      </w:r>
    </w:p>
    <w:p>
      <w:pPr>
        <w:pStyle w:val="ListBullet"/>
      </w:pPr>
      <w:r>
        <w:t>Provide a central interface for communicating available surplus food.</w:t>
      </w:r>
    </w:p>
    <w:p>
      <w:pPr>
        <w:pStyle w:val="ListBullet"/>
      </w:pPr>
      <w:r>
        <w:t>Give donors a structured way to publish and track food donations.</w:t>
      </w:r>
    </w:p>
    <w:p>
      <w:pPr>
        <w:pStyle w:val="ListBullet"/>
      </w:pPr>
      <w:r>
        <w:t>Help NGOs discover relevant listings and coordinate claims or pickups.</w:t>
      </w:r>
    </w:p>
    <w:p>
      <w:pPr>
        <w:pStyle w:val="ListBullet"/>
      </w:pPr>
      <w:r>
        <w:t>Provide administrators with a view for verification, activity, and platform-level oversight.</w:t>
      </w:r>
    </w:p>
    <w:p>
      <w:pPr>
        <w:pStyle w:val="ListBullet"/>
      </w:pPr>
      <w:r>
        <w:t>Use map-based presentation and clear status indicators to make listings easier to understand.</w:t>
      </w:r>
    </w:p>
    <w:p>
      <w:pPr>
        <w:pStyle w:val="ListBullet"/>
      </w:pPr>
      <w:r>
        <w:t>Demonstrate a responsive, animated interface that can be extended into a full-stack service.</w:t>
      </w:r>
    </w:p>
    <w:p>
      <w:pPr>
        <w:pStyle w:val="Heading1"/>
      </w:pPr>
      <w:r>
        <w:t>5. Scope of the Project</w:t>
      </w:r>
    </w:p>
    <w:p>
      <w:pPr>
        <w:pStyle w:val="Heading2"/>
      </w:pPr>
      <w:r>
        <w:t>Included in the current prototype</w:t>
      </w:r>
    </w:p>
    <w:p>
      <w:pPr>
        <w:pStyle w:val="ListBullet"/>
      </w:pPr>
      <w:r>
        <w:t>A landing page explaining the FoodBridge concept.</w:t>
      </w:r>
    </w:p>
    <w:p>
      <w:pPr>
        <w:pStyle w:val="ListBullet"/>
      </w:pPr>
      <w:r>
        <w:t>Role-oriented login/demo flows for donors, NGOs, and administrators.</w:t>
      </w:r>
    </w:p>
    <w:p>
      <w:pPr>
        <w:pStyle w:val="ListBullet"/>
      </w:pPr>
      <w:r>
        <w:t>Donor workflow for creating listings and viewing donation status or impact information.</w:t>
      </w:r>
    </w:p>
    <w:p>
      <w:pPr>
        <w:pStyle w:val="ListBullet"/>
      </w:pPr>
      <w:r>
        <w:t>NGO workflow for browsing, filtering, viewing map/grid information, and claiming listings.</w:t>
      </w:r>
    </w:p>
    <w:p>
      <w:pPr>
        <w:pStyle w:val="ListBullet"/>
      </w:pPr>
      <w:r>
        <w:t>Admin-oriented verification, summary statistics, and activity feed screens.</w:t>
      </w:r>
    </w:p>
    <w:p>
      <w:pPr>
        <w:pStyle w:val="ListBullet"/>
      </w:pPr>
      <w:r>
        <w:t>Sample Hyderabad-based donor, NGO, and donation records for demonstration.</w:t>
      </w:r>
    </w:p>
    <w:p>
      <w:pPr>
        <w:pStyle w:val="ListBullet"/>
      </w:pPr>
      <w:r>
        <w:t>Motion effects, toast notifications, responsive styling, and reduced-motion support.</w:t>
      </w:r>
    </w:p>
    <w:p>
      <w:pPr>
        <w:pStyle w:val="Heading2"/>
      </w:pPr>
      <w:r>
        <w:t>Outside the verified scope</w:t>
      </w:r>
    </w:p>
    <w:p>
      <w:r>
        <w:t>The current prototype should not be described as a production-ready real-time donation network. A shared server/database, real identity verification, live notifications, and independently verified food-safety checks are not established by the localStorage-based implementation described for this build. Any such features should be presented as future work unless separately implemented and tested.</w:t>
      </w:r>
    </w:p>
    <w:p>
      <w:pPr>
        <w:pStyle w:val="Heading1"/>
      </w:pPr>
      <w:r>
        <w:t>6. User Roles and Main Modules</w:t>
      </w:r>
    </w:p>
    <w:tbl>
      <w:tblPr>
        <w:tblStyle w:val="TableGrid"/>
        <w:tblW w:type="auto" w:w="0"/>
        <w:tblLook w:firstColumn="1" w:firstRow="1" w:lastColumn="0" w:lastRow="0" w:noHBand="0" w:noVBand="1" w:val="04A0"/>
      </w:tblPr>
      <w:tblGrid>
        <w:gridCol w:w="4968"/>
        <w:gridCol w:w="4968"/>
      </w:tblGrid>
      <w:tr>
        <w:tc>
          <w:tcPr>
            <w:tcW w:type="dxa" w:w="4968"/>
            <w:shd w:fill="195C5B"/>
          </w:tcPr>
          <w:p>
            <w:r>
              <w:rPr>
                <w:b/>
                <w:color w:val="FFFFFF"/>
              </w:rPr>
              <w:t>Role</w:t>
            </w:r>
          </w:p>
        </w:tc>
        <w:tc>
          <w:tcPr>
            <w:tcW w:type="dxa" w:w="4968"/>
            <w:shd w:fill="195C5B"/>
          </w:tcPr>
          <w:p>
            <w:r>
              <w:rPr>
                <w:b/>
                <w:color w:val="FFFFFF"/>
              </w:rPr>
              <w:t>Purpose</w:t>
            </w:r>
          </w:p>
        </w:tc>
      </w:tr>
      <w:tr>
        <w:tc>
          <w:tcPr>
            <w:tcW w:type="dxa" w:w="4968"/>
          </w:tcPr>
          <w:p>
            <w:r>
              <w:t>Donor</w:t>
            </w:r>
          </w:p>
        </w:tc>
        <w:tc>
          <w:tcPr>
            <w:tcW w:type="dxa" w:w="4968"/>
          </w:tcPr>
          <w:p>
            <w:r>
              <w:t>Can use the donor-facing experience to create a food listing, review posted items, and follow the displayed status/impact timeline.</w:t>
            </w:r>
          </w:p>
        </w:tc>
      </w:tr>
      <w:tr>
        <w:tc>
          <w:tcPr>
            <w:tcW w:type="dxa" w:w="4968"/>
          </w:tcPr>
          <w:p>
            <w:r>
              <w:t>NGO / Recipient organization</w:t>
            </w:r>
          </w:p>
        </w:tc>
        <w:tc>
          <w:tcPr>
            <w:tcW w:type="dxa" w:w="4968"/>
          </w:tcPr>
          <w:p>
            <w:r>
              <w:t>Can browse and filter available food opportunities, inspect listing details, use the map/grid view, and initiate a claim in the prototype workflow.</w:t>
            </w:r>
          </w:p>
        </w:tc>
      </w:tr>
      <w:tr>
        <w:tc>
          <w:tcPr>
            <w:tcW w:type="dxa" w:w="4968"/>
          </w:tcPr>
          <w:p>
            <w:r>
              <w:t>Administrator</w:t>
            </w:r>
          </w:p>
        </w:tc>
        <w:tc>
          <w:tcPr>
            <w:tcW w:type="dxa" w:w="4968"/>
          </w:tcPr>
          <w:p>
            <w:r>
              <w:t>Can view sample platform statistics, verification-oriented records, and an activity feed intended to support oversight.</w:t>
            </w:r>
          </w:p>
        </w:tc>
      </w:tr>
      <w:tr>
        <w:tc>
          <w:tcPr>
            <w:tcW w:type="dxa" w:w="4968"/>
          </w:tcPr>
          <w:p>
            <w:r>
              <w:t>Public visitor</w:t>
            </w:r>
          </w:p>
        </w:tc>
        <w:tc>
          <w:tcPr>
            <w:tcW w:type="dxa" w:w="4968"/>
          </w:tcPr>
          <w:p>
            <w:r>
              <w:t>Can view the landing page and understand the platform’s purpose before entering a role-oriented flow.</w:t>
            </w:r>
          </w:p>
        </w:tc>
      </w:tr>
    </w:tbl>
    <w:p>
      <w:pPr>
        <w:pStyle w:val="Heading1"/>
      </w:pPr>
      <w:r>
        <w:t>7. Technology Stack</w:t>
      </w:r>
    </w:p>
    <w:tbl>
      <w:tblPr>
        <w:tblStyle w:val="TableGrid"/>
        <w:tblW w:type="auto" w:w="0"/>
        <w:tblLook w:firstColumn="1" w:firstRow="1" w:lastColumn="0" w:lastRow="0" w:noHBand="0" w:noVBand="1" w:val="04A0"/>
      </w:tblPr>
      <w:tblGrid>
        <w:gridCol w:w="4968"/>
        <w:gridCol w:w="4968"/>
      </w:tblGrid>
      <w:tr>
        <w:tc>
          <w:tcPr>
            <w:tcW w:type="dxa" w:w="4968"/>
            <w:shd w:fill="195C5B"/>
          </w:tcPr>
          <w:p>
            <w:r>
              <w:rPr>
                <w:b/>
                <w:color w:val="FFFFFF"/>
              </w:rPr>
              <w:t>Technology</w:t>
            </w:r>
          </w:p>
        </w:tc>
        <w:tc>
          <w:tcPr>
            <w:tcW w:type="dxa" w:w="4968"/>
            <w:shd w:fill="195C5B"/>
          </w:tcPr>
          <w:p>
            <w:r>
              <w:rPr>
                <w:b/>
                <w:color w:val="FFFFFF"/>
              </w:rPr>
              <w:t>Role in the project</w:t>
            </w:r>
          </w:p>
        </w:tc>
      </w:tr>
      <w:tr>
        <w:tc>
          <w:tcPr>
            <w:tcW w:type="dxa" w:w="4968"/>
          </w:tcPr>
          <w:p>
            <w:r>
              <w:t>React</w:t>
            </w:r>
          </w:p>
        </w:tc>
        <w:tc>
          <w:tcPr>
            <w:tcW w:type="dxa" w:w="4968"/>
          </w:tcPr>
          <w:p>
            <w:r>
              <w:t>Builds reusable interface components and page views.</w:t>
            </w:r>
          </w:p>
        </w:tc>
      </w:tr>
      <w:tr>
        <w:tc>
          <w:tcPr>
            <w:tcW w:type="dxa" w:w="4968"/>
          </w:tcPr>
          <w:p>
            <w:r>
              <w:t>Vite</w:t>
            </w:r>
          </w:p>
        </w:tc>
        <w:tc>
          <w:tcPr>
            <w:tcW w:type="dxa" w:w="4968"/>
          </w:tcPr>
          <w:p>
            <w:r>
              <w:t>Provides the frontend development server and production build tooling.</w:t>
            </w:r>
          </w:p>
        </w:tc>
      </w:tr>
      <w:tr>
        <w:tc>
          <w:tcPr>
            <w:tcW w:type="dxa" w:w="4968"/>
          </w:tcPr>
          <w:p>
            <w:r>
              <w:t>React Router</w:t>
            </w:r>
          </w:p>
        </w:tc>
        <w:tc>
          <w:tcPr>
            <w:tcW w:type="dxa" w:w="4968"/>
          </w:tcPr>
          <w:p>
            <w:r>
              <w:t>Supports navigation between the landing, login, donor, NGO, and admin views.</w:t>
            </w:r>
          </w:p>
        </w:tc>
      </w:tr>
      <w:tr>
        <w:tc>
          <w:tcPr>
            <w:tcW w:type="dxa" w:w="4968"/>
          </w:tcPr>
          <w:p>
            <w:r>
              <w:t>Framer Motion</w:t>
            </w:r>
          </w:p>
        </w:tc>
        <w:tc>
          <w:tcPr>
            <w:tcW w:type="dxa" w:w="4968"/>
          </w:tcPr>
          <w:p>
            <w:r>
              <w:t>Adds animated transitions and the scroll-based landing-page visual experience.</w:t>
            </w:r>
          </w:p>
        </w:tc>
      </w:tr>
      <w:tr>
        <w:tc>
          <w:tcPr>
            <w:tcW w:type="dxa" w:w="4968"/>
          </w:tcPr>
          <w:p>
            <w:r>
              <w:t>Leaflet + OpenStreetMap</w:t>
            </w:r>
          </w:p>
        </w:tc>
        <w:tc>
          <w:tcPr>
            <w:tcW w:type="dxa" w:w="4968"/>
          </w:tcPr>
          <w:p>
            <w:r>
              <w:t>Supports interactive map presentation without requiring a proprietary map renderer.</w:t>
            </w:r>
          </w:p>
        </w:tc>
      </w:tr>
      <w:tr>
        <w:tc>
          <w:tcPr>
            <w:tcW w:type="dxa" w:w="4968"/>
          </w:tcPr>
          <w:p>
            <w:r>
              <w:t>Browser localStorage</w:t>
            </w:r>
          </w:p>
        </w:tc>
        <w:tc>
          <w:tcPr>
            <w:tcW w:type="dxa" w:w="4968"/>
          </w:tcPr>
          <w:p>
            <w:r>
              <w:t>Persists prototype data locally in the browser; it is not a shared database.</w:t>
            </w:r>
          </w:p>
        </w:tc>
      </w:tr>
      <w:tr>
        <w:tc>
          <w:tcPr>
            <w:tcW w:type="dxa" w:w="4968"/>
          </w:tcPr>
          <w:p>
            <w:r>
              <w:t>Vercel</w:t>
            </w:r>
          </w:p>
        </w:tc>
        <w:tc>
          <w:tcPr>
            <w:tcW w:type="dxa" w:w="4968"/>
          </w:tcPr>
          <w:p>
            <w:r>
              <w:t>Hosts the deployed website and provides a public URL.</w:t>
            </w:r>
          </w:p>
        </w:tc>
      </w:tr>
    </w:tbl>
    <w:p>
      <w:pPr>
        <w:pStyle w:val="Heading1"/>
      </w:pPr>
      <w:r>
        <w:t>8. System Workflow</w:t>
      </w:r>
    </w:p>
    <w:p>
      <w:pPr>
        <w:pStyle w:val="ListNumber"/>
      </w:pPr>
      <w:r>
        <w:t>A visitor opens the FoodBridge website and reviews the platform’s purpose.</w:t>
      </w:r>
    </w:p>
    <w:p>
      <w:pPr>
        <w:pStyle w:val="ListNumber"/>
      </w:pPr>
      <w:r>
        <w:t>The user enters the relevant role-oriented experience (donor, NGO, or administrator).</w:t>
      </w:r>
    </w:p>
    <w:p>
      <w:pPr>
        <w:pStyle w:val="ListNumber"/>
      </w:pPr>
      <w:r>
        <w:t>A donor enters details about surplus food and publishes a listing in the prototype.</w:t>
      </w:r>
    </w:p>
    <w:p>
      <w:pPr>
        <w:pStyle w:val="ListNumber"/>
      </w:pPr>
      <w:r>
        <w:t>An NGO browses available listings, applies filters, checks details, and starts the claim workflow.</w:t>
      </w:r>
    </w:p>
    <w:p>
      <w:pPr>
        <w:pStyle w:val="ListNumber"/>
      </w:pPr>
      <w:r>
        <w:t>The interface displays status and activity information to help users follow the donation lifecycle.</w:t>
      </w:r>
    </w:p>
    <w:p>
      <w:pPr>
        <w:pStyle w:val="ListNumber"/>
      </w:pPr>
      <w:r>
        <w:t>The administrator view presents summary and verification-oriented information for demonstration.</w:t>
      </w:r>
    </w:p>
    <w:p>
      <w:r>
        <w:t>Prototype note: these steps describe the intended user journey. Since the current data layer uses browser localStorage, data may be limited to the browser/device where it was created and should not be assumed to synchronize between separate users.</w:t>
      </w:r>
    </w:p>
    <w:p>
      <w:pPr>
        <w:pStyle w:val="Heading1"/>
      </w:pPr>
      <w:r>
        <w:t>9. Interface and User Experience</w:t>
      </w:r>
    </w:p>
    <w:p>
      <w:r>
        <w:t>FoodBridge uses a dark visual theme with orange accents and glass-inspired styling to create a distinctive modern interface. The landing experience includes a scroll-driven visual sequence, while motion and toast feedback are intended to make transitions and actions easier to follow. Separate role-oriented screens help reduce clutter by presenting workflows relevant to each user type. Responsive styling and reduced-motion support are useful accessibility and usability considerations.</w:t>
      </w:r>
    </w:p>
    <w:p>
      <w:r>
        <w:t>For a live demonstration, it is useful to show the landing page first, then a donor posting flow, the NGO listing and claim flow, and finally the admin overview. Use sample data clearly labelled as demonstration data rather than presenting it as verified live community activity.</w:t>
      </w:r>
    </w:p>
    <w:p>
      <w:pPr>
        <w:pStyle w:val="Heading1"/>
      </w:pPr>
      <w:r>
        <w:t>10. Expected Benefits and Social Impact</w:t>
      </w:r>
    </w:p>
    <w:p>
      <w:pPr>
        <w:pStyle w:val="ListBullet"/>
      </w:pPr>
      <w:r>
        <w:t>Food recovery: helps make surplus food more visible to organizations that may be able to use it.</w:t>
      </w:r>
    </w:p>
    <w:p>
      <w:pPr>
        <w:pStyle w:val="ListBullet"/>
      </w:pPr>
      <w:r>
        <w:t>Coordination: organizes key listing details in one place instead of relying entirely on scattered messages.</w:t>
      </w:r>
    </w:p>
    <w:p>
      <w:pPr>
        <w:pStyle w:val="ListBullet"/>
      </w:pPr>
      <w:r>
        <w:t>Time sensitivity: structured availability and pickup details can help users prioritize suitable opportunities.</w:t>
      </w:r>
    </w:p>
    <w:p>
      <w:pPr>
        <w:pStyle w:val="ListBullet"/>
      </w:pPr>
      <w:r>
        <w:t>Transparency: status timelines and admin-oriented views can support clearer tracking when backed by reliable data.</w:t>
      </w:r>
    </w:p>
    <w:p>
      <w:pPr>
        <w:pStyle w:val="ListBullet"/>
      </w:pPr>
      <w:r>
        <w:t>Environmental value: successful redistribution may reduce the amount of edible food discarded.</w:t>
      </w:r>
    </w:p>
    <w:p>
      <w:pPr>
        <w:pStyle w:val="ListBullet"/>
      </w:pPr>
      <w:r>
        <w:t>Community support: a coordinated donation process can help food providers and recipient organizations work together.</w:t>
      </w:r>
    </w:p>
    <w:p>
      <w:r>
        <w:t>These are intended benefits. Actual impact—such as meals delivered, kilograms of food rescued, or emissions avoided—must be calculated from verified completed donations and a documented measurement method.</w:t>
      </w:r>
    </w:p>
    <w:p>
      <w:pPr>
        <w:pStyle w:val="Heading1"/>
      </w:pPr>
      <w:r>
        <w:t>11. Testing and Evaluation Plan</w:t>
      </w:r>
    </w:p>
    <w:p>
      <w:r>
        <w:t>The following checks are recommended before presenting the project as complete. The website’s public URL was identified, but a full automated functional test of every interactive flow has not been performed for this report; therefore, the items below are a test plan rather than a claim that all tests passed.</w:t>
      </w:r>
    </w:p>
    <w:tbl>
      <w:tblPr>
        <w:tblStyle w:val="TableGrid"/>
        <w:tblW w:type="auto" w:w="0"/>
        <w:tblLook w:firstColumn="1" w:firstRow="1" w:lastColumn="0" w:lastRow="0" w:noHBand="0" w:noVBand="1" w:val="04A0"/>
      </w:tblPr>
      <w:tblGrid>
        <w:gridCol w:w="4968"/>
        <w:gridCol w:w="4968"/>
      </w:tblGrid>
      <w:tr>
        <w:tc>
          <w:tcPr>
            <w:tcW w:type="dxa" w:w="4968"/>
            <w:shd w:fill="195C5B"/>
          </w:tcPr>
          <w:p>
            <w:r>
              <w:rPr>
                <w:b/>
                <w:color w:val="FFFFFF"/>
              </w:rPr>
              <w:t>Area</w:t>
            </w:r>
          </w:p>
        </w:tc>
        <w:tc>
          <w:tcPr>
            <w:tcW w:type="dxa" w:w="4968"/>
            <w:shd w:fill="195C5B"/>
          </w:tcPr>
          <w:p>
            <w:r>
              <w:rPr>
                <w:b/>
                <w:color w:val="FFFFFF"/>
              </w:rPr>
              <w:t>Suggested validation</w:t>
            </w:r>
          </w:p>
        </w:tc>
      </w:tr>
      <w:tr>
        <w:tc>
          <w:tcPr>
            <w:tcW w:type="dxa" w:w="4968"/>
          </w:tcPr>
          <w:p>
            <w:r>
              <w:t>Deployment</w:t>
            </w:r>
          </w:p>
        </w:tc>
        <w:tc>
          <w:tcPr>
            <w:tcW w:type="dxa" w:w="4968"/>
          </w:tcPr>
          <w:p>
            <w:r>
              <w:t>Open the Vercel URL in a fresh browser and confirm that the landing page loads without console errors.</w:t>
            </w:r>
          </w:p>
        </w:tc>
      </w:tr>
      <w:tr>
        <w:tc>
          <w:tcPr>
            <w:tcW w:type="dxa" w:w="4968"/>
          </w:tcPr>
          <w:p>
            <w:r>
              <w:t>Navigation</w:t>
            </w:r>
          </w:p>
        </w:tc>
        <w:tc>
          <w:tcPr>
            <w:tcW w:type="dxa" w:w="4968"/>
          </w:tcPr>
          <w:p>
            <w:r>
              <w:t>Open each role view and confirm that page transitions and browser navigation behave as expected.</w:t>
            </w:r>
          </w:p>
        </w:tc>
      </w:tr>
      <w:tr>
        <w:tc>
          <w:tcPr>
            <w:tcW w:type="dxa" w:w="4968"/>
          </w:tcPr>
          <w:p>
            <w:r>
              <w:t>Donor listing</w:t>
            </w:r>
          </w:p>
        </w:tc>
        <w:tc>
          <w:tcPr>
            <w:tcW w:type="dxa" w:w="4968"/>
          </w:tcPr>
          <w:p>
            <w:r>
              <w:t>Create a sample listing, validate required fields, and confirm the status appears in the donor view.</w:t>
            </w:r>
          </w:p>
        </w:tc>
      </w:tr>
      <w:tr>
        <w:tc>
          <w:tcPr>
            <w:tcW w:type="dxa" w:w="4968"/>
          </w:tcPr>
          <w:p>
            <w:r>
              <w:t>NGO discovery</w:t>
            </w:r>
          </w:p>
        </w:tc>
        <w:tc>
          <w:tcPr>
            <w:tcW w:type="dxa" w:w="4968"/>
          </w:tcPr>
          <w:p>
            <w:r>
              <w:t>Test search, filters, listing details, map/grid presentation, and the claim interaction.</w:t>
            </w:r>
          </w:p>
        </w:tc>
      </w:tr>
      <w:tr>
        <w:tc>
          <w:tcPr>
            <w:tcW w:type="dxa" w:w="4968"/>
          </w:tcPr>
          <w:p>
            <w:r>
              <w:t>Admin view</w:t>
            </w:r>
          </w:p>
        </w:tc>
        <w:tc>
          <w:tcPr>
            <w:tcW w:type="dxa" w:w="4968"/>
          </w:tcPr>
          <w:p>
            <w:r>
              <w:t>Check that displayed counts and activity entries respond consistently to the available prototype data.</w:t>
            </w:r>
          </w:p>
        </w:tc>
      </w:tr>
      <w:tr>
        <w:tc>
          <w:tcPr>
            <w:tcW w:type="dxa" w:w="4968"/>
          </w:tcPr>
          <w:p>
            <w:r>
              <w:t>Persistence</w:t>
            </w:r>
          </w:p>
        </w:tc>
        <w:tc>
          <w:tcPr>
            <w:tcW w:type="dxa" w:w="4968"/>
          </w:tcPr>
          <w:p>
            <w:r>
              <w:t>Refresh the page and confirm expected localStorage persistence; test in a second browser to document the current limitation.</w:t>
            </w:r>
          </w:p>
        </w:tc>
      </w:tr>
      <w:tr>
        <w:tc>
          <w:tcPr>
            <w:tcW w:type="dxa" w:w="4968"/>
          </w:tcPr>
          <w:p>
            <w:r>
              <w:t>Responsive layout</w:t>
            </w:r>
          </w:p>
        </w:tc>
        <w:tc>
          <w:tcPr>
            <w:tcW w:type="dxa" w:w="4968"/>
          </w:tcPr>
          <w:p>
            <w:r>
              <w:t>Check common mobile, tablet, and desktop widths for overflow and usable controls.</w:t>
            </w:r>
          </w:p>
        </w:tc>
      </w:tr>
      <w:tr>
        <w:tc>
          <w:tcPr>
            <w:tcW w:type="dxa" w:w="4968"/>
          </w:tcPr>
          <w:p>
            <w:r>
              <w:t>Accessibility</w:t>
            </w:r>
          </w:p>
        </w:tc>
        <w:tc>
          <w:tcPr>
            <w:tcW w:type="dxa" w:w="4968"/>
          </w:tcPr>
          <w:p>
            <w:r>
              <w:t>Test keyboard navigation, visible focus states, contrast, form labels, and reduced-motion behavior.</w:t>
            </w:r>
          </w:p>
        </w:tc>
      </w:tr>
    </w:tbl>
    <w:p>
      <w:pPr>
        <w:pStyle w:val="Heading1"/>
      </w:pPr>
      <w:r>
        <w:t>12. Current Limitations</w:t>
      </w:r>
    </w:p>
    <w:p>
      <w:pPr>
        <w:pStyle w:val="ListBullet"/>
      </w:pPr>
      <w:r>
        <w:t>Local-only storage: prototype data is stored in the browser and is not a shared multi-user source of truth.</w:t>
      </w:r>
    </w:p>
    <w:p>
      <w:pPr>
        <w:pStyle w:val="ListBullet"/>
      </w:pPr>
      <w:r>
        <w:t>Demo authentication: role-oriented sign-in should not be treated as secure production authentication unless connected to a real identity provider and enforced server-side.</w:t>
      </w:r>
    </w:p>
    <w:p>
      <w:pPr>
        <w:pStyle w:val="ListBullet"/>
      </w:pPr>
      <w:r>
        <w:t>Data integrity: summary figures can be misleading if different units are added together or if sample records are counted as real impact.</w:t>
      </w:r>
    </w:p>
    <w:p>
      <w:pPr>
        <w:pStyle w:val="ListBullet"/>
      </w:pPr>
      <w:r>
        <w:t>Operational safety: food handling, allergen information, storage conditions, and pickup procedures need explicit guidance and accountability.</w:t>
      </w:r>
    </w:p>
    <w:p>
      <w:pPr>
        <w:pStyle w:val="ListBullet"/>
      </w:pPr>
      <w:r>
        <w:t>Notifications: dependable alerts require a backend/event system and appropriate permissions.</w:t>
      </w:r>
    </w:p>
    <w:p>
      <w:pPr>
        <w:pStyle w:val="ListBullet"/>
      </w:pPr>
      <w:r>
        <w:t>Privacy and security: production use requires validated authorization, input validation, secure data handling, and a privacy policy.</w:t>
      </w:r>
    </w:p>
    <w:p>
      <w:pPr>
        <w:pStyle w:val="Heading1"/>
      </w:pPr>
      <w:r>
        <w:t>13. Future Enhancements</w:t>
      </w:r>
    </w:p>
    <w:p>
      <w:pPr>
        <w:pStyle w:val="ListBullet"/>
      </w:pPr>
      <w:r>
        <w:t>Connect a backend API and shared database so donors and NGOs see the same live listings.</w:t>
      </w:r>
    </w:p>
    <w:p>
      <w:pPr>
        <w:pStyle w:val="ListBullet"/>
      </w:pPr>
      <w:r>
        <w:t>Implement secure authentication, server-side role-based authorization, and organization verification.</w:t>
      </w:r>
    </w:p>
    <w:p>
      <w:pPr>
        <w:pStyle w:val="ListBullet"/>
      </w:pPr>
      <w:r>
        <w:t>Add real-time listing updates and notification options for nearby NGOs and volunteers.</w:t>
      </w:r>
    </w:p>
    <w:p>
      <w:pPr>
        <w:pStyle w:val="ListBullet"/>
      </w:pPr>
      <w:r>
        <w:t>Add listing photos, food categories, quantity units, preparation time, expiry/pickup deadline, allergens, and storage notes.</w:t>
      </w:r>
    </w:p>
    <w:p>
      <w:pPr>
        <w:pStyle w:val="ListBullet"/>
      </w:pPr>
      <w:r>
        <w:t>Introduce claim acceptance, pickup confirmation, completion evidence, and cancellation handling.</w:t>
      </w:r>
    </w:p>
    <w:p>
      <w:pPr>
        <w:pStyle w:val="ListBullet"/>
      </w:pPr>
      <w:r>
        <w:t>Improve location search and distance-based matching, with privacy-conscious address visibility.</w:t>
      </w:r>
    </w:p>
    <w:p>
      <w:pPr>
        <w:pStyle w:val="ListBullet"/>
      </w:pPr>
      <w:r>
        <w:t>Create reliable analytics for completed donations, meals served, kilograms recovered, and estimated environmental impact.</w:t>
      </w:r>
    </w:p>
    <w:p>
      <w:pPr>
        <w:pStyle w:val="ListBullet"/>
      </w:pPr>
      <w:r>
        <w:t>Add audit logs, abuse reporting, rate limiting, backups, monitoring, and automated tests.</w:t>
      </w:r>
    </w:p>
    <w:p>
      <w:pPr>
        <w:pStyle w:val="ListBullet"/>
      </w:pPr>
      <w:r>
        <w:t>Conduct usability testing with actual food donors and NGOs before wider deployment.</w:t>
      </w:r>
    </w:p>
    <w:p>
      <w:pPr>
        <w:pStyle w:val="Heading1"/>
      </w:pPr>
      <w:r>
        <w:t>14. Conclusion</w:t>
      </w:r>
    </w:p>
    <w:p>
      <w:r>
        <w:t>FoodBridge presents a socially relevant use of web technology: helping coordinate surplus-food donations between providers and organizations that can redistribute them. Its role-based screens, donor and NGO workflows, map-oriented discovery, and administrator overview provide a useful prototype for demonstrating the concept. The React/Vite implementation and Vercel deployment make the experience accessible through a public web link.</w:t>
      </w:r>
    </w:p>
    <w:p>
      <w:r>
        <w:t>The next major step is to move from a browser-local prototype to a secure shared application with persistent backend data, verified user roles, and tested end-to-end donation completion. With those improvements and measurable real-world outcomes, FoodBridge could develop into a more dependable platform for food recovery and community support.</w:t>
      </w:r>
    </w:p>
    <w:p>
      <w:pPr>
        <w:pStyle w:val="Heading1"/>
      </w:pPr>
      <w:r>
        <w:t>15. Project Link</w:t>
      </w:r>
    </w:p>
    <w:p>
      <w:r>
        <w:rPr>
          <w:b/>
        </w:rPr>
        <w:t xml:space="preserve">Live website: </w:t>
      </w:r>
      <w:r>
        <w:t>https://foodbridge-six-jet.vercel.app/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FoodBridge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4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CA5B2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5C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2A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A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