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B60D1" w14:textId="0C42C30D" w:rsidR="00D77B2E" w:rsidRPr="00D77B2E" w:rsidRDefault="00D77B2E" w:rsidP="00D77B2E">
      <w:pPr>
        <w:jc w:val="both"/>
        <w:rPr>
          <w:rFonts w:asciiTheme="majorHAnsi" w:eastAsiaTheme="majorEastAsia" w:hAnsiTheme="majorHAnsi" w:cstheme="majorHAnsi"/>
          <w:color w:val="1F497D" w:themeColor="text2"/>
          <w:spacing w:val="5"/>
          <w:kern w:val="28"/>
          <w:sz w:val="32"/>
          <w:szCs w:val="32"/>
          <w:lang w:val="en-IN"/>
        </w:rPr>
      </w:pPr>
      <w:r w:rsidRPr="00D77B2E">
        <w:rPr>
          <w:rFonts w:asciiTheme="majorHAnsi" w:eastAsiaTheme="majorEastAsia" w:hAnsiTheme="majorHAnsi" w:cstheme="majorHAnsi"/>
          <w:color w:val="1F497D" w:themeColor="text2"/>
          <w:spacing w:val="5"/>
          <w:kern w:val="28"/>
          <w:sz w:val="32"/>
          <w:szCs w:val="32"/>
          <w:lang w:val="en-IN"/>
        </w:rPr>
        <w:t>Financial Analysis Report: Greenfield Manufacturing Ltd.</w:t>
      </w:r>
    </w:p>
    <w:p w14:paraId="5D8E1FC5" w14:textId="77777777" w:rsidR="00D77B2E" w:rsidRPr="00D77B2E" w:rsidRDefault="00D77B2E" w:rsidP="00D77B2E">
      <w:pPr>
        <w:jc w:val="both"/>
        <w:rPr>
          <w:rFonts w:asciiTheme="majorHAnsi" w:eastAsiaTheme="majorEastAsia" w:hAnsiTheme="majorHAnsi" w:cstheme="majorHAnsi"/>
          <w:b/>
          <w:bCs/>
          <w:spacing w:val="5"/>
          <w:kern w:val="28"/>
          <w:sz w:val="24"/>
          <w:szCs w:val="24"/>
          <w:lang w:val="en-IN"/>
        </w:rPr>
      </w:pPr>
      <w:r w:rsidRPr="00D77B2E">
        <w:rPr>
          <w:rFonts w:asciiTheme="majorHAnsi" w:eastAsiaTheme="majorEastAsia" w:hAnsiTheme="majorHAnsi" w:cstheme="majorHAnsi"/>
          <w:b/>
          <w:bCs/>
          <w:spacing w:val="5"/>
          <w:kern w:val="28"/>
          <w:sz w:val="24"/>
          <w:szCs w:val="24"/>
          <w:lang w:val="en-IN"/>
        </w:rPr>
        <w:t>Executive Summary</w:t>
      </w:r>
    </w:p>
    <w:p w14:paraId="47B7EE92" w14:textId="625A9A68" w:rsidR="00D77B2E" w:rsidRPr="00D77B2E" w:rsidRDefault="00D77B2E" w:rsidP="00D77B2E">
      <w:p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Greenfield Manufacturing Ltd. has demonstrated steady revenue growth and a notable improvement in net income over the past year. However, concerns remain regarding liquidity and financial leverage. This report highlights the need for strategic financial management to support the company’s expansion plans and maintain competitiveness in the rapidly evolving sustainable packaging industry.</w:t>
      </w:r>
    </w:p>
    <w:p w14:paraId="76483C90" w14:textId="77777777" w:rsidR="00D77B2E" w:rsidRPr="00D77B2E" w:rsidRDefault="00D77B2E" w:rsidP="00D77B2E">
      <w:pPr>
        <w:jc w:val="both"/>
        <w:rPr>
          <w:rFonts w:asciiTheme="majorHAnsi" w:eastAsiaTheme="majorEastAsia" w:hAnsiTheme="majorHAnsi" w:cstheme="majorHAnsi"/>
          <w:b/>
          <w:bCs/>
          <w:spacing w:val="5"/>
          <w:kern w:val="28"/>
          <w:sz w:val="24"/>
          <w:szCs w:val="24"/>
          <w:lang w:val="en-IN"/>
        </w:rPr>
      </w:pPr>
      <w:r w:rsidRPr="00D77B2E">
        <w:rPr>
          <w:rFonts w:asciiTheme="majorHAnsi" w:eastAsiaTheme="majorEastAsia" w:hAnsiTheme="majorHAnsi" w:cstheme="majorHAnsi"/>
          <w:b/>
          <w:bCs/>
          <w:spacing w:val="5"/>
          <w:kern w:val="28"/>
          <w:sz w:val="24"/>
          <w:szCs w:val="24"/>
          <w:lang w:val="en-IN"/>
        </w:rPr>
        <w:t>Financial Analysis</w:t>
      </w:r>
    </w:p>
    <w:p w14:paraId="4C48653C" w14:textId="77777777" w:rsidR="00D77B2E" w:rsidRPr="00D77B2E" w:rsidRDefault="00D77B2E" w:rsidP="00D77B2E">
      <w:pPr>
        <w:jc w:val="both"/>
        <w:rPr>
          <w:rFonts w:asciiTheme="majorHAnsi" w:eastAsiaTheme="majorEastAsia" w:hAnsiTheme="majorHAnsi" w:cstheme="majorHAnsi"/>
          <w:b/>
          <w:bCs/>
          <w:spacing w:val="5"/>
          <w:kern w:val="28"/>
          <w:sz w:val="24"/>
          <w:szCs w:val="24"/>
          <w:lang w:val="en-IN"/>
        </w:rPr>
      </w:pPr>
      <w:r w:rsidRPr="00D77B2E">
        <w:rPr>
          <w:rFonts w:asciiTheme="majorHAnsi" w:eastAsiaTheme="majorEastAsia" w:hAnsiTheme="majorHAnsi" w:cstheme="majorHAnsi"/>
          <w:b/>
          <w:bCs/>
          <w:spacing w:val="5"/>
          <w:kern w:val="28"/>
          <w:sz w:val="24"/>
          <w:szCs w:val="24"/>
          <w:lang w:val="en-IN"/>
        </w:rPr>
        <w:t>Income Statement Analysis</w:t>
      </w:r>
    </w:p>
    <w:p w14:paraId="106091A1" w14:textId="77777777" w:rsidR="00D77B2E" w:rsidRPr="00D77B2E" w:rsidRDefault="00D77B2E" w:rsidP="00D77B2E">
      <w:pPr>
        <w:numPr>
          <w:ilvl w:val="0"/>
          <w:numId w:val="14"/>
        </w:num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Revenue Growth: Revenue increased by 5.26%, from £950,000 in 2022 to £1,000,000 in 2023. This reflects a positive trend in sales performance and market traction.</w:t>
      </w:r>
    </w:p>
    <w:p w14:paraId="63BF975E" w14:textId="77777777" w:rsidR="00D77B2E" w:rsidRPr="00D77B2E" w:rsidRDefault="00D77B2E" w:rsidP="00D77B2E">
      <w:pPr>
        <w:numPr>
          <w:ilvl w:val="0"/>
          <w:numId w:val="14"/>
        </w:num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Net Income Growth: Net income rose by 8.10%, from £129,500 to £140,000, indicating improved cost management and operational efficiency.</w:t>
      </w:r>
    </w:p>
    <w:p w14:paraId="481ECEBC" w14:textId="77777777" w:rsidR="00D77B2E" w:rsidRPr="00D77B2E" w:rsidRDefault="00D77B2E" w:rsidP="00D77B2E">
      <w:pPr>
        <w:jc w:val="both"/>
        <w:rPr>
          <w:rFonts w:asciiTheme="majorHAnsi" w:eastAsiaTheme="majorEastAsia" w:hAnsiTheme="majorHAnsi" w:cstheme="majorHAnsi"/>
          <w:b/>
          <w:bCs/>
          <w:spacing w:val="5"/>
          <w:kern w:val="28"/>
          <w:sz w:val="24"/>
          <w:szCs w:val="24"/>
          <w:lang w:val="en-IN"/>
        </w:rPr>
      </w:pPr>
      <w:r w:rsidRPr="00D77B2E">
        <w:rPr>
          <w:rFonts w:asciiTheme="majorHAnsi" w:eastAsiaTheme="majorEastAsia" w:hAnsiTheme="majorHAnsi" w:cstheme="majorHAnsi"/>
          <w:b/>
          <w:bCs/>
          <w:spacing w:val="5"/>
          <w:kern w:val="28"/>
          <w:sz w:val="24"/>
          <w:szCs w:val="24"/>
          <w:lang w:val="en-IN"/>
        </w:rPr>
        <w:t>Balance Sheet Analysis</w:t>
      </w:r>
    </w:p>
    <w:p w14:paraId="60EDD71D" w14:textId="77777777" w:rsidR="00D77B2E" w:rsidRPr="00D77B2E" w:rsidRDefault="00D77B2E" w:rsidP="00D77B2E">
      <w:pPr>
        <w:numPr>
          <w:ilvl w:val="0"/>
          <w:numId w:val="15"/>
        </w:num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Current Ratio: Calculated at 1.25 (£250,000 / £200,000), which is below the industry benchmark of 1.5. This suggests potential liquidity constraints and a need to strengthen short-term financial resilience.</w:t>
      </w:r>
    </w:p>
    <w:p w14:paraId="1F62650E" w14:textId="77777777" w:rsidR="00D77B2E" w:rsidRPr="00D77B2E" w:rsidRDefault="00D77B2E" w:rsidP="00D77B2E">
      <w:pPr>
        <w:numPr>
          <w:ilvl w:val="0"/>
          <w:numId w:val="15"/>
        </w:num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Debt-to-Equity Ratio: Standing at 1.0, Greenfield is equally financed by debt and equity. While this reflects balanced leverage, it exceeds the industry average of 0.8, indicating higher financial risk if not managed proactively.</w:t>
      </w:r>
    </w:p>
    <w:p w14:paraId="1CCB84AF" w14:textId="77777777" w:rsidR="00D77B2E" w:rsidRPr="00D77B2E" w:rsidRDefault="00D77B2E" w:rsidP="00D77B2E">
      <w:pPr>
        <w:jc w:val="both"/>
        <w:rPr>
          <w:rFonts w:asciiTheme="majorHAnsi" w:eastAsiaTheme="majorEastAsia" w:hAnsiTheme="majorHAnsi" w:cstheme="majorHAnsi"/>
          <w:b/>
          <w:bCs/>
          <w:spacing w:val="5"/>
          <w:kern w:val="28"/>
          <w:sz w:val="24"/>
          <w:szCs w:val="24"/>
          <w:lang w:val="en-IN"/>
        </w:rPr>
      </w:pPr>
      <w:r w:rsidRPr="00D77B2E">
        <w:rPr>
          <w:rFonts w:asciiTheme="majorHAnsi" w:eastAsiaTheme="majorEastAsia" w:hAnsiTheme="majorHAnsi" w:cstheme="majorHAnsi"/>
          <w:b/>
          <w:bCs/>
          <w:spacing w:val="5"/>
          <w:kern w:val="28"/>
          <w:sz w:val="24"/>
          <w:szCs w:val="24"/>
          <w:lang w:val="en-IN"/>
        </w:rPr>
        <w:t>Cash Flow Statement Analysis</w:t>
      </w:r>
    </w:p>
    <w:p w14:paraId="46ADE2B3" w14:textId="77777777" w:rsidR="00D77B2E" w:rsidRPr="00D77B2E" w:rsidRDefault="00D77B2E" w:rsidP="00D77B2E">
      <w:pPr>
        <w:numPr>
          <w:ilvl w:val="0"/>
          <w:numId w:val="16"/>
        </w:num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Operating Cash Flow: Positive cash flow of £180,000 from core operations demonstrates strong internal cash generation.</w:t>
      </w:r>
    </w:p>
    <w:p w14:paraId="17DEBE8D" w14:textId="77777777" w:rsidR="00D77B2E" w:rsidRPr="00D77B2E" w:rsidRDefault="00D77B2E" w:rsidP="00D77B2E">
      <w:pPr>
        <w:numPr>
          <w:ilvl w:val="0"/>
          <w:numId w:val="16"/>
        </w:num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Investing Activities: A negative cash flow of £100,000 reflects investment in fixed assets — typical for growth-oriented firms.</w:t>
      </w:r>
    </w:p>
    <w:p w14:paraId="71AAAD50" w14:textId="5D6BDC29" w:rsidR="00D77B2E" w:rsidRPr="00D77B2E" w:rsidRDefault="00D77B2E" w:rsidP="00D77B2E">
      <w:pPr>
        <w:numPr>
          <w:ilvl w:val="0"/>
          <w:numId w:val="16"/>
        </w:num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Financing Activities: Positive cash flow of £30,000 suggests additional capital raised, likely to support expansion initiatives.</w:t>
      </w:r>
    </w:p>
    <w:p w14:paraId="3BC7C76E" w14:textId="77777777" w:rsidR="00D77B2E" w:rsidRPr="00D77B2E" w:rsidRDefault="00D77B2E" w:rsidP="00D77B2E">
      <w:pPr>
        <w:jc w:val="both"/>
        <w:rPr>
          <w:rFonts w:asciiTheme="majorHAnsi" w:eastAsiaTheme="majorEastAsia" w:hAnsiTheme="majorHAnsi" w:cstheme="majorHAnsi"/>
          <w:b/>
          <w:bCs/>
          <w:spacing w:val="5"/>
          <w:kern w:val="28"/>
          <w:sz w:val="24"/>
          <w:szCs w:val="24"/>
          <w:lang w:val="en-IN"/>
        </w:rPr>
      </w:pPr>
      <w:r w:rsidRPr="00D77B2E">
        <w:rPr>
          <w:rFonts w:asciiTheme="majorHAnsi" w:eastAsiaTheme="majorEastAsia" w:hAnsiTheme="majorHAnsi" w:cstheme="majorHAnsi"/>
          <w:b/>
          <w:bCs/>
          <w:spacing w:val="5"/>
          <w:kern w:val="28"/>
          <w:sz w:val="24"/>
          <w:szCs w:val="24"/>
          <w:lang w:val="en-IN"/>
        </w:rPr>
        <w:t>Industry Insights</w:t>
      </w:r>
    </w:p>
    <w:p w14:paraId="7A3A9A0E" w14:textId="77777777" w:rsidR="00D77B2E" w:rsidRPr="00D77B2E" w:rsidRDefault="00D77B2E" w:rsidP="00D77B2E">
      <w:pPr>
        <w:jc w:val="both"/>
        <w:rPr>
          <w:rFonts w:asciiTheme="majorHAnsi" w:eastAsiaTheme="majorEastAsia" w:hAnsiTheme="majorHAnsi" w:cstheme="majorHAnsi"/>
          <w:b/>
          <w:bCs/>
          <w:spacing w:val="5"/>
          <w:kern w:val="28"/>
          <w:sz w:val="24"/>
          <w:szCs w:val="24"/>
          <w:lang w:val="en-IN"/>
        </w:rPr>
      </w:pPr>
      <w:r w:rsidRPr="00D77B2E">
        <w:rPr>
          <w:rFonts w:asciiTheme="majorHAnsi" w:eastAsiaTheme="majorEastAsia" w:hAnsiTheme="majorHAnsi" w:cstheme="majorHAnsi"/>
          <w:b/>
          <w:bCs/>
          <w:spacing w:val="5"/>
          <w:kern w:val="28"/>
          <w:sz w:val="24"/>
          <w:szCs w:val="24"/>
          <w:lang w:val="en-IN"/>
        </w:rPr>
        <w:lastRenderedPageBreak/>
        <w:t>Market Overview</w:t>
      </w:r>
    </w:p>
    <w:p w14:paraId="3534F5C9" w14:textId="77777777" w:rsidR="00D77B2E" w:rsidRPr="00D77B2E" w:rsidRDefault="00D77B2E" w:rsidP="00D77B2E">
      <w:p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The sustainable packaging industry is experiencing rapid growth, driven by increasing consumer demand for eco-friendly solutions, regulatory pressure to reduce plastic waste, and technological innovation in materials and design. Greenfield is well-positioned to benefit from these trends but faces competition from larger, more resourceful players.</w:t>
      </w:r>
    </w:p>
    <w:p w14:paraId="4BC5ECAC" w14:textId="77777777" w:rsidR="00D77B2E" w:rsidRPr="00D77B2E" w:rsidRDefault="00D77B2E" w:rsidP="00D77B2E">
      <w:pPr>
        <w:jc w:val="both"/>
        <w:rPr>
          <w:rFonts w:asciiTheme="majorHAnsi" w:eastAsiaTheme="majorEastAsia" w:hAnsiTheme="majorHAnsi" w:cstheme="majorHAnsi"/>
          <w:b/>
          <w:bCs/>
          <w:spacing w:val="5"/>
          <w:kern w:val="28"/>
          <w:sz w:val="24"/>
          <w:szCs w:val="24"/>
          <w:lang w:val="en-IN"/>
        </w:rPr>
      </w:pPr>
      <w:r w:rsidRPr="00D77B2E">
        <w:rPr>
          <w:rFonts w:asciiTheme="majorHAnsi" w:eastAsiaTheme="majorEastAsia" w:hAnsiTheme="majorHAnsi" w:cstheme="majorHAnsi"/>
          <w:b/>
          <w:bCs/>
          <w:spacing w:val="5"/>
          <w:kern w:val="28"/>
          <w:sz w:val="24"/>
          <w:szCs w:val="24"/>
          <w:lang w:val="en-IN"/>
        </w:rPr>
        <w:t>Benchmark Comparison</w:t>
      </w:r>
    </w:p>
    <w:tbl>
      <w:tblPr>
        <w:tblW w:w="8807"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368"/>
        <w:gridCol w:w="1749"/>
        <w:gridCol w:w="2771"/>
        <w:gridCol w:w="919"/>
      </w:tblGrid>
      <w:tr w:rsidR="00D77B2E" w:rsidRPr="00D77B2E" w14:paraId="53CE4E97" w14:textId="77777777" w:rsidTr="00D77B2E">
        <w:trPr>
          <w:trHeight w:val="498"/>
          <w:tblHeader/>
          <w:tblCellSpacing w:w="15" w:type="dxa"/>
        </w:trPr>
        <w:tc>
          <w:tcPr>
            <w:tcW w:w="0" w:type="auto"/>
            <w:vAlign w:val="center"/>
            <w:hideMark/>
          </w:tcPr>
          <w:p w14:paraId="0315555C" w14:textId="77777777" w:rsidR="00D77B2E" w:rsidRPr="00D77B2E" w:rsidRDefault="00D77B2E" w:rsidP="00D77B2E">
            <w:p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Metric</w:t>
            </w:r>
          </w:p>
        </w:tc>
        <w:tc>
          <w:tcPr>
            <w:tcW w:w="0" w:type="auto"/>
            <w:vAlign w:val="center"/>
            <w:hideMark/>
          </w:tcPr>
          <w:p w14:paraId="647859D9" w14:textId="77777777" w:rsidR="00D77B2E" w:rsidRPr="00D77B2E" w:rsidRDefault="00D77B2E" w:rsidP="00D77B2E">
            <w:p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Greenfield</w:t>
            </w:r>
          </w:p>
        </w:tc>
        <w:tc>
          <w:tcPr>
            <w:tcW w:w="0" w:type="auto"/>
            <w:vAlign w:val="center"/>
            <w:hideMark/>
          </w:tcPr>
          <w:p w14:paraId="781BD936" w14:textId="77777777" w:rsidR="00D77B2E" w:rsidRPr="00D77B2E" w:rsidRDefault="00D77B2E" w:rsidP="00D77B2E">
            <w:p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Industry Average</w:t>
            </w:r>
          </w:p>
        </w:tc>
        <w:tc>
          <w:tcPr>
            <w:tcW w:w="0" w:type="auto"/>
            <w:vAlign w:val="center"/>
            <w:hideMark/>
          </w:tcPr>
          <w:p w14:paraId="5F68D55E" w14:textId="77777777" w:rsidR="00D77B2E" w:rsidRPr="00D77B2E" w:rsidRDefault="00D77B2E" w:rsidP="00D77B2E">
            <w:p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Gap</w:t>
            </w:r>
          </w:p>
        </w:tc>
      </w:tr>
      <w:tr w:rsidR="00D77B2E" w:rsidRPr="00D77B2E" w14:paraId="33045E39" w14:textId="77777777" w:rsidTr="00D77B2E">
        <w:trPr>
          <w:trHeight w:val="486"/>
          <w:tblCellSpacing w:w="15" w:type="dxa"/>
        </w:trPr>
        <w:tc>
          <w:tcPr>
            <w:tcW w:w="0" w:type="auto"/>
            <w:vAlign w:val="center"/>
            <w:hideMark/>
          </w:tcPr>
          <w:p w14:paraId="2CA9CFB9" w14:textId="77777777" w:rsidR="00D77B2E" w:rsidRPr="00D77B2E" w:rsidRDefault="00D77B2E" w:rsidP="00D77B2E">
            <w:p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Current Ratio</w:t>
            </w:r>
          </w:p>
        </w:tc>
        <w:tc>
          <w:tcPr>
            <w:tcW w:w="0" w:type="auto"/>
            <w:vAlign w:val="center"/>
            <w:hideMark/>
          </w:tcPr>
          <w:p w14:paraId="0992B005" w14:textId="77777777" w:rsidR="00D77B2E" w:rsidRPr="00D77B2E" w:rsidRDefault="00D77B2E" w:rsidP="00D77B2E">
            <w:p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1.25</w:t>
            </w:r>
          </w:p>
        </w:tc>
        <w:tc>
          <w:tcPr>
            <w:tcW w:w="0" w:type="auto"/>
            <w:vAlign w:val="center"/>
            <w:hideMark/>
          </w:tcPr>
          <w:p w14:paraId="5B77720D" w14:textId="77777777" w:rsidR="00D77B2E" w:rsidRPr="00D77B2E" w:rsidRDefault="00D77B2E" w:rsidP="00D77B2E">
            <w:p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1.5</w:t>
            </w:r>
          </w:p>
        </w:tc>
        <w:tc>
          <w:tcPr>
            <w:tcW w:w="0" w:type="auto"/>
            <w:vAlign w:val="center"/>
            <w:hideMark/>
          </w:tcPr>
          <w:p w14:paraId="105F4C72" w14:textId="77777777" w:rsidR="00D77B2E" w:rsidRPr="00D77B2E" w:rsidRDefault="00D77B2E" w:rsidP="00D77B2E">
            <w:p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-0.25</w:t>
            </w:r>
          </w:p>
        </w:tc>
      </w:tr>
      <w:tr w:rsidR="00D77B2E" w:rsidRPr="00D77B2E" w14:paraId="1DEF8990" w14:textId="77777777" w:rsidTr="00D77B2E">
        <w:trPr>
          <w:trHeight w:val="498"/>
          <w:tblCellSpacing w:w="15" w:type="dxa"/>
        </w:trPr>
        <w:tc>
          <w:tcPr>
            <w:tcW w:w="0" w:type="auto"/>
            <w:vAlign w:val="center"/>
            <w:hideMark/>
          </w:tcPr>
          <w:p w14:paraId="499F7C02" w14:textId="77777777" w:rsidR="00D77B2E" w:rsidRPr="00D77B2E" w:rsidRDefault="00D77B2E" w:rsidP="00D77B2E">
            <w:p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Debt-to-Equity Ratio</w:t>
            </w:r>
          </w:p>
        </w:tc>
        <w:tc>
          <w:tcPr>
            <w:tcW w:w="0" w:type="auto"/>
            <w:vAlign w:val="center"/>
            <w:hideMark/>
          </w:tcPr>
          <w:p w14:paraId="066547A0" w14:textId="77777777" w:rsidR="00D77B2E" w:rsidRPr="00D77B2E" w:rsidRDefault="00D77B2E" w:rsidP="00D77B2E">
            <w:p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1.0</w:t>
            </w:r>
          </w:p>
        </w:tc>
        <w:tc>
          <w:tcPr>
            <w:tcW w:w="0" w:type="auto"/>
            <w:vAlign w:val="center"/>
            <w:hideMark/>
          </w:tcPr>
          <w:p w14:paraId="76797201" w14:textId="77777777" w:rsidR="00D77B2E" w:rsidRPr="00D77B2E" w:rsidRDefault="00D77B2E" w:rsidP="00D77B2E">
            <w:p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0.8</w:t>
            </w:r>
          </w:p>
        </w:tc>
        <w:tc>
          <w:tcPr>
            <w:tcW w:w="0" w:type="auto"/>
            <w:vAlign w:val="center"/>
            <w:hideMark/>
          </w:tcPr>
          <w:p w14:paraId="2C178900" w14:textId="77777777" w:rsidR="00D77B2E" w:rsidRPr="00D77B2E" w:rsidRDefault="00D77B2E" w:rsidP="00D77B2E">
            <w:p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+0.2</w:t>
            </w:r>
          </w:p>
        </w:tc>
      </w:tr>
      <w:tr w:rsidR="00D77B2E" w:rsidRPr="00D77B2E" w14:paraId="4887ACB1" w14:textId="77777777" w:rsidTr="00D77B2E">
        <w:trPr>
          <w:trHeight w:val="562"/>
          <w:tblCellSpacing w:w="15" w:type="dxa"/>
        </w:trPr>
        <w:tc>
          <w:tcPr>
            <w:tcW w:w="0" w:type="auto"/>
            <w:vAlign w:val="center"/>
            <w:hideMark/>
          </w:tcPr>
          <w:p w14:paraId="097D1482" w14:textId="77777777" w:rsidR="00D77B2E" w:rsidRPr="00D77B2E" w:rsidRDefault="00D77B2E" w:rsidP="00D77B2E">
            <w:p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Net Profit Margin</w:t>
            </w:r>
          </w:p>
        </w:tc>
        <w:tc>
          <w:tcPr>
            <w:tcW w:w="0" w:type="auto"/>
            <w:vAlign w:val="center"/>
            <w:hideMark/>
          </w:tcPr>
          <w:p w14:paraId="1E8885BD" w14:textId="77777777" w:rsidR="00D77B2E" w:rsidRPr="00D77B2E" w:rsidRDefault="00D77B2E" w:rsidP="00D77B2E">
            <w:p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14%</w:t>
            </w:r>
          </w:p>
        </w:tc>
        <w:tc>
          <w:tcPr>
            <w:tcW w:w="0" w:type="auto"/>
            <w:vAlign w:val="center"/>
            <w:hideMark/>
          </w:tcPr>
          <w:p w14:paraId="767F5436" w14:textId="77777777" w:rsidR="00D77B2E" w:rsidRPr="00D77B2E" w:rsidRDefault="00D77B2E" w:rsidP="00D77B2E">
            <w:p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12%</w:t>
            </w:r>
          </w:p>
        </w:tc>
        <w:tc>
          <w:tcPr>
            <w:tcW w:w="0" w:type="auto"/>
            <w:vAlign w:val="center"/>
            <w:hideMark/>
          </w:tcPr>
          <w:p w14:paraId="0DCE906F" w14:textId="77777777" w:rsidR="00D77B2E" w:rsidRPr="00D77B2E" w:rsidRDefault="00D77B2E" w:rsidP="00D77B2E">
            <w:p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+2%</w:t>
            </w:r>
          </w:p>
        </w:tc>
      </w:tr>
    </w:tbl>
    <w:p w14:paraId="4AD8E401" w14:textId="77777777" w:rsidR="00D77B2E" w:rsidRDefault="00D77B2E" w:rsidP="00D77B2E">
      <w:pPr>
        <w:jc w:val="both"/>
        <w:rPr>
          <w:rFonts w:asciiTheme="majorHAnsi" w:eastAsiaTheme="majorEastAsia" w:hAnsiTheme="majorHAnsi" w:cstheme="majorHAnsi"/>
          <w:spacing w:val="5"/>
          <w:kern w:val="28"/>
          <w:sz w:val="24"/>
          <w:szCs w:val="24"/>
          <w:lang w:val="en-IN"/>
        </w:rPr>
      </w:pPr>
    </w:p>
    <w:p w14:paraId="17F8EF40" w14:textId="2EDF62AA" w:rsidR="00D77B2E" w:rsidRPr="00D77B2E" w:rsidRDefault="00D77B2E" w:rsidP="00D77B2E">
      <w:p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Greenfield’s profitability exceeds industry norms, but its liquidity and leverage metrics suggest areas for improvement to align with best practices.</w:t>
      </w:r>
    </w:p>
    <w:p w14:paraId="43FF21C6" w14:textId="77777777" w:rsidR="00D77B2E" w:rsidRPr="00D77B2E" w:rsidRDefault="00D77B2E" w:rsidP="00D77B2E">
      <w:pPr>
        <w:jc w:val="both"/>
        <w:rPr>
          <w:rFonts w:asciiTheme="majorHAnsi" w:eastAsiaTheme="majorEastAsia" w:hAnsiTheme="majorHAnsi" w:cstheme="majorHAnsi"/>
          <w:b/>
          <w:bCs/>
          <w:spacing w:val="5"/>
          <w:kern w:val="28"/>
          <w:sz w:val="24"/>
          <w:szCs w:val="24"/>
          <w:lang w:val="en-IN"/>
        </w:rPr>
      </w:pPr>
      <w:r w:rsidRPr="00D77B2E">
        <w:rPr>
          <w:rFonts w:asciiTheme="majorHAnsi" w:eastAsiaTheme="majorEastAsia" w:hAnsiTheme="majorHAnsi" w:cstheme="majorHAnsi"/>
          <w:b/>
          <w:bCs/>
          <w:spacing w:val="5"/>
          <w:kern w:val="28"/>
          <w:sz w:val="24"/>
          <w:szCs w:val="24"/>
          <w:lang w:val="en-IN"/>
        </w:rPr>
        <w:t>Future Outlook</w:t>
      </w:r>
    </w:p>
    <w:p w14:paraId="24B58C03" w14:textId="16EBB1DD" w:rsidR="00D77B2E" w:rsidRPr="00D77B2E" w:rsidRDefault="00D77B2E" w:rsidP="00D77B2E">
      <w:p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 xml:space="preserve">The industry is expected to continue expanding, supported by advancements in sustainable materials and </w:t>
      </w:r>
      <w:proofErr w:type="spellStart"/>
      <w:r w:rsidRPr="00D77B2E">
        <w:rPr>
          <w:rFonts w:asciiTheme="majorHAnsi" w:eastAsiaTheme="majorEastAsia" w:hAnsiTheme="majorHAnsi" w:cstheme="majorHAnsi"/>
          <w:spacing w:val="5"/>
          <w:kern w:val="28"/>
          <w:sz w:val="24"/>
          <w:szCs w:val="24"/>
          <w:lang w:val="en-IN"/>
        </w:rPr>
        <w:t>favorable</w:t>
      </w:r>
      <w:proofErr w:type="spellEnd"/>
      <w:r w:rsidRPr="00D77B2E">
        <w:rPr>
          <w:rFonts w:asciiTheme="majorHAnsi" w:eastAsiaTheme="majorEastAsia" w:hAnsiTheme="majorHAnsi" w:cstheme="majorHAnsi"/>
          <w:spacing w:val="5"/>
          <w:kern w:val="28"/>
          <w:sz w:val="24"/>
          <w:szCs w:val="24"/>
          <w:lang w:val="en-IN"/>
        </w:rPr>
        <w:t xml:space="preserve"> regulatory frameworks. Greenfield should focus on improving liquidity and making strategic investments to capitalize on this growth while maintaining financial stability.</w:t>
      </w:r>
    </w:p>
    <w:p w14:paraId="63C90B2E" w14:textId="77777777" w:rsidR="00D77B2E" w:rsidRPr="00D77B2E" w:rsidRDefault="00D77B2E" w:rsidP="00D77B2E">
      <w:pPr>
        <w:jc w:val="both"/>
        <w:rPr>
          <w:rFonts w:asciiTheme="majorHAnsi" w:eastAsiaTheme="majorEastAsia" w:hAnsiTheme="majorHAnsi" w:cstheme="majorHAnsi"/>
          <w:b/>
          <w:bCs/>
          <w:spacing w:val="5"/>
          <w:kern w:val="28"/>
          <w:sz w:val="24"/>
          <w:szCs w:val="24"/>
          <w:lang w:val="en-IN"/>
        </w:rPr>
      </w:pPr>
      <w:r w:rsidRPr="00D77B2E">
        <w:rPr>
          <w:rFonts w:asciiTheme="majorHAnsi" w:eastAsiaTheme="majorEastAsia" w:hAnsiTheme="majorHAnsi" w:cstheme="majorHAnsi"/>
          <w:b/>
          <w:bCs/>
          <w:spacing w:val="5"/>
          <w:kern w:val="28"/>
          <w:sz w:val="24"/>
          <w:szCs w:val="24"/>
          <w:lang w:val="en-IN"/>
        </w:rPr>
        <w:t>Recommendations</w:t>
      </w:r>
    </w:p>
    <w:p w14:paraId="32BED77A" w14:textId="77777777" w:rsidR="00D77B2E" w:rsidRPr="00D77B2E" w:rsidRDefault="00D77B2E" w:rsidP="00D77B2E">
      <w:pPr>
        <w:numPr>
          <w:ilvl w:val="0"/>
          <w:numId w:val="17"/>
        </w:num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Improve Liquidity</w:t>
      </w:r>
    </w:p>
    <w:p w14:paraId="5E5D2F25" w14:textId="77777777" w:rsidR="00D77B2E" w:rsidRPr="00D77B2E" w:rsidRDefault="00D77B2E" w:rsidP="00D77B2E">
      <w:pPr>
        <w:numPr>
          <w:ilvl w:val="1"/>
          <w:numId w:val="17"/>
        </w:num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Secure short-term financing through credit lines or loans.</w:t>
      </w:r>
    </w:p>
    <w:p w14:paraId="37E697C0" w14:textId="77777777" w:rsidR="00D77B2E" w:rsidRPr="00D77B2E" w:rsidRDefault="00D77B2E" w:rsidP="00D77B2E">
      <w:pPr>
        <w:numPr>
          <w:ilvl w:val="1"/>
          <w:numId w:val="17"/>
        </w:num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Optimize working capital by accelerating receivables and managing inventory efficiently.</w:t>
      </w:r>
    </w:p>
    <w:p w14:paraId="24587D83" w14:textId="77777777" w:rsidR="00D77B2E" w:rsidRPr="00D77B2E" w:rsidRDefault="00D77B2E" w:rsidP="00D77B2E">
      <w:pPr>
        <w:numPr>
          <w:ilvl w:val="0"/>
          <w:numId w:val="17"/>
        </w:num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Manage Debt Levels</w:t>
      </w:r>
    </w:p>
    <w:p w14:paraId="71D3DF7B" w14:textId="77777777" w:rsidR="00D77B2E" w:rsidRPr="00D77B2E" w:rsidRDefault="00D77B2E" w:rsidP="00D77B2E">
      <w:pPr>
        <w:numPr>
          <w:ilvl w:val="1"/>
          <w:numId w:val="17"/>
        </w:num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Avoid over-leveraging by monitoring debt obligations.</w:t>
      </w:r>
    </w:p>
    <w:p w14:paraId="68316A2B" w14:textId="77777777" w:rsidR="00D77B2E" w:rsidRPr="00D77B2E" w:rsidRDefault="00D77B2E" w:rsidP="00D77B2E">
      <w:pPr>
        <w:numPr>
          <w:ilvl w:val="1"/>
          <w:numId w:val="17"/>
        </w:num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Explore refinancing options or equity funding to reduce financial risk.</w:t>
      </w:r>
    </w:p>
    <w:p w14:paraId="4AC2D075" w14:textId="77777777" w:rsidR="00D77B2E" w:rsidRPr="00D77B2E" w:rsidRDefault="00D77B2E" w:rsidP="00D77B2E">
      <w:pPr>
        <w:numPr>
          <w:ilvl w:val="0"/>
          <w:numId w:val="17"/>
        </w:num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lastRenderedPageBreak/>
        <w:t>Strategic Investments</w:t>
      </w:r>
    </w:p>
    <w:p w14:paraId="2EC3F45E" w14:textId="77777777" w:rsidR="00D77B2E" w:rsidRPr="00D77B2E" w:rsidRDefault="00D77B2E" w:rsidP="00D77B2E">
      <w:pPr>
        <w:numPr>
          <w:ilvl w:val="1"/>
          <w:numId w:val="17"/>
        </w:num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Continue investing in sustainable technologies and production capacity.</w:t>
      </w:r>
    </w:p>
    <w:p w14:paraId="60ADF704" w14:textId="05C32F01" w:rsidR="00D77B2E" w:rsidRPr="00D77B2E" w:rsidRDefault="00D77B2E" w:rsidP="00D77B2E">
      <w:pPr>
        <w:numPr>
          <w:ilvl w:val="1"/>
          <w:numId w:val="17"/>
        </w:num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Balance growth initiatives with cash flow management to maintain operational flexibility.</w:t>
      </w:r>
    </w:p>
    <w:p w14:paraId="0CEA2CCC" w14:textId="77777777" w:rsidR="00D77B2E" w:rsidRPr="00D77B2E" w:rsidRDefault="00D77B2E" w:rsidP="00D77B2E">
      <w:pPr>
        <w:jc w:val="both"/>
        <w:rPr>
          <w:rFonts w:asciiTheme="majorHAnsi" w:eastAsiaTheme="majorEastAsia" w:hAnsiTheme="majorHAnsi" w:cstheme="majorHAnsi"/>
          <w:b/>
          <w:bCs/>
          <w:spacing w:val="5"/>
          <w:kern w:val="28"/>
          <w:sz w:val="24"/>
          <w:szCs w:val="24"/>
          <w:lang w:val="en-IN"/>
        </w:rPr>
      </w:pPr>
      <w:r w:rsidRPr="00D77B2E">
        <w:rPr>
          <w:rFonts w:asciiTheme="majorHAnsi" w:eastAsiaTheme="majorEastAsia" w:hAnsiTheme="majorHAnsi" w:cstheme="majorHAnsi"/>
          <w:b/>
          <w:bCs/>
          <w:spacing w:val="5"/>
          <w:kern w:val="28"/>
          <w:sz w:val="24"/>
          <w:szCs w:val="24"/>
          <w:lang w:val="en-IN"/>
        </w:rPr>
        <w:t>Conclusion</w:t>
      </w:r>
    </w:p>
    <w:p w14:paraId="0EC54782" w14:textId="77777777" w:rsidR="00D77B2E" w:rsidRPr="00D77B2E" w:rsidRDefault="00D77B2E" w:rsidP="00D77B2E">
      <w:pPr>
        <w:jc w:val="both"/>
        <w:rPr>
          <w:rFonts w:asciiTheme="majorHAnsi" w:eastAsiaTheme="majorEastAsia" w:hAnsiTheme="majorHAnsi" w:cstheme="majorHAnsi"/>
          <w:spacing w:val="5"/>
          <w:kern w:val="28"/>
          <w:sz w:val="24"/>
          <w:szCs w:val="24"/>
          <w:lang w:val="en-IN"/>
        </w:rPr>
      </w:pPr>
      <w:r w:rsidRPr="00D77B2E">
        <w:rPr>
          <w:rFonts w:asciiTheme="majorHAnsi" w:eastAsiaTheme="majorEastAsia" w:hAnsiTheme="majorHAnsi" w:cstheme="majorHAnsi"/>
          <w:spacing w:val="5"/>
          <w:kern w:val="28"/>
          <w:sz w:val="24"/>
          <w:szCs w:val="24"/>
          <w:lang w:val="en-IN"/>
        </w:rPr>
        <w:t>Greenfield Manufacturing Ltd. is financially sound and well-positioned within a high-growth industry. By addressing liquidity challenges and managing financial leverage, the company can enhance its financial health and support long-term expansion. Strategic alignment with industry trends will be key to sustaining competitive advantage.</w:t>
      </w:r>
    </w:p>
    <w:p w14:paraId="14BC4F9F" w14:textId="7415EF97" w:rsidR="0028737E" w:rsidRPr="00D77B2E" w:rsidRDefault="0028737E" w:rsidP="00D77B2E">
      <w:pPr>
        <w:jc w:val="both"/>
        <w:rPr>
          <w:rFonts w:asciiTheme="majorHAnsi" w:hAnsiTheme="majorHAnsi" w:cstheme="majorHAnsi"/>
          <w:sz w:val="24"/>
          <w:szCs w:val="24"/>
        </w:rPr>
      </w:pPr>
    </w:p>
    <w:sectPr w:rsidR="0028737E" w:rsidRPr="00D77B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A40C09"/>
    <w:multiLevelType w:val="multilevel"/>
    <w:tmpl w:val="D406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0058E"/>
    <w:multiLevelType w:val="multilevel"/>
    <w:tmpl w:val="825EA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746D8"/>
    <w:multiLevelType w:val="multilevel"/>
    <w:tmpl w:val="33A8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EC3FC4"/>
    <w:multiLevelType w:val="multilevel"/>
    <w:tmpl w:val="17C6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C161B"/>
    <w:multiLevelType w:val="multilevel"/>
    <w:tmpl w:val="9848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A17EA"/>
    <w:multiLevelType w:val="multilevel"/>
    <w:tmpl w:val="1EE81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A16C2B"/>
    <w:multiLevelType w:val="multilevel"/>
    <w:tmpl w:val="F598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703B3E"/>
    <w:multiLevelType w:val="multilevel"/>
    <w:tmpl w:val="0D22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596594">
    <w:abstractNumId w:val="8"/>
  </w:num>
  <w:num w:numId="2" w16cid:durableId="1255895409">
    <w:abstractNumId w:val="6"/>
  </w:num>
  <w:num w:numId="3" w16cid:durableId="176890932">
    <w:abstractNumId w:val="5"/>
  </w:num>
  <w:num w:numId="4" w16cid:durableId="655260117">
    <w:abstractNumId w:val="4"/>
  </w:num>
  <w:num w:numId="5" w16cid:durableId="359937734">
    <w:abstractNumId w:val="7"/>
  </w:num>
  <w:num w:numId="6" w16cid:durableId="1758671000">
    <w:abstractNumId w:val="3"/>
  </w:num>
  <w:num w:numId="7" w16cid:durableId="1459060432">
    <w:abstractNumId w:val="2"/>
  </w:num>
  <w:num w:numId="8" w16cid:durableId="1802189432">
    <w:abstractNumId w:val="1"/>
  </w:num>
  <w:num w:numId="9" w16cid:durableId="1532912725">
    <w:abstractNumId w:val="0"/>
  </w:num>
  <w:num w:numId="10" w16cid:durableId="1819223200">
    <w:abstractNumId w:val="16"/>
  </w:num>
  <w:num w:numId="11" w16cid:durableId="2108957723">
    <w:abstractNumId w:val="13"/>
  </w:num>
  <w:num w:numId="12" w16cid:durableId="841967791">
    <w:abstractNumId w:val="15"/>
  </w:num>
  <w:num w:numId="13" w16cid:durableId="226381362">
    <w:abstractNumId w:val="14"/>
  </w:num>
  <w:num w:numId="14" w16cid:durableId="872764772">
    <w:abstractNumId w:val="12"/>
  </w:num>
  <w:num w:numId="15" w16cid:durableId="1231381707">
    <w:abstractNumId w:val="11"/>
  </w:num>
  <w:num w:numId="16" w16cid:durableId="919869760">
    <w:abstractNumId w:val="9"/>
  </w:num>
  <w:num w:numId="17" w16cid:durableId="3272488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4F8D"/>
    <w:rsid w:val="0028737E"/>
    <w:rsid w:val="0029639D"/>
    <w:rsid w:val="002F15B2"/>
    <w:rsid w:val="00326F90"/>
    <w:rsid w:val="00AA1D8D"/>
    <w:rsid w:val="00B47730"/>
    <w:rsid w:val="00C2040F"/>
    <w:rsid w:val="00CB0664"/>
    <w:rsid w:val="00CC03C0"/>
    <w:rsid w:val="00D77B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A58FBA"/>
  <w14:defaultImageDpi w14:val="300"/>
  <w15:docId w15:val="{21E0A8EF-9BBA-4CC9-8D8B-AB033A2DF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Kodati Akshitha</cp:lastModifiedBy>
  <cp:revision>3</cp:revision>
  <dcterms:created xsi:type="dcterms:W3CDTF">2013-12-23T23:15:00Z</dcterms:created>
  <dcterms:modified xsi:type="dcterms:W3CDTF">2025-10-19T12:15:00Z</dcterms:modified>
  <cp:category/>
</cp:coreProperties>
</file>