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VOLTRELAY ENERGY</w:t>
      </w:r>
    </w:p>
    <w:p>
      <w:pPr>
        <w:jc w:val="center"/>
      </w:pPr>
      <w:r>
        <w:rPr>
          <w:b/>
          <w:sz w:val="48"/>
        </w:rPr>
        <w:t>Data Analytics Hackathon — Final Analysis Report</w:t>
      </w:r>
    </w:p>
    <w:p>
      <w:pPr>
        <w:jc w:val="center"/>
      </w:pPr>
      <w:r>
        <w:rPr>
          <w:i/>
        </w:rPr>
        <w:t>Network Performance • Service Quality • Battery Health • Pricing Economics • Rider Retention</w:t>
      </w:r>
    </w:p>
    <w:p>
      <w:pPr>
        <w:jc w:val="center"/>
      </w:pPr>
      <w:r>
        <w:rPr>
          <w:b/>
        </w:rPr>
        <w:t>Analysis period: January 2024 – June 2025</w:t>
        <w:br/>
      </w:r>
      <w:r>
        <w:t>Prepared from the VoltRelay synthetic hackathon dataset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VoltRelay's dataset contains 3,877,013 swap attempts across six Indian cities, supported by station, battery, rider, support, context and fleet-partner data. The analysis identifies meaningful concentration of service losses in specific cities, evening hours and station-hours, alongside a pronounced battery-lot pattern and distinct pricing economics.</w:t>
      </w:r>
    </w:p>
    <w:p>
      <w:pPr>
        <w:pStyle w:val="ListBullet"/>
      </w:pPr>
      <w:r>
        <w:t>3,877,013 total swap attempts were processed; 3,645,809 were completed and 231,204 were unsuccessful, giving an overall unsuccessful-attempt rate of 5.96%.</w:t>
      </w:r>
    </w:p>
    <w:p>
      <w:pPr>
        <w:pStyle w:val="ListBullet"/>
      </w:pPr>
      <w:r>
        <w:t>19:00–22:00 combines high transaction volume with elevated unsuccessful-attempt rates of 6.56%–6.65%; 21:00 is highest at 6.65%.</w:t>
      </w:r>
    </w:p>
    <w:p>
      <w:pPr>
        <w:pStyle w:val="ListBullet"/>
      </w:pPr>
      <w:r>
        <w:t>Jaipur and Delhi NCR show the highest city-level unsuccessful-attempt rates at 7.85% and 7.35%, versus 4.55% in Bengaluru and 4.45% in Mumbai.</w:t>
      </w:r>
    </w:p>
    <w:p>
      <w:pPr>
        <w:pStyle w:val="ListBullet"/>
      </w:pPr>
      <w:r>
        <w:t>Gen1 stations recorded a 7.23% unsuccessful-attempt rate versus 4.85% for Gen2 and 4.84% for Gen3.</w:t>
      </w:r>
    </w:p>
    <w:p>
      <w:pPr>
        <w:pStyle w:val="ListBullet"/>
      </w:pPr>
      <w:r>
        <w:t>Several station-hour hotspots exceed 11% unsuccessful attempts, showing that network averages hide localized operational problems.</w:t>
      </w:r>
    </w:p>
    <w:p>
      <w:pPr>
        <w:pStyle w:val="ListBullet"/>
      </w:pPr>
      <w:r>
        <w:t>Kyron lots KY-2407, KY-2408 and KY-2409 have average current SOH around 61% and recorded retirement rates above 97%.</w:t>
      </w:r>
    </w:p>
    <w:p>
      <w:pPr>
        <w:pStyle w:val="ListBullet"/>
      </w:pPr>
      <w:r>
        <w:t>Peak transactions have the highest estimated contribution per completed swap at ₹65.22 when only energy cost is deducted; partner transactions have the largest completed-swap volume.</w:t>
      </w:r>
    </w:p>
    <w:p>
      <w:pPr>
        <w:pStyle w:val="ListBullet"/>
      </w:pPr>
      <w:r>
        <w:t>19,845 of 19,948 riders (99.48%) completed more than one successful swap within the observation period. Non-returning riders had a median first-swap wait of 249 seconds versus 210 seconds for returning riders.</w:t>
      </w:r>
    </w:p>
    <w:p>
      <w:pPr>
        <w:pStyle w:val="Heading1"/>
      </w:pPr>
      <w:r>
        <w:t>2. Business Problem &amp; Objectives</w:t>
      </w:r>
    </w:p>
    <w:p>
      <w:r>
        <w:t>VoltRelay operates a battery-swapping network for electric two- and three-wheelers across Bengaluru, Delhi NCR, Hyderabad, Pune, Mumbai and Jaipur. The hackathon asks analysts to connect operational performance, service failures, station/geographic variation, battery/equipment performance, pricing and partner economics, and rider retention.</w:t>
      </w:r>
    </w:p>
    <w:p>
      <w:r>
        <w:t>The analysis focuses on measurable patterns and business associations rather than causal claims. The source problem statement explicitly notes that this is observational data and that a single causal explanation is not expected.</w:t>
      </w:r>
    </w:p>
    <w:p>
      <w:pPr>
        <w:pStyle w:val="Heading1"/>
      </w:pPr>
      <w:r>
        <w:t>3. Data &amp; Analytical Approach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7"/>
              </w:rPr>
              <w:t>Dataset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7"/>
              </w:rPr>
              <w:t>Rows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7"/>
              </w:rPr>
              <w:t>Use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swap_events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3,877,013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Swap attempts, outcomes, timing, queue wait, pricing, batteries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station_hourly_status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1,487,712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Hourly station telemetry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riders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20,000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Rider profiles and affiliation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batteries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6,500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Supplier, lot, SOH and lifecycle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support_tickets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44,000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Customer complaints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stations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152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City, location, charger generation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city_daily_context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3,282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Weather/calendar/outage context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fleet_partners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B2B contract terms</w:t>
            </w:r>
          </w:p>
        </w:tc>
      </w:tr>
    </w:tbl>
    <w:p>
      <w:r>
        <w:t>Processing included missingness and duplicate checks, city standardization, datetime conversion and chunked processing of the 3.88M-row swap table. Known source-data caveats include missing fields on unsuccessful attempts, incomplete telemetry, a firmware v3.2.0 timestamp issue from 10 March–14 April 2025, inconsistent rider-city spellings, near-duplicates, implausible distance/charge readings and non-random CSAT missingness.</w:t>
      </w:r>
    </w:p>
    <w:p>
      <w:pPr>
        <w:pStyle w:val="Heading1"/>
      </w:pPr>
      <w:r>
        <w:t>4. Network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7"/>
              </w:rPr>
              <w:t>KPI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Total attempts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3,877,013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Completed swaps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3,645,809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Unsuccessful attempts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231,204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Unsuccessful rate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5.96%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Failed attempts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145,959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Cancelled by rider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16,712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Abandoned queue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68,533</w:t>
            </w:r>
          </w:p>
        </w:tc>
      </w:tr>
    </w:tbl>
    <w:p>
      <w:r>
        <w:t>Among unsuccessful attempts, failed_no_charged_battery is the largest recorded category (134,389), followed by abandoned queues (68,533), rider cancellations (16,712) and system errors (11,570).</w:t>
      </w:r>
    </w:p>
    <w:p>
      <w:pPr>
        <w:pStyle w:val="Heading2"/>
      </w:pPr>
      <w:r>
        <w:t>4.1 Hourly pressure 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7"/>
              </w:rPr>
              <w:t>Hour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7"/>
              </w:rPr>
              <w:t>Attempts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7"/>
              </w:rPr>
              <w:t>Unsuccessful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7"/>
              </w:rPr>
              <w:t>Rate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19:00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447,731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29,372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6.56%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20:00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446,270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29,460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6.60%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21:00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354,692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23,573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6.65%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22:00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180,944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11,902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6.58%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12:00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362,706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19,480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5.37%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13:00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376,310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20,254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5.38%</w:t>
            </w:r>
          </w:p>
        </w:tc>
      </w:tr>
    </w:tbl>
    <w:p>
      <w:r>
        <w:t>The evening window is both high-volume and higher-loss. Hourly interpretation around 10 March–14 April 2025 should be treated cautiously because the source documents a firmware v3.2.0 timestamp bug.</w:t>
      </w:r>
    </w:p>
    <w:p>
      <w:pPr>
        <w:pStyle w:val="Heading1"/>
      </w:pPr>
      <w:r>
        <w:t>5. Service Failures &amp; Station Concentration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7365D"/>
          </w:tcPr>
          <w:p>
            <w:r>
              <w:rPr>
                <w:b/>
                <w:color w:val="FFFFFF"/>
                <w:sz w:val="17"/>
              </w:rPr>
              <w:t>City</w:t>
            </w:r>
          </w:p>
        </w:tc>
        <w:tc>
          <w:tcPr>
            <w:tcW w:type="dxa" w:w="2045"/>
            <w:shd w:fill="17365D"/>
          </w:tcPr>
          <w:p>
            <w:r>
              <w:rPr>
                <w:b/>
                <w:color w:val="FFFFFF"/>
                <w:sz w:val="17"/>
              </w:rPr>
              <w:t>Attempts</w:t>
            </w:r>
          </w:p>
        </w:tc>
        <w:tc>
          <w:tcPr>
            <w:tcW w:type="dxa" w:w="2045"/>
            <w:shd w:fill="17365D"/>
          </w:tcPr>
          <w:p>
            <w:r>
              <w:rPr>
                <w:b/>
                <w:color w:val="FFFFFF"/>
                <w:sz w:val="17"/>
              </w:rPr>
              <w:t>Completed</w:t>
            </w:r>
          </w:p>
        </w:tc>
        <w:tc>
          <w:tcPr>
            <w:tcW w:type="dxa" w:w="2045"/>
            <w:shd w:fill="17365D"/>
          </w:tcPr>
          <w:p>
            <w:r>
              <w:rPr>
                <w:b/>
                <w:color w:val="FFFFFF"/>
                <w:sz w:val="17"/>
              </w:rPr>
              <w:t>Unsuccessful</w:t>
            </w:r>
          </w:p>
        </w:tc>
        <w:tc>
          <w:tcPr>
            <w:tcW w:type="dxa" w:w="2045"/>
            <w:shd w:fill="17365D"/>
          </w:tcPr>
          <w:p>
            <w:r>
              <w:rPr>
                <w:b/>
                <w:color w:val="FFFFFF"/>
                <w:sz w:val="17"/>
              </w:rPr>
              <w:t>Rate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7"/>
              </w:rPr>
              <w:t>Jaipur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487,634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449,366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38,268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7.85%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7"/>
              </w:rPr>
              <w:t>Delhi NCR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768,913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712,385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56,528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7.35%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7"/>
              </w:rPr>
              <w:t>Hyderabad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711,930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664,312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47,618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6.69%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7"/>
              </w:rPr>
              <w:t>Pune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552,910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525,331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27,579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4.99%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7"/>
              </w:rPr>
              <w:t>Bengaluru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763,296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728,563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34,733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4.55%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7"/>
              </w:rPr>
              <w:t>Mumbai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530,299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506,718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23,581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4.45%</w:t>
            </w:r>
          </w:p>
        </w:tc>
      </w:tr>
    </w:tbl>
    <w:p>
      <w:r>
        <w:t>City performance varies materially, supporting geographically targeted diagnostics rather than relying only on a network-wide average.</w:t>
      </w:r>
    </w:p>
    <w:p>
      <w:pPr>
        <w:pStyle w:val="Heading2"/>
      </w:pPr>
      <w:r>
        <w:t>5.1 Station-hour hotspots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7"/>
              </w:rPr>
              <w:t>Station-hour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7"/>
              </w:rPr>
              <w:t>Attempts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7"/>
              </w:rPr>
              <w:t>Unsuccessful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7"/>
              </w:rPr>
              <w:t>Rate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STN-DEL-037 21:00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2,933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354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12.07%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STN-DEL-039 22:00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1,583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190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12.00%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STN-DEL-037 20:00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3,706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444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11.98%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STN-JAI-133 22:00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1,129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135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11.96%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STN-JAI-137 22:00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2,124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248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11.68%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STN-JAI-142 21:00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3,069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353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11.50%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STN-DEL-050 20:00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5,872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650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11.07%</w:t>
            </w:r>
          </w:p>
        </w:tc>
      </w:tr>
    </w:tbl>
    <w:p>
      <w:r>
        <w:t>These hotspots are especially actionable because they combine specific locations and operating hours. They warrant review of charged inventory, capacity, replenishment, maintenance and connectivity.</w:t>
      </w:r>
    </w:p>
    <w:p>
      <w:pPr>
        <w:pStyle w:val="Heading2"/>
      </w:pPr>
      <w:r>
        <w:t>5.2 Charger generation &amp; location 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7"/>
              </w:rPr>
              <w:t>Charger generation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7"/>
              </w:rPr>
              <w:t>Stations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7"/>
              </w:rPr>
              <w:t>Attempts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7"/>
              </w:rPr>
              <w:t>Rate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Gen1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51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1,822,034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7.23%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Gen2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62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1,620,707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4.85%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Gen3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372,241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4.84%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7"/>
              </w:rPr>
              <w:t>Location type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7"/>
              </w:rPr>
              <w:t>Stations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7"/>
              </w:rPr>
              <w:t>Attempts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7"/>
              </w:rPr>
              <w:t>Rate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Market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1,246,931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6.24%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Commercial hub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1,535,743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6.18%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Transit hub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172,667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5.97%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Residential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382,274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5.45%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Tech park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147,533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5.21%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Highway fuel pump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329,834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5.11%</w:t>
            </w:r>
          </w:p>
        </w:tc>
      </w:tr>
    </w:tbl>
    <w:p>
      <w:r>
        <w:t>Gen1 has a higher observed unsuccessful-attempt rate than newer generations. This is an association and may reflect station age, city mix, utilization, connectivity or inventory conditions.</w:t>
      </w:r>
    </w:p>
    <w:p>
      <w:pPr>
        <w:pStyle w:val="Heading1"/>
      </w:pPr>
      <w:r>
        <w:t>6. Battery &amp; Equipment Performance</w:t>
      </w:r>
    </w:p>
    <w:p>
      <w:r>
        <w:t>The 6,500-pack battery ledger has average initial SOH of about 99.2% and average current SOH of about 76.6%. The strongest cohort signal is concentrated in three Kyron manufacturing lots.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7365D"/>
          </w:tcPr>
          <w:p>
            <w:r>
              <w:rPr>
                <w:b/>
                <w:color w:val="FFFFFF"/>
                <w:sz w:val="17"/>
              </w:rPr>
              <w:t>Lot</w:t>
            </w:r>
          </w:p>
        </w:tc>
        <w:tc>
          <w:tcPr>
            <w:tcW w:type="dxa" w:w="1704"/>
            <w:shd w:fill="17365D"/>
          </w:tcPr>
          <w:p>
            <w:r>
              <w:rPr>
                <w:b/>
                <w:color w:val="FFFFFF"/>
                <w:sz w:val="17"/>
              </w:rPr>
              <w:t>Supplier</w:t>
            </w:r>
          </w:p>
        </w:tc>
        <w:tc>
          <w:tcPr>
            <w:tcW w:type="dxa" w:w="1704"/>
            <w:shd w:fill="17365D"/>
          </w:tcPr>
          <w:p>
            <w:r>
              <w:rPr>
                <w:b/>
                <w:color w:val="FFFFFF"/>
                <w:sz w:val="17"/>
              </w:rPr>
              <w:t>Batteries</w:t>
            </w:r>
          </w:p>
        </w:tc>
        <w:tc>
          <w:tcPr>
            <w:tcW w:type="dxa" w:w="1704"/>
            <w:shd w:fill="17365D"/>
          </w:tcPr>
          <w:p>
            <w:r>
              <w:rPr>
                <w:b/>
                <w:color w:val="FFFFFF"/>
                <w:sz w:val="17"/>
              </w:rPr>
              <w:t>Avg current SOH</w:t>
            </w:r>
          </w:p>
        </w:tc>
        <w:tc>
          <w:tcPr>
            <w:tcW w:type="dxa" w:w="1704"/>
            <w:shd w:fill="17365D"/>
          </w:tcPr>
          <w:p>
            <w:r>
              <w:rPr>
                <w:b/>
                <w:color w:val="FFFFFF"/>
                <w:sz w:val="17"/>
              </w:rPr>
              <w:t>Avg swap involvement</w:t>
            </w:r>
          </w:p>
        </w:tc>
        <w:tc>
          <w:tcPr>
            <w:tcW w:type="dxa" w:w="1704"/>
            <w:shd w:fill="17365D"/>
          </w:tcPr>
          <w:p>
            <w:r>
              <w:rPr>
                <w:b/>
                <w:color w:val="FFFFFF"/>
                <w:sz w:val="17"/>
              </w:rPr>
              <w:t>Retirement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7"/>
              </w:rPr>
              <w:t>KY-2409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7"/>
              </w:rPr>
              <w:t>Kyron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7"/>
              </w:rPr>
              <w:t>481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7"/>
              </w:rPr>
              <w:t>60.9%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7"/>
              </w:rPr>
              <w:t>941.4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7"/>
              </w:rPr>
              <w:t>98.34%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7"/>
              </w:rPr>
              <w:t>KY-2407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7"/>
              </w:rPr>
              <w:t>Kyron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7"/>
              </w:rPr>
              <w:t>480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7"/>
              </w:rPr>
              <w:t>61.0%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7"/>
              </w:rPr>
              <w:t>940.3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7"/>
              </w:rPr>
              <w:t>99.17%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7"/>
              </w:rPr>
              <w:t>KY-2408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7"/>
              </w:rPr>
              <w:t>Kyron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7"/>
              </w:rPr>
              <w:t>500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7"/>
              </w:rPr>
              <w:t>61.0%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7"/>
              </w:rPr>
              <w:t>939.8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7"/>
              </w:rPr>
              <w:t>97.80%</w:t>
            </w:r>
          </w:p>
        </w:tc>
      </w:tr>
    </w:tbl>
    <w:p>
      <w:r>
        <w:t>Several other high-volume lots shown in the analysis have roughly 80.6–81.0% average current SOH and no recorded retirements. The pattern warrants supplier and manufacturing-batch investigation; it does not establish causation.</w:t>
      </w:r>
    </w:p>
    <w:p>
      <w:pPr>
        <w:pStyle w:val="Heading1"/>
      </w:pPr>
      <w:r>
        <w:t>7. Pricing &amp; Partner Economics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7365D"/>
          </w:tcPr>
          <w:p>
            <w:r>
              <w:rPr>
                <w:b/>
                <w:color w:val="FFFFFF"/>
                <w:sz w:val="17"/>
              </w:rPr>
              <w:t>Tariff</w:t>
            </w:r>
          </w:p>
        </w:tc>
        <w:tc>
          <w:tcPr>
            <w:tcW w:type="dxa" w:w="1704"/>
            <w:shd w:fill="17365D"/>
          </w:tcPr>
          <w:p>
            <w:r>
              <w:rPr>
                <w:b/>
                <w:color w:val="FFFFFF"/>
                <w:sz w:val="17"/>
              </w:rPr>
              <w:t>Completed</w:t>
            </w:r>
          </w:p>
        </w:tc>
        <w:tc>
          <w:tcPr>
            <w:tcW w:type="dxa" w:w="1704"/>
            <w:shd w:fill="17365D"/>
          </w:tcPr>
          <w:p>
            <w:r>
              <w:rPr>
                <w:b/>
                <w:color w:val="FFFFFF"/>
                <w:sz w:val="17"/>
              </w:rPr>
              <w:t>Avg charge</w:t>
            </w:r>
          </w:p>
        </w:tc>
        <w:tc>
          <w:tcPr>
            <w:tcW w:type="dxa" w:w="1704"/>
            <w:shd w:fill="17365D"/>
          </w:tcPr>
          <w:p>
            <w:r>
              <w:rPr>
                <w:b/>
                <w:color w:val="FFFFFF"/>
                <w:sz w:val="17"/>
              </w:rPr>
              <w:t>Discount rate</w:t>
            </w:r>
          </w:p>
        </w:tc>
        <w:tc>
          <w:tcPr>
            <w:tcW w:type="dxa" w:w="1704"/>
            <w:shd w:fill="17365D"/>
          </w:tcPr>
          <w:p>
            <w:r>
              <w:rPr>
                <w:b/>
                <w:color w:val="FFFFFF"/>
                <w:sz w:val="17"/>
              </w:rPr>
              <w:t>Revenue/kWh</w:t>
            </w:r>
          </w:p>
        </w:tc>
        <w:tc>
          <w:tcPr>
            <w:tcW w:type="dxa" w:w="1704"/>
            <w:shd w:fill="17365D"/>
          </w:tcPr>
          <w:p>
            <w:r>
              <w:rPr>
                <w:b/>
                <w:color w:val="FFFFFF"/>
                <w:sz w:val="17"/>
              </w:rPr>
              <w:t>Est. contribution/swap*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7"/>
              </w:rPr>
              <w:t>OFFPEAK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7"/>
              </w:rPr>
              <w:t>36,098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7"/>
              </w:rPr>
              <w:t>₹59.54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7"/>
              </w:rPr>
              <w:t>0%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7"/>
              </w:rPr>
              <w:t>₹31.70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7"/>
              </w:rPr>
              <w:t>₹42.20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7"/>
              </w:rPr>
              <w:t>PARTNER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7"/>
              </w:rPr>
              <w:t>2,409,841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7"/>
              </w:rPr>
              <w:t>₹61.73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7"/>
              </w:rPr>
              <w:t>12.64%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7"/>
              </w:rPr>
              <w:t>₹28.51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7"/>
              </w:rPr>
              <w:t>₹41.55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7"/>
              </w:rPr>
              <w:t>PEAK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7"/>
              </w:rPr>
              <w:t>169,833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7"/>
              </w:rPr>
              <w:t>₹82.55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7"/>
              </w:rPr>
              <w:t>0%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7"/>
              </w:rPr>
              <w:t>₹43.92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7"/>
              </w:rPr>
              <w:t>₹65.22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7"/>
              </w:rPr>
              <w:t>STD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7"/>
              </w:rPr>
              <w:t>1,030,037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7"/>
              </w:rPr>
              <w:t>₹66.21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7"/>
              </w:rPr>
              <w:t>0%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7"/>
              </w:rPr>
              <w:t>₹33.68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7"/>
              </w:rPr>
              <w:t>₹47.87</w:t>
            </w:r>
          </w:p>
        </w:tc>
      </w:tr>
    </w:tbl>
    <w:p>
      <w:r>
        <w:t>*Estimated contribution subtracts energy cost only; it excludes rent, maintenance, staffing, depreciation, battery replacement, commissions and other operating costs.</w:t>
      </w:r>
    </w:p>
    <w:p>
      <w:r>
        <w:t>Peak transactions have the highest observed average charge and estimated contribution per completed swap. Partner transactions dominate completed-swap volume and therefore generate the largest aggregate estimated contribution under this limited cost definition.</w:t>
      </w:r>
    </w:p>
    <w:p>
      <w:r>
        <w:t>The fleet-partner table contains 12 B2B partners, with differences in discount, payment terms and peak-surcharge eligibility. No individual partner ranking is included because the final retained analysis output did not preserve enough partner-level result detail to support a defensible ranking.</w:t>
      </w:r>
    </w:p>
    <w:p>
      <w:pPr>
        <w:pStyle w:val="Heading1"/>
      </w:pPr>
      <w:r>
        <w:t>8. Rider Retention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Riders analyzed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19,948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Returned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19,845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Non-returned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103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Return rate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99.48%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Non-return rate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0.52%</w:t>
            </w:r>
          </w:p>
        </w:tc>
      </w:tr>
    </w:tbl>
    <w:p>
      <w:r>
        <w:t>Return is defined as completing more than one successful swap during the available observation period. It is not a conventional 30-day or 60-day retention metric.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7"/>
              </w:rPr>
              <w:t>First-swap characteristic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7"/>
              </w:rPr>
              <w:t>Non-returned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7"/>
              </w:rPr>
              <w:t>Returned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Riders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103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19,845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Average queue wait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281.6 sec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243.0 sec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Median queue wait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249 sec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210 sec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Average first payment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₹67.95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₹65.04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7"/>
              </w:rPr>
              <w:t>First tariff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7"/>
              </w:rPr>
              <w:t>Non-returned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7"/>
              </w:rPr>
              <w:t>Returned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OFFPEAK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0.00%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100.00%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PARTNER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0.55%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99.45%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PEAK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0.78%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99.22%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STD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0.44%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99.56%</w:t>
            </w:r>
          </w:p>
        </w:tc>
      </w:tr>
    </w:tbl>
    <w:p>
      <w:r>
        <w:t>The small non-returning group experienced longer first-swap waits. Median waiting time was 249 seconds versus 210 seconds for returning riders. Tariff differences were comparatively small. Queue wait is therefore the clearest measured association with non-return in the completed analysis, but the group is small and the data is observational.</w:t>
      </w:r>
    </w:p>
    <w:p>
      <w:pPr>
        <w:pStyle w:val="Heading1"/>
      </w:pPr>
      <w:r>
        <w:t>9. Key Findings</w:t>
      </w:r>
    </w:p>
    <w:p>
      <w:pPr>
        <w:pStyle w:val="ListBullet"/>
      </w:pPr>
      <w:r>
        <w:t>Service losses are concentrated by city, station and hour rather than evenly distributed.</w:t>
      </w:r>
    </w:p>
    <w:p>
      <w:pPr>
        <w:pStyle w:val="ListBullet"/>
      </w:pPr>
      <w:r>
        <w:t>Evening 19:00–22:00 is a high-volume operational pressure window.</w:t>
      </w:r>
    </w:p>
    <w:p>
      <w:pPr>
        <w:pStyle w:val="ListBullet"/>
      </w:pPr>
      <w:r>
        <w:t>Charged-battery availability is the largest recorded failed-attempt category.</w:t>
      </w:r>
    </w:p>
    <w:p>
      <w:pPr>
        <w:pStyle w:val="ListBullet"/>
      </w:pPr>
      <w:r>
        <w:t>Gen1 stations show a materially higher observed unsuccessful-attempt rate than Gen2/Gen3.</w:t>
      </w:r>
    </w:p>
    <w:p>
      <w:pPr>
        <w:pStyle w:val="ListBullet"/>
      </w:pPr>
      <w:r>
        <w:t>Three Kyron manufacturing lots show markedly lower SOH and very high recorded retirement rates.</w:t>
      </w:r>
    </w:p>
    <w:p>
      <w:pPr>
        <w:pStyle w:val="ListBullet"/>
      </w:pPr>
      <w:r>
        <w:t>Peak pricing produces the highest estimated contribution per completed swap after energy cost; partner traffic provides the largest volume.</w:t>
      </w:r>
    </w:p>
    <w:p>
      <w:pPr>
        <w:pStyle w:val="ListBullet"/>
      </w:pPr>
      <w:r>
        <w:t>Repeat usage is high under the study definition, while higher first-swap waiting is associated with the small non-returning group.</w:t>
      </w:r>
    </w:p>
    <w:p>
      <w:pPr>
        <w:pStyle w:val="Heading1"/>
      </w:pPr>
      <w:r>
        <w:t>10. Actionable Recommendations</w:t>
      </w:r>
    </w:p>
    <w:p>
      <w:r>
        <w:rPr>
          <w:b/>
        </w:rPr>
        <w:t xml:space="preserve">1. Target evening hotspots. </w:t>
      </w:r>
      <w:r>
        <w:t>Build a station-hour monitoring list for high-volume 19:00–22:00 periods and stations above 10–11% unsuccessful attempts.</w:t>
      </w:r>
    </w:p>
    <w:p>
      <w:r>
        <w:rPr>
          <w:b/>
        </w:rPr>
        <w:t xml:space="preserve">2. Improve charged-battery availability. </w:t>
      </w:r>
      <w:r>
        <w:t>Align charging throughput, redistribution and inventory targets with demand peaks because no-charged-battery failures are the largest failure component.</w:t>
      </w:r>
    </w:p>
    <w:p>
      <w:r>
        <w:rPr>
          <w:b/>
        </w:rPr>
        <w:t xml:space="preserve">3. Prioritize city-level diagnostics. </w:t>
      </w:r>
      <w:r>
        <w:t>Start deeper operational reviews in Jaipur and Delhi NCR, then drill down to individual stations and hours.</w:t>
      </w:r>
    </w:p>
    <w:p>
      <w:r>
        <w:rPr>
          <w:b/>
        </w:rPr>
        <w:t xml:space="preserve">4. Audit Gen1 stations. </w:t>
      </w:r>
      <w:r>
        <w:t>Review age, utilization, maintenance, connectivity and inventory before deciding on refurbishment or replacement.</w:t>
      </w:r>
    </w:p>
    <w:p>
      <w:r>
        <w:rPr>
          <w:b/>
        </w:rPr>
        <w:t xml:space="preserve">5. Investigate Kyron lots. </w:t>
      </w:r>
      <w:r>
        <w:t>Review KY-2407, KY-2408 and KY-2409 against supplier records, manufacturing quality, degradation and lifecycle exposure.</w:t>
      </w:r>
    </w:p>
    <w:p>
      <w:r>
        <w:rPr>
          <w:b/>
        </w:rPr>
        <w:t xml:space="preserve">6. Protect the first-swap experience. </w:t>
      </w:r>
      <w:r>
        <w:t>Monitor new-rider queue waits and intervene at stations where first-swap waiting is consistently high.</w:t>
      </w:r>
    </w:p>
    <w:p>
      <w:r>
        <w:rPr>
          <w:b/>
        </w:rPr>
        <w:t xml:space="preserve">7. Use full-cost economics for pricing. </w:t>
      </w:r>
      <w:r>
        <w:t>Treat the energy-cost contribution analysis as directional; include station, maintenance and battery costs before making a network-wide pricing decision.</w:t>
      </w:r>
    </w:p>
    <w:p>
      <w:pPr>
        <w:pStyle w:val="Heading1"/>
      </w:pPr>
      <w:r>
        <w:t>11. Limitations</w:t>
      </w:r>
    </w:p>
    <w:p>
      <w:pPr>
        <w:pStyle w:val="ListBullet"/>
      </w:pPr>
      <w:r>
        <w:t>The dataset is synthetic and represents the hackathon simulation.</w:t>
      </w:r>
    </w:p>
    <w:p>
      <w:pPr>
        <w:pStyle w:val="ListBullet"/>
      </w:pPr>
      <w:r>
        <w:t>The analysis is observational; associations are not causal effects.</w:t>
      </w:r>
    </w:p>
    <w:p>
      <w:pPr>
        <w:pStyle w:val="ListBullet"/>
      </w:pPr>
      <w:r>
        <w:t>Queue-wait results depend on records with valid queue-wait values.</w:t>
      </w:r>
    </w:p>
    <w:p>
      <w:pPr>
        <w:pStyle w:val="ListBullet"/>
      </w:pPr>
      <w:r>
        <w:t>The documented firmware timestamp issue can affect hourly interpretation during 10 March–14 April 2025.</w:t>
      </w:r>
    </w:p>
    <w:p>
      <w:pPr>
        <w:pStyle w:val="ListBullet"/>
      </w:pPr>
      <w:r>
        <w:t>Retention is repeat-use within the full observation period, not fixed-window cohort retention.</w:t>
      </w:r>
    </w:p>
    <w:p>
      <w:pPr>
        <w:pStyle w:val="ListBullet"/>
      </w:pPr>
      <w:r>
        <w:t>Estimated contribution subtracts energy cost only and is not net profit.</w:t>
      </w:r>
    </w:p>
    <w:p>
      <w:pPr>
        <w:pStyle w:val="ListBullet"/>
      </w:pPr>
      <w:r>
        <w:t>Detailed support-ticket text and individual partner ranking were not used for final conclusions because sufficient retained result tables were not available.</w:t>
      </w:r>
    </w:p>
    <w:p>
      <w:pPr>
        <w:pStyle w:val="Heading1"/>
      </w:pPr>
      <w:r>
        <w:t>12. Conclusion</w:t>
      </w:r>
    </w:p>
    <w:p>
      <w:r>
        <w:t>VoltRelay's network shows strong scale but uneven service performance. The clearest operational signals are concentrated evening pressure, city/station hotspots, charged-battery availability issues, a pronounced battery-lot degradation pattern and meaningful differences in tariff economics. Rider repeat usage is high under the study definition, while the small non-returning group shows longer first-swap waits.</w:t>
      </w:r>
    </w:p>
    <w:p>
      <w:r>
        <w:t>The evidence supports a targeted operating response: improve evening inventory and station operations, investigate high-loss cities and Gen1 sites, escalate the three anomalous Kyron lots, and protect the first-swap experience. Pricing decisions should be evaluated using full operating costs rather than the energy-only contribution estimate.</w:t>
      </w:r>
    </w:p>
    <w:p>
      <w:pPr>
        <w:pStyle w:val="Heading1"/>
      </w:pPr>
      <w:r>
        <w:t>Appendix — KPI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Unsuccessful-attempt rate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Unsuccessful attempts ÷ total attempts × 100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Return rate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Riders with &gt;1 completed swap ÷ riders with ≥1 completed swap × 100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Estimated contribution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Revenue − estimated energy cost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Contribution per swap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Estimated contribution ÷ completed swaps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Current SOH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Battery state of health recorded at dataset endpoint</w:t>
            </w:r>
          </w:p>
        </w:tc>
      </w:tr>
    </w:tbl>
    <w:p>
      <w:r>
        <w:t>Source basis: Gradient Learnings Data Analytics Hackathon VoltRelay Energy problem statement and the eight related synthetic datasets.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