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7E23" w14:textId="77777777" w:rsidR="007811D7" w:rsidRPr="00F432CE" w:rsidRDefault="007811D7" w:rsidP="00C81102">
      <w:pPr>
        <w:spacing w:after="0" w:line="480" w:lineRule="auto"/>
        <w:ind w:firstLine="720"/>
        <w:rPr>
          <w:rFonts w:cstheme="minorHAnsi"/>
        </w:rPr>
      </w:pPr>
    </w:p>
    <w:p w14:paraId="6F68B9B0" w14:textId="77777777" w:rsidR="003B245B" w:rsidRPr="00F432CE" w:rsidRDefault="003B245B" w:rsidP="00C81102">
      <w:pPr>
        <w:spacing w:after="0" w:line="480" w:lineRule="auto"/>
        <w:ind w:firstLine="720"/>
        <w:rPr>
          <w:rFonts w:cstheme="minorHAnsi"/>
        </w:rPr>
      </w:pPr>
    </w:p>
    <w:p w14:paraId="1FA87EE3" w14:textId="77777777" w:rsidR="003B245B" w:rsidRPr="00F432CE" w:rsidRDefault="003B245B" w:rsidP="00C81102">
      <w:pPr>
        <w:spacing w:after="0" w:line="480" w:lineRule="auto"/>
        <w:ind w:firstLine="720"/>
        <w:rPr>
          <w:rFonts w:cstheme="minorHAnsi"/>
        </w:rPr>
      </w:pPr>
    </w:p>
    <w:p w14:paraId="317E205B" w14:textId="4E7A44C3" w:rsidR="003B245B" w:rsidRPr="00F404C4" w:rsidRDefault="00171E5E" w:rsidP="00C81102">
      <w:pPr>
        <w:pStyle w:val="Heading1"/>
      </w:pPr>
      <w:r>
        <w:t>Summarization of Content</w:t>
      </w:r>
      <w:r w:rsidR="009E7B7C">
        <w:t xml:space="preserve"> – Exploring LLM and Data Visualization Techniques</w:t>
      </w:r>
    </w:p>
    <w:p w14:paraId="4EAC0CDD" w14:textId="77777777" w:rsidR="003B245B" w:rsidRPr="00F432CE" w:rsidRDefault="003B245B" w:rsidP="00C81102">
      <w:pPr>
        <w:spacing w:after="0" w:line="480" w:lineRule="auto"/>
        <w:ind w:firstLine="720"/>
        <w:rPr>
          <w:rFonts w:cstheme="minorHAnsi"/>
        </w:rPr>
      </w:pPr>
    </w:p>
    <w:p w14:paraId="397650E7" w14:textId="3D1C25E1" w:rsidR="003B245B" w:rsidRDefault="00171E5E" w:rsidP="00C81102">
      <w:pPr>
        <w:spacing w:after="0" w:line="480" w:lineRule="auto"/>
        <w:jc w:val="center"/>
        <w:rPr>
          <w:rFonts w:cstheme="minorHAnsi"/>
        </w:rPr>
      </w:pPr>
      <w:r>
        <w:rPr>
          <w:rFonts w:cstheme="minorHAnsi"/>
        </w:rPr>
        <w:t>Akshitha Mohan Shirva</w:t>
      </w:r>
    </w:p>
    <w:p w14:paraId="75E1FB84" w14:textId="0DE11279" w:rsidR="00171E5E" w:rsidRPr="00F432CE" w:rsidRDefault="00171E5E" w:rsidP="00C81102">
      <w:pPr>
        <w:spacing w:after="0" w:line="480" w:lineRule="auto"/>
        <w:jc w:val="center"/>
        <w:rPr>
          <w:rFonts w:cstheme="minorHAnsi"/>
        </w:rPr>
      </w:pPr>
      <w:r>
        <w:rPr>
          <w:rFonts w:cstheme="minorHAnsi"/>
        </w:rPr>
        <w:t>The University of Texas at Dallas</w:t>
      </w:r>
      <w:r>
        <w:rPr>
          <w:rFonts w:cstheme="minorHAnsi"/>
        </w:rPr>
        <w:br/>
        <w:t>Richardson, United States</w:t>
      </w:r>
    </w:p>
    <w:p w14:paraId="0B0A86DD" w14:textId="7CB3F9B6" w:rsidR="00171E5E" w:rsidRPr="00F432CE" w:rsidRDefault="00171E5E" w:rsidP="00C81102">
      <w:pPr>
        <w:spacing w:after="0" w:line="480" w:lineRule="auto"/>
        <w:rPr>
          <w:rFonts w:cstheme="minorHAnsi"/>
        </w:rPr>
      </w:pPr>
    </w:p>
    <w:p w14:paraId="2DE470B4" w14:textId="7BE60067" w:rsidR="003B245B" w:rsidRPr="00F432CE" w:rsidRDefault="003B245B" w:rsidP="00C81102">
      <w:pPr>
        <w:spacing w:after="0" w:line="480" w:lineRule="auto"/>
        <w:rPr>
          <w:rFonts w:cstheme="minorHAnsi"/>
        </w:rPr>
      </w:pPr>
    </w:p>
    <w:p w14:paraId="2FC46782" w14:textId="77777777" w:rsidR="00F432CE" w:rsidRPr="00D2535F" w:rsidRDefault="00F432CE" w:rsidP="00C81102"/>
    <w:p w14:paraId="1CC3AFF5" w14:textId="77777777" w:rsidR="00F404C4" w:rsidRPr="00D2535F" w:rsidRDefault="00F404C4" w:rsidP="00C81102"/>
    <w:p w14:paraId="1A4219A8" w14:textId="77777777" w:rsidR="00F404C4" w:rsidRPr="00D2535F" w:rsidRDefault="00F404C4" w:rsidP="00C81102"/>
    <w:p w14:paraId="328AE00E" w14:textId="77777777" w:rsidR="00171E5E" w:rsidRDefault="00171E5E" w:rsidP="00C81102">
      <w:pPr>
        <w:pStyle w:val="Heading1"/>
        <w:jc w:val="left"/>
      </w:pPr>
    </w:p>
    <w:p w14:paraId="4D9E8FED" w14:textId="77777777" w:rsidR="00171E5E" w:rsidRDefault="00171E5E" w:rsidP="00C81102">
      <w:pPr>
        <w:rPr>
          <w:lang w:bidi="en-US"/>
        </w:rPr>
      </w:pPr>
    </w:p>
    <w:p w14:paraId="599F5002" w14:textId="77777777" w:rsidR="00171E5E" w:rsidRDefault="00171E5E" w:rsidP="00C81102">
      <w:pPr>
        <w:rPr>
          <w:lang w:bidi="en-US"/>
        </w:rPr>
      </w:pPr>
    </w:p>
    <w:p w14:paraId="0FF23BFF" w14:textId="77777777" w:rsidR="00171E5E" w:rsidRDefault="00171E5E" w:rsidP="00C81102">
      <w:pPr>
        <w:rPr>
          <w:lang w:bidi="en-US"/>
        </w:rPr>
      </w:pPr>
    </w:p>
    <w:p w14:paraId="6B6A5AF0" w14:textId="77777777" w:rsidR="00171E5E" w:rsidRDefault="00171E5E" w:rsidP="00C81102">
      <w:pPr>
        <w:rPr>
          <w:lang w:bidi="en-US"/>
        </w:rPr>
      </w:pPr>
    </w:p>
    <w:p w14:paraId="3E4EF7DC" w14:textId="77777777" w:rsidR="00171E5E" w:rsidRDefault="00171E5E" w:rsidP="00C81102">
      <w:pPr>
        <w:rPr>
          <w:lang w:bidi="en-US"/>
        </w:rPr>
      </w:pPr>
    </w:p>
    <w:p w14:paraId="46E860C4" w14:textId="77777777" w:rsidR="00171E5E" w:rsidRDefault="00171E5E" w:rsidP="00C81102">
      <w:pPr>
        <w:rPr>
          <w:lang w:bidi="en-US"/>
        </w:rPr>
      </w:pPr>
    </w:p>
    <w:p w14:paraId="18039A1F" w14:textId="77777777" w:rsidR="00171E5E" w:rsidRDefault="00171E5E" w:rsidP="00C81102">
      <w:pPr>
        <w:rPr>
          <w:lang w:bidi="en-US"/>
        </w:rPr>
      </w:pPr>
    </w:p>
    <w:p w14:paraId="5D8DCA32" w14:textId="77777777" w:rsidR="00171E5E" w:rsidRDefault="00171E5E" w:rsidP="00C81102">
      <w:pPr>
        <w:rPr>
          <w:lang w:bidi="en-US"/>
        </w:rPr>
      </w:pPr>
    </w:p>
    <w:p w14:paraId="5018DCF9" w14:textId="77777777" w:rsidR="00171E5E" w:rsidRDefault="00171E5E" w:rsidP="00C81102">
      <w:pPr>
        <w:rPr>
          <w:lang w:bidi="en-US"/>
        </w:rPr>
      </w:pPr>
    </w:p>
    <w:p w14:paraId="514A4A19" w14:textId="77777777" w:rsidR="00171E5E" w:rsidRDefault="00171E5E" w:rsidP="00C81102">
      <w:pPr>
        <w:rPr>
          <w:lang w:bidi="en-US"/>
        </w:rPr>
      </w:pPr>
    </w:p>
    <w:p w14:paraId="119168D1" w14:textId="77777777" w:rsidR="007F3F8D" w:rsidRDefault="009E7B7C" w:rsidP="00C81102">
      <w:pPr>
        <w:pStyle w:val="Heading1"/>
        <w:spacing w:line="360" w:lineRule="auto"/>
        <w:jc w:val="both"/>
      </w:pPr>
      <w:r w:rsidRPr="009E7B7C">
        <w:rPr>
          <w:rFonts w:eastAsiaTheme="minorHAnsi"/>
          <w:b w:val="0"/>
          <w:szCs w:val="22"/>
          <w:lang w:bidi="ar-SA"/>
        </w:rPr>
        <w:lastRenderedPageBreak/>
        <w:t>The summarization of content in the healthcare industry involves distilling extensive medical and clinical information into concise, relevant, and actionable summaries. This process aims to improve efficiency, reduce information overload, and enhance decision-making by providing clear and accurate representations of complex medical data, including electronic health records (EHRs), clinical notes, patient interactions, and research findings</w:t>
      </w:r>
      <w:r w:rsidR="00B81946" w:rsidRPr="00B81946">
        <w:t>.</w:t>
      </w:r>
    </w:p>
    <w:p w14:paraId="5110B493" w14:textId="12D85DC1" w:rsidR="009E7B7C" w:rsidRPr="007F3F8D" w:rsidRDefault="009E7B7C" w:rsidP="00C81102">
      <w:pPr>
        <w:pStyle w:val="Heading1"/>
        <w:spacing w:line="276" w:lineRule="auto"/>
        <w:jc w:val="both"/>
      </w:pPr>
      <w:r w:rsidRPr="009E7B7C">
        <w:t>Relevant Trends:</w:t>
      </w:r>
    </w:p>
    <w:p w14:paraId="06E16A3A" w14:textId="721AFB82" w:rsidR="009E7B7C" w:rsidRPr="006A05A4" w:rsidRDefault="007F3F8D" w:rsidP="00C81102">
      <w:pPr>
        <w:pStyle w:val="ListParagraph"/>
        <w:numPr>
          <w:ilvl w:val="0"/>
          <w:numId w:val="16"/>
        </w:numPr>
        <w:spacing w:before="100" w:beforeAutospacing="1" w:after="100" w:afterAutospacing="1" w:line="360" w:lineRule="auto"/>
        <w:jc w:val="both"/>
        <w:rPr>
          <w:rFonts w:cstheme="minorHAnsi"/>
        </w:rPr>
      </w:pPr>
      <w:r>
        <w:rPr>
          <w:rFonts w:cstheme="minorHAnsi"/>
        </w:rPr>
        <w:t>Industry wide boom</w:t>
      </w:r>
      <w:r w:rsidR="009E7B7C" w:rsidRPr="009E7B7C">
        <w:rPr>
          <w:rFonts w:cstheme="minorHAnsi"/>
        </w:rPr>
        <w:t xml:space="preserve"> </w:t>
      </w:r>
      <w:r>
        <w:rPr>
          <w:rFonts w:cstheme="minorHAnsi"/>
        </w:rPr>
        <w:t>of</w:t>
      </w:r>
      <w:r w:rsidR="009E7B7C" w:rsidRPr="009E7B7C">
        <w:rPr>
          <w:rFonts w:cstheme="minorHAnsi"/>
        </w:rPr>
        <w:t xml:space="preserve"> NLP and AI:</w:t>
      </w:r>
      <w:r w:rsidR="006A05A4">
        <w:rPr>
          <w:rFonts w:cstheme="minorHAnsi"/>
        </w:rPr>
        <w:t xml:space="preserve"> </w:t>
      </w:r>
      <w:r w:rsidR="009E7B7C" w:rsidRPr="006A05A4">
        <w:rPr>
          <w:rFonts w:cstheme="minorHAnsi"/>
        </w:rPr>
        <w:t>With the</w:t>
      </w:r>
      <w:r w:rsidR="009E7B7C" w:rsidRPr="006A05A4">
        <w:rPr>
          <w:rFonts w:cstheme="minorHAnsi"/>
        </w:rPr>
        <w:t xml:space="preserve"> </w:t>
      </w:r>
      <w:r w:rsidR="009E7B7C" w:rsidRPr="006A05A4">
        <w:rPr>
          <w:rFonts w:cstheme="minorHAnsi"/>
        </w:rPr>
        <w:t>r</w:t>
      </w:r>
      <w:r w:rsidR="009E7B7C" w:rsidRPr="006A05A4">
        <w:rPr>
          <w:rFonts w:cstheme="minorHAnsi"/>
        </w:rPr>
        <w:t>ising use of advanced NLP and AI models for medical content summarization</w:t>
      </w:r>
      <w:r w:rsidR="009E7B7C" w:rsidRPr="006A05A4">
        <w:rPr>
          <w:rFonts w:cstheme="minorHAnsi"/>
        </w:rPr>
        <w:t>, it can be used to i</w:t>
      </w:r>
      <w:r w:rsidR="009E7B7C" w:rsidRPr="006A05A4">
        <w:rPr>
          <w:rFonts w:cstheme="minorHAnsi"/>
        </w:rPr>
        <w:t>mprove summarization accuracy and efficiency, enabling effective extraction and human-like generation of key information.</w:t>
      </w:r>
    </w:p>
    <w:p w14:paraId="10B4EC2B" w14:textId="0A9B5F6B" w:rsidR="009E7B7C" w:rsidRPr="009E7B7C" w:rsidRDefault="007F3F8D" w:rsidP="00C81102">
      <w:pPr>
        <w:pStyle w:val="ListParagraph"/>
        <w:numPr>
          <w:ilvl w:val="0"/>
          <w:numId w:val="16"/>
        </w:numPr>
        <w:spacing w:before="100" w:beforeAutospacing="1" w:after="100" w:afterAutospacing="1" w:line="360" w:lineRule="auto"/>
        <w:jc w:val="both"/>
        <w:rPr>
          <w:rFonts w:cstheme="minorHAnsi"/>
        </w:rPr>
      </w:pPr>
      <w:r>
        <w:rPr>
          <w:rFonts w:cstheme="minorHAnsi"/>
        </w:rPr>
        <w:t>Ever g</w:t>
      </w:r>
      <w:r w:rsidR="009E7B7C" w:rsidRPr="009E7B7C">
        <w:rPr>
          <w:rFonts w:cstheme="minorHAnsi"/>
        </w:rPr>
        <w:t>rowing Data Volume:</w:t>
      </w:r>
      <w:r w:rsidR="006A05A4">
        <w:rPr>
          <w:rFonts w:cstheme="minorHAnsi"/>
        </w:rPr>
        <w:t xml:space="preserve"> Due to the rapid expansion of healthcare data, there’s a need for tools to efficiently handle and synthesize large volumes of complex information.</w:t>
      </w:r>
    </w:p>
    <w:p w14:paraId="2E9F9781" w14:textId="43ADD6A2" w:rsidR="009E7B7C" w:rsidRPr="009E7B7C" w:rsidRDefault="009E7B7C" w:rsidP="00C81102">
      <w:pPr>
        <w:pStyle w:val="ListParagraph"/>
        <w:numPr>
          <w:ilvl w:val="0"/>
          <w:numId w:val="16"/>
        </w:numPr>
        <w:spacing w:before="100" w:beforeAutospacing="1" w:after="100" w:afterAutospacing="1" w:line="360" w:lineRule="auto"/>
        <w:jc w:val="both"/>
        <w:rPr>
          <w:rFonts w:cstheme="minorHAnsi"/>
        </w:rPr>
      </w:pPr>
      <w:r w:rsidRPr="009E7B7C">
        <w:rPr>
          <w:rFonts w:cstheme="minorHAnsi"/>
        </w:rPr>
        <w:t>Regulatory Compliance:</w:t>
      </w:r>
      <w:r w:rsidR="006A05A4">
        <w:rPr>
          <w:rFonts w:cstheme="minorHAnsi"/>
        </w:rPr>
        <w:t xml:space="preserve"> Ensuring the patient information is handled securely and confidentially, preventing unauthorized access and usage of the data.</w:t>
      </w:r>
    </w:p>
    <w:p w14:paraId="52955C61" w14:textId="5EBD199F" w:rsidR="009E7B7C" w:rsidRDefault="009E7B7C" w:rsidP="00C81102">
      <w:pPr>
        <w:pStyle w:val="ListParagraph"/>
        <w:numPr>
          <w:ilvl w:val="0"/>
          <w:numId w:val="16"/>
        </w:numPr>
        <w:spacing w:before="100" w:beforeAutospacing="1" w:after="100" w:afterAutospacing="1" w:line="360" w:lineRule="auto"/>
        <w:jc w:val="both"/>
        <w:rPr>
          <w:rFonts w:cstheme="minorHAnsi"/>
        </w:rPr>
      </w:pPr>
      <w:r w:rsidRPr="009E7B7C">
        <w:rPr>
          <w:rFonts w:cstheme="minorHAnsi"/>
        </w:rPr>
        <w:t>Patient-Centric Care:</w:t>
      </w:r>
      <w:r w:rsidR="006A05A4">
        <w:rPr>
          <w:rFonts w:cstheme="minorHAnsi"/>
        </w:rPr>
        <w:t xml:space="preserve"> </w:t>
      </w:r>
      <w:r w:rsidRPr="006A05A4">
        <w:rPr>
          <w:rFonts w:cstheme="minorHAnsi"/>
        </w:rPr>
        <w:t>Growing focus on enhancing patient engagement with clear, understandable information</w:t>
      </w:r>
      <w:r w:rsidRPr="009E7B7C">
        <w:rPr>
          <w:rFonts w:cstheme="minorHAnsi"/>
        </w:rPr>
        <w:t xml:space="preserve"> by providing concise health information and instructions.</w:t>
      </w:r>
    </w:p>
    <w:p w14:paraId="7D629277" w14:textId="77777777" w:rsidR="007F3F8D" w:rsidRDefault="005E5119" w:rsidP="00C81102">
      <w:pPr>
        <w:spacing w:before="100" w:beforeAutospacing="1" w:after="100" w:afterAutospacing="1" w:line="360" w:lineRule="auto"/>
        <w:jc w:val="both"/>
        <w:rPr>
          <w:rFonts w:cstheme="minorHAnsi"/>
          <w:b/>
          <w:bCs/>
        </w:rPr>
      </w:pPr>
      <w:r w:rsidRPr="007F3F8D">
        <w:rPr>
          <w:rFonts w:cstheme="minorHAnsi"/>
          <w:b/>
          <w:bCs/>
        </w:rPr>
        <w:t>Opportunities for Enhanced Clinical Decision Support:</w:t>
      </w:r>
    </w:p>
    <w:p w14:paraId="2A961470" w14:textId="6DC500A3" w:rsidR="007F3F8D" w:rsidRPr="007F3F8D" w:rsidRDefault="005E5119" w:rsidP="00C81102">
      <w:pPr>
        <w:pStyle w:val="ListParagraph"/>
        <w:numPr>
          <w:ilvl w:val="0"/>
          <w:numId w:val="15"/>
        </w:numPr>
        <w:spacing w:before="100" w:beforeAutospacing="1" w:after="100" w:afterAutospacing="1" w:line="360" w:lineRule="auto"/>
        <w:jc w:val="both"/>
        <w:rPr>
          <w:rFonts w:cstheme="minorHAnsi"/>
          <w:b/>
          <w:bCs/>
        </w:rPr>
      </w:pPr>
      <w:r w:rsidRPr="007F3F8D">
        <w:rPr>
          <w:rFonts w:cstheme="minorHAnsi"/>
        </w:rPr>
        <w:t>Advanced Summarization Tools: Implement tools to deliver concise, relevant information for timely and informed clinical decisions, enhancing decision-making efficiency</w:t>
      </w:r>
      <w:r w:rsidR="007F3F8D">
        <w:rPr>
          <w:rFonts w:cstheme="minorHAnsi"/>
        </w:rPr>
        <w:t>.</w:t>
      </w:r>
    </w:p>
    <w:p w14:paraId="3DEBA771" w14:textId="77777777" w:rsidR="007F3F8D" w:rsidRPr="007F3F8D" w:rsidRDefault="005E5119" w:rsidP="00C81102">
      <w:pPr>
        <w:pStyle w:val="ListParagraph"/>
        <w:numPr>
          <w:ilvl w:val="0"/>
          <w:numId w:val="15"/>
        </w:numPr>
        <w:spacing w:before="100" w:beforeAutospacing="1" w:after="100" w:afterAutospacing="1" w:line="360" w:lineRule="auto"/>
        <w:jc w:val="both"/>
        <w:rPr>
          <w:rFonts w:cstheme="minorHAnsi"/>
          <w:b/>
          <w:bCs/>
        </w:rPr>
      </w:pPr>
      <w:r w:rsidRPr="007F3F8D">
        <w:rPr>
          <w:rFonts w:cstheme="minorHAnsi"/>
        </w:rPr>
        <w:t>Operational Efficiency: Automate summarization to streamline the management of extensive records, increasing productivity and reducing administrative workload.</w:t>
      </w:r>
    </w:p>
    <w:p w14:paraId="3351FC31" w14:textId="420A511A" w:rsidR="007F3F8D" w:rsidRPr="007F3F8D" w:rsidRDefault="005E5119" w:rsidP="00C81102">
      <w:pPr>
        <w:pStyle w:val="ListParagraph"/>
        <w:numPr>
          <w:ilvl w:val="0"/>
          <w:numId w:val="15"/>
        </w:numPr>
        <w:spacing w:before="100" w:beforeAutospacing="1" w:after="100" w:afterAutospacing="1" w:line="360" w:lineRule="auto"/>
        <w:jc w:val="both"/>
        <w:rPr>
          <w:rFonts w:cstheme="minorHAnsi"/>
          <w:b/>
          <w:bCs/>
        </w:rPr>
      </w:pPr>
      <w:r w:rsidRPr="007F3F8D">
        <w:rPr>
          <w:rFonts w:cstheme="minorHAnsi"/>
        </w:rPr>
        <w:t>Patient Engagement: Develop tools that provide clear, easy-to-understand summaries of health information for patients, improving comprehension and overall engagement.</w:t>
      </w:r>
    </w:p>
    <w:p w14:paraId="483A71FC" w14:textId="74850B78" w:rsidR="007F3F8D" w:rsidRPr="007F3F8D" w:rsidRDefault="005E5119" w:rsidP="00C81102">
      <w:pPr>
        <w:pStyle w:val="ListParagraph"/>
        <w:numPr>
          <w:ilvl w:val="0"/>
          <w:numId w:val="15"/>
        </w:numPr>
        <w:spacing w:before="100" w:beforeAutospacing="1" w:after="100" w:afterAutospacing="1" w:line="360" w:lineRule="auto"/>
        <w:jc w:val="both"/>
        <w:rPr>
          <w:rFonts w:cstheme="minorHAnsi"/>
          <w:b/>
          <w:bCs/>
        </w:rPr>
      </w:pPr>
      <w:r w:rsidRPr="007F3F8D">
        <w:rPr>
          <w:rFonts w:cstheme="minorHAnsi"/>
        </w:rPr>
        <w:t>Integration with Existing Systems: Integrate summarization tools with EHR and healthcare IT systems to improve data coherence and user experience across platforms.</w:t>
      </w:r>
    </w:p>
    <w:p w14:paraId="5E57009A" w14:textId="77777777" w:rsidR="007F3F8D" w:rsidRDefault="005E5119" w:rsidP="00C81102">
      <w:pPr>
        <w:spacing w:before="100" w:beforeAutospacing="1" w:after="100" w:afterAutospacing="1" w:line="360" w:lineRule="auto"/>
        <w:jc w:val="both"/>
        <w:rPr>
          <w:rFonts w:cstheme="minorHAnsi"/>
        </w:rPr>
      </w:pPr>
      <w:r w:rsidRPr="00B81946">
        <w:rPr>
          <w:rFonts w:cstheme="minorHAnsi"/>
          <w:b/>
          <w:bCs/>
        </w:rPr>
        <w:t>Threats to Implementing Summarization Tools:</w:t>
      </w:r>
    </w:p>
    <w:p w14:paraId="0E06DBC0" w14:textId="73C657ED" w:rsidR="007F3F8D" w:rsidRDefault="005E5119" w:rsidP="00C81102">
      <w:pPr>
        <w:pStyle w:val="ListParagraph"/>
        <w:numPr>
          <w:ilvl w:val="0"/>
          <w:numId w:val="17"/>
        </w:numPr>
        <w:spacing w:before="100" w:beforeAutospacing="1" w:after="100" w:afterAutospacing="1" w:line="360" w:lineRule="auto"/>
        <w:jc w:val="both"/>
        <w:rPr>
          <w:rFonts w:cstheme="minorHAnsi"/>
        </w:rPr>
      </w:pPr>
      <w:r w:rsidRPr="007F3F8D">
        <w:rPr>
          <w:rFonts w:cstheme="minorHAnsi"/>
        </w:rPr>
        <w:t xml:space="preserve">Data Privacy Concerns: Risks associated with handling and protecting sensitive patient data. </w:t>
      </w:r>
    </w:p>
    <w:p w14:paraId="750D44B7" w14:textId="1B281749" w:rsidR="007F3F8D" w:rsidRDefault="005E5119" w:rsidP="00C81102">
      <w:pPr>
        <w:pStyle w:val="ListParagraph"/>
        <w:numPr>
          <w:ilvl w:val="0"/>
          <w:numId w:val="17"/>
        </w:numPr>
        <w:spacing w:before="100" w:beforeAutospacing="1" w:after="100" w:afterAutospacing="1" w:line="360" w:lineRule="auto"/>
        <w:jc w:val="both"/>
        <w:rPr>
          <w:rFonts w:cstheme="minorHAnsi"/>
        </w:rPr>
      </w:pPr>
      <w:r w:rsidRPr="007F3F8D">
        <w:rPr>
          <w:rFonts w:cstheme="minorHAnsi"/>
        </w:rPr>
        <w:t xml:space="preserve">Model Accuracy and Reliability: Challenges in maintaining the accuracy and reliability of summarization models, which could impact clinical decisions and patient safety. </w:t>
      </w:r>
    </w:p>
    <w:p w14:paraId="617DDEFF" w14:textId="40C82E9C" w:rsidR="007F3F8D" w:rsidRDefault="005E5119" w:rsidP="00C81102">
      <w:pPr>
        <w:pStyle w:val="ListParagraph"/>
        <w:numPr>
          <w:ilvl w:val="0"/>
          <w:numId w:val="17"/>
        </w:numPr>
        <w:spacing w:before="100" w:beforeAutospacing="1" w:after="100" w:afterAutospacing="1" w:line="360" w:lineRule="auto"/>
        <w:jc w:val="both"/>
        <w:rPr>
          <w:rFonts w:cstheme="minorHAnsi"/>
        </w:rPr>
      </w:pPr>
      <w:r w:rsidRPr="007F3F8D">
        <w:rPr>
          <w:rFonts w:cstheme="minorHAnsi"/>
        </w:rPr>
        <w:lastRenderedPageBreak/>
        <w:t xml:space="preserve">Integration Challenges: Difficulties in integrating summarization tools with legacy systems and achieving seamless interoperability. </w:t>
      </w:r>
    </w:p>
    <w:p w14:paraId="225DF42D" w14:textId="77777777" w:rsidR="00C81102" w:rsidRDefault="005E5119" w:rsidP="00C81102">
      <w:pPr>
        <w:pStyle w:val="ListParagraph"/>
        <w:numPr>
          <w:ilvl w:val="0"/>
          <w:numId w:val="17"/>
        </w:numPr>
        <w:spacing w:before="100" w:beforeAutospacing="1" w:after="100" w:afterAutospacing="1" w:line="360" w:lineRule="auto"/>
        <w:jc w:val="both"/>
        <w:rPr>
          <w:rFonts w:cstheme="minorHAnsi"/>
        </w:rPr>
      </w:pPr>
      <w:r w:rsidRPr="00C81102">
        <w:rPr>
          <w:rFonts w:cstheme="minorHAnsi"/>
        </w:rPr>
        <w:t xml:space="preserve">Regulatory Compliance: Navigating complex and varying regional regulations for data handling. </w:t>
      </w:r>
    </w:p>
    <w:p w14:paraId="65017E26" w14:textId="096D2869" w:rsidR="001D3999" w:rsidRPr="00BE2B58" w:rsidRDefault="001D3999" w:rsidP="00C81102">
      <w:pPr>
        <w:spacing w:before="100" w:beforeAutospacing="1" w:after="100" w:afterAutospacing="1" w:line="360" w:lineRule="auto"/>
        <w:jc w:val="both"/>
        <w:rPr>
          <w:rFonts w:cstheme="minorHAnsi"/>
          <w:b/>
          <w:bCs/>
        </w:rPr>
      </w:pPr>
      <w:r w:rsidRPr="00BE2B58">
        <w:rPr>
          <w:rFonts w:cstheme="minorHAnsi"/>
          <w:b/>
          <w:bCs/>
        </w:rPr>
        <w:t>NLP Models for Summarization</w:t>
      </w:r>
      <w:r w:rsidR="00B81946" w:rsidRPr="00BE2B58">
        <w:rPr>
          <w:rFonts w:cstheme="minorHAnsi"/>
          <w:b/>
          <w:bCs/>
        </w:rPr>
        <w:t>:</w:t>
      </w:r>
    </w:p>
    <w:p w14:paraId="4EC8D220" w14:textId="0EA41E1D" w:rsidR="00B81946" w:rsidRPr="00B81946" w:rsidRDefault="00B81946" w:rsidP="00C81102">
      <w:pPr>
        <w:spacing w:before="100" w:beforeAutospacing="1" w:after="100" w:afterAutospacing="1" w:line="360" w:lineRule="auto"/>
        <w:jc w:val="both"/>
        <w:rPr>
          <w:rFonts w:cstheme="minorHAnsi"/>
        </w:rPr>
      </w:pPr>
      <w:r w:rsidRPr="00B81946">
        <w:rPr>
          <w:rFonts w:cstheme="minorHAnsi"/>
        </w:rPr>
        <w:t xml:space="preserve">The </w:t>
      </w:r>
      <w:proofErr w:type="spellStart"/>
      <w:r w:rsidRPr="00B81946">
        <w:rPr>
          <w:rFonts w:cstheme="minorHAnsi"/>
        </w:rPr>
        <w:t>AutoTokenizer</w:t>
      </w:r>
      <w:proofErr w:type="spellEnd"/>
      <w:r w:rsidRPr="00B81946">
        <w:rPr>
          <w:rFonts w:cstheme="minorHAnsi"/>
        </w:rPr>
        <w:t xml:space="preserve"> is used with the T5-small model because it is specifically designed for encoding and decoding text in a way that aligns with the model's architecture and training. This tokenizer supports the T5 model’s unified text-to-text approach, handling long sequences efficiently and ensuring consistent, high-quality summaries. Its compatibility with T5-small enhances the model's ability to generate coherent and contextually relevant summaries compared to other, less specialized tokenizers.</w:t>
      </w:r>
    </w:p>
    <w:p w14:paraId="68049634" w14:textId="1FBA1FBC" w:rsidR="001D3999" w:rsidRPr="00BE2B58" w:rsidRDefault="001D3999" w:rsidP="00C81102">
      <w:pPr>
        <w:spacing w:before="100" w:beforeAutospacing="1" w:after="100" w:afterAutospacing="1" w:line="360" w:lineRule="auto"/>
        <w:jc w:val="both"/>
        <w:rPr>
          <w:rFonts w:cstheme="minorHAnsi"/>
          <w:b/>
          <w:bCs/>
        </w:rPr>
      </w:pPr>
      <w:r w:rsidRPr="00BE2B58">
        <w:rPr>
          <w:rFonts w:cstheme="minorHAnsi"/>
          <w:b/>
          <w:bCs/>
        </w:rPr>
        <w:t>Integration Approach</w:t>
      </w:r>
      <w:r w:rsidR="00BE2B58" w:rsidRPr="00BE2B58">
        <w:rPr>
          <w:rFonts w:cstheme="minorHAnsi"/>
          <w:b/>
          <w:bCs/>
        </w:rPr>
        <w:t>:</w:t>
      </w:r>
    </w:p>
    <w:p w14:paraId="72690594" w14:textId="5A2D87A8" w:rsidR="001D3999" w:rsidRPr="00B81946" w:rsidRDefault="001D3999" w:rsidP="00BE2B58">
      <w:pPr>
        <w:spacing w:before="100" w:beforeAutospacing="1" w:after="100" w:afterAutospacing="1" w:line="360" w:lineRule="auto"/>
        <w:jc w:val="both"/>
        <w:rPr>
          <w:rFonts w:cstheme="minorHAnsi"/>
        </w:rPr>
      </w:pPr>
      <w:r w:rsidRPr="00B81946">
        <w:rPr>
          <w:rFonts w:cstheme="minorHAnsi"/>
          <w:b/>
          <w:bCs/>
        </w:rPr>
        <w:t>Step 1</w:t>
      </w:r>
      <w:r w:rsidRPr="00B81946">
        <w:rPr>
          <w:rFonts w:cstheme="minorHAnsi"/>
        </w:rPr>
        <w:t>: Use NLP models to process and summarize medical content. This involves extracting key information, generating summaries, and tagging data as needed</w:t>
      </w:r>
      <w:r w:rsidR="00BE2B58">
        <w:rPr>
          <w:rFonts w:cstheme="minorHAnsi"/>
        </w:rPr>
        <w:t xml:space="preserve"> handling long sequences of data</w:t>
      </w:r>
      <w:r w:rsidRPr="00B81946">
        <w:rPr>
          <w:rFonts w:cstheme="minorHAnsi"/>
        </w:rPr>
        <w:t>.</w:t>
      </w:r>
      <w:r w:rsidR="00C81102">
        <w:rPr>
          <w:rFonts w:cstheme="minorHAnsi"/>
        </w:rPr>
        <w:br/>
      </w:r>
      <w:r w:rsidRPr="00B81946">
        <w:rPr>
          <w:rFonts w:cstheme="minorHAnsi"/>
          <w:b/>
          <w:bCs/>
        </w:rPr>
        <w:t>Step 2</w:t>
      </w:r>
      <w:r w:rsidRPr="00B81946">
        <w:rPr>
          <w:rFonts w:cstheme="minorHAnsi"/>
        </w:rPr>
        <w:t>: Export the summarized data and performance metrics from the NLP models to a format compatible with Tableau</w:t>
      </w:r>
      <w:r w:rsidR="00BE2B58">
        <w:rPr>
          <w:rFonts w:cstheme="minorHAnsi"/>
        </w:rPr>
        <w:t xml:space="preserve"> with all the attributes and the values required for the visualization</w:t>
      </w:r>
      <w:r w:rsidRPr="00B81946">
        <w:rPr>
          <w:rFonts w:cstheme="minorHAnsi"/>
        </w:rPr>
        <w:t>.</w:t>
      </w:r>
      <w:r w:rsidR="00C81102">
        <w:rPr>
          <w:rFonts w:cstheme="minorHAnsi"/>
        </w:rPr>
        <w:br/>
      </w:r>
      <w:r w:rsidRPr="00B81946">
        <w:rPr>
          <w:rFonts w:cstheme="minorHAnsi"/>
          <w:b/>
          <w:bCs/>
        </w:rPr>
        <w:t>Step 3</w:t>
      </w:r>
      <w:r w:rsidRPr="00B81946">
        <w:rPr>
          <w:rFonts w:cstheme="minorHAnsi"/>
        </w:rPr>
        <w:t>: Import the summarized data into Tableau. Create visualizations such as charts, graphs, and dashboards that display the summarized content and performance metrics</w:t>
      </w:r>
      <w:r w:rsidR="00BE2B58">
        <w:rPr>
          <w:rFonts w:cstheme="minorHAnsi"/>
        </w:rPr>
        <w:t xml:space="preserve"> that is easier to comprehend</w:t>
      </w:r>
      <w:r w:rsidRPr="00B81946">
        <w:rPr>
          <w:rFonts w:cstheme="minorHAnsi"/>
        </w:rPr>
        <w:t>.</w:t>
      </w:r>
      <w:r w:rsidR="00C81102">
        <w:rPr>
          <w:rFonts w:cstheme="minorHAnsi"/>
        </w:rPr>
        <w:br/>
      </w:r>
      <w:r w:rsidRPr="00B81946">
        <w:rPr>
          <w:rFonts w:cstheme="minorHAnsi"/>
          <w:b/>
          <w:bCs/>
        </w:rPr>
        <w:t>Step 4</w:t>
      </w:r>
      <w:r w:rsidRPr="00B81946">
        <w:rPr>
          <w:rFonts w:cstheme="minorHAnsi"/>
        </w:rPr>
        <w:t>: Develop interactive dashboards that allow users to explore summarized data, track trends, and gain insights from both the NLP outputs and the underlying data</w:t>
      </w:r>
      <w:r w:rsidR="00BE2B58">
        <w:rPr>
          <w:rFonts w:cstheme="minorHAnsi"/>
        </w:rPr>
        <w:t xml:space="preserve"> to make informed and quick decisions</w:t>
      </w:r>
      <w:r w:rsidRPr="00B81946">
        <w:rPr>
          <w:rFonts w:cstheme="minorHAnsi"/>
        </w:rPr>
        <w:t>.</w:t>
      </w:r>
      <w:r w:rsidR="00C81102">
        <w:rPr>
          <w:rFonts w:cstheme="minorHAnsi"/>
        </w:rPr>
        <w:br/>
      </w:r>
      <w:r w:rsidRPr="00B81946">
        <w:rPr>
          <w:rFonts w:cstheme="minorHAnsi"/>
          <w:b/>
          <w:bCs/>
        </w:rPr>
        <w:t>Step 5</w:t>
      </w:r>
      <w:r w:rsidRPr="00B81946">
        <w:rPr>
          <w:rFonts w:cstheme="minorHAnsi"/>
        </w:rPr>
        <w:t>: Use Tableau to monitor the effectiveness of the NLP models by visualizing metrics and feedback. This can help in identifying areas for improvement and refining the summarization process.</w:t>
      </w:r>
    </w:p>
    <w:p w14:paraId="549269B2" w14:textId="77777777" w:rsidR="005E5119" w:rsidRPr="009E7B7C" w:rsidRDefault="005E5119" w:rsidP="00C81102"/>
    <w:p w14:paraId="206D63CA" w14:textId="77777777" w:rsidR="009E7B7C" w:rsidRDefault="009E7B7C" w:rsidP="00C81102">
      <w:pPr>
        <w:pStyle w:val="Heading1"/>
        <w:jc w:val="left"/>
      </w:pPr>
    </w:p>
    <w:p w14:paraId="6F573F4F" w14:textId="77777777" w:rsidR="009E7B7C" w:rsidRDefault="009E7B7C" w:rsidP="00C81102">
      <w:pPr>
        <w:pStyle w:val="Heading1"/>
        <w:jc w:val="left"/>
      </w:pPr>
    </w:p>
    <w:p w14:paraId="74A436A3" w14:textId="77777777" w:rsidR="009E7B7C" w:rsidRDefault="009E7B7C" w:rsidP="00C81102">
      <w:pPr>
        <w:pStyle w:val="Heading1"/>
        <w:jc w:val="left"/>
      </w:pPr>
    </w:p>
    <w:p w14:paraId="1EACDD95" w14:textId="77777777" w:rsidR="009E7B7C" w:rsidRDefault="009E7B7C" w:rsidP="00C81102">
      <w:pPr>
        <w:pStyle w:val="Heading1"/>
        <w:jc w:val="left"/>
      </w:pPr>
    </w:p>
    <w:p w14:paraId="2D816181" w14:textId="77777777" w:rsidR="00B81946" w:rsidRPr="00B81946" w:rsidRDefault="00B81946" w:rsidP="00C81102">
      <w:pPr>
        <w:rPr>
          <w:lang w:bidi="en-US"/>
        </w:rPr>
      </w:pPr>
    </w:p>
    <w:p w14:paraId="4BF57083" w14:textId="73E38A1C" w:rsidR="00F432CE" w:rsidRPr="00BD40BF" w:rsidRDefault="00BE2B58" w:rsidP="00BE2B58">
      <w:pPr>
        <w:pStyle w:val="Heading1"/>
        <w:ind w:left="2880" w:firstLine="720"/>
        <w:jc w:val="both"/>
      </w:pPr>
      <w:r>
        <w:lastRenderedPageBreak/>
        <w:t>REFERENCES</w:t>
      </w:r>
    </w:p>
    <w:p w14:paraId="062F0306" w14:textId="50312416" w:rsidR="00B81946" w:rsidRPr="004208B6" w:rsidRDefault="007E44D0" w:rsidP="00C81102">
      <w:pPr>
        <w:pStyle w:val="ListParagraph"/>
        <w:numPr>
          <w:ilvl w:val="0"/>
          <w:numId w:val="14"/>
        </w:numPr>
        <w:spacing w:after="0" w:line="240" w:lineRule="auto"/>
        <w:rPr>
          <w:rFonts w:asciiTheme="majorHAnsi" w:hAnsiTheme="majorHAnsi" w:cstheme="majorHAnsi"/>
          <w:b/>
          <w:bCs/>
          <w:sz w:val="24"/>
          <w:szCs w:val="24"/>
          <w:u w:val="single"/>
        </w:rPr>
      </w:pPr>
      <w:hyperlink r:id="rId8" w:history="1">
        <w:r w:rsidRPr="00C5778D">
          <w:rPr>
            <w:rStyle w:val="Hyperlink"/>
            <w:rFonts w:asciiTheme="majorHAnsi" w:hAnsiTheme="majorHAnsi" w:cstheme="majorHAnsi"/>
            <w:b/>
            <w:bCs/>
            <w:sz w:val="24"/>
            <w:szCs w:val="24"/>
          </w:rPr>
          <w:t>https://www.ncbi.nlm.nih.gov/pmc/articles/PMC10635391/</w:t>
        </w:r>
      </w:hyperlink>
    </w:p>
    <w:p w14:paraId="5493A7AA" w14:textId="0494FE47" w:rsidR="00B81946" w:rsidRPr="00BE2B58" w:rsidRDefault="00BE2B58" w:rsidP="00C81102">
      <w:pPr>
        <w:pStyle w:val="ListParagraph"/>
        <w:numPr>
          <w:ilvl w:val="0"/>
          <w:numId w:val="14"/>
        </w:numPr>
        <w:spacing w:after="0" w:line="240" w:lineRule="auto"/>
        <w:rPr>
          <w:rFonts w:asciiTheme="majorHAnsi" w:hAnsiTheme="majorHAnsi" w:cstheme="majorHAnsi"/>
          <w:b/>
          <w:bCs/>
          <w:sz w:val="24"/>
          <w:szCs w:val="24"/>
          <w:u w:val="single"/>
        </w:rPr>
      </w:pPr>
      <w:hyperlink r:id="rId9" w:history="1">
        <w:r w:rsidRPr="00C5778D">
          <w:rPr>
            <w:rStyle w:val="Hyperlink"/>
            <w:rFonts w:asciiTheme="majorHAnsi" w:hAnsiTheme="majorHAnsi" w:cstheme="majorHAnsi"/>
            <w:b/>
            <w:bCs/>
          </w:rPr>
          <w:t>https://www.ncbi.nlm.nih.gov/pmc/articles/PMC10716777/</w:t>
        </w:r>
      </w:hyperlink>
    </w:p>
    <w:p w14:paraId="6EE531E5" w14:textId="77777777" w:rsidR="00BE2B58" w:rsidRPr="004208B6" w:rsidRDefault="00BE2B58" w:rsidP="00BE2B58">
      <w:pPr>
        <w:pStyle w:val="ListParagraph"/>
        <w:spacing w:after="0" w:line="240" w:lineRule="auto"/>
        <w:rPr>
          <w:rFonts w:asciiTheme="majorHAnsi" w:hAnsiTheme="majorHAnsi" w:cstheme="majorHAnsi"/>
          <w:b/>
          <w:bCs/>
          <w:sz w:val="24"/>
          <w:szCs w:val="24"/>
          <w:u w:val="single"/>
        </w:rPr>
      </w:pPr>
    </w:p>
    <w:p w14:paraId="4859B9BC" w14:textId="3F93FE39" w:rsidR="00F432CE" w:rsidRPr="00F432CE" w:rsidRDefault="00F432CE" w:rsidP="00C81102">
      <w:pPr>
        <w:spacing w:after="0" w:line="480" w:lineRule="auto"/>
        <w:ind w:left="720" w:hanging="720"/>
        <w:mirrorIndents/>
        <w:rPr>
          <w:rFonts w:cstheme="minorHAnsi"/>
        </w:rPr>
      </w:pPr>
    </w:p>
    <w:sectPr w:rsidR="00F432CE" w:rsidRPr="00F432CE" w:rsidSect="001F6D3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846E" w14:textId="77777777" w:rsidR="008A584B" w:rsidRDefault="008A584B" w:rsidP="00F432CE">
      <w:pPr>
        <w:spacing w:after="0" w:line="240" w:lineRule="auto"/>
      </w:pPr>
      <w:r>
        <w:separator/>
      </w:r>
    </w:p>
  </w:endnote>
  <w:endnote w:type="continuationSeparator" w:id="0">
    <w:p w14:paraId="06FED622" w14:textId="77777777" w:rsidR="008A584B" w:rsidRDefault="008A584B" w:rsidP="00F4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2847" w14:textId="77777777" w:rsidR="008A584B" w:rsidRDefault="008A584B" w:rsidP="00F432CE">
      <w:pPr>
        <w:spacing w:after="0" w:line="240" w:lineRule="auto"/>
      </w:pPr>
      <w:r>
        <w:separator/>
      </w:r>
    </w:p>
  </w:footnote>
  <w:footnote w:type="continuationSeparator" w:id="0">
    <w:p w14:paraId="426EB9C4" w14:textId="77777777" w:rsidR="008A584B" w:rsidRDefault="008A584B" w:rsidP="00F43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13C2" w14:textId="17A57C64" w:rsidR="00B20882" w:rsidRPr="00BD40BF" w:rsidRDefault="00171E5E" w:rsidP="00BD40BF">
    <w:pPr>
      <w:spacing w:before="14"/>
      <w:ind w:left="20"/>
      <w:rPr>
        <w:szCs w:val="32"/>
      </w:rPr>
    </w:pPr>
    <w:r>
      <w:rPr>
        <w:color w:val="231F20"/>
        <w:szCs w:val="32"/>
      </w:rPr>
      <w:t>CONTENT MANAGEMENT IN HEALTHCARE</w:t>
    </w:r>
    <w:r w:rsidR="00B20882">
      <w:rPr>
        <w:color w:val="231F20"/>
        <w:szCs w:val="32"/>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sdt>
      <w:sdtPr>
        <w:id w:val="-2146419912"/>
        <w:docPartObj>
          <w:docPartGallery w:val="Page Numbers (Top of Page)"/>
          <w:docPartUnique/>
        </w:docPartObj>
      </w:sdtPr>
      <w:sdtEndPr>
        <w:rPr>
          <w:noProof/>
        </w:rPr>
      </w:sdtEndPr>
      <w:sdtContent>
        <w:r w:rsidR="00B20882">
          <w:fldChar w:fldCharType="begin"/>
        </w:r>
        <w:r w:rsidR="00B20882">
          <w:instrText xml:space="preserve"> PAGE   \* MERGEFORMAT </w:instrText>
        </w:r>
        <w:r w:rsidR="00B20882">
          <w:fldChar w:fldCharType="separate"/>
        </w:r>
        <w:r w:rsidR="00B20882">
          <w:rPr>
            <w:noProof/>
          </w:rPr>
          <w:t>23</w:t>
        </w:r>
        <w:r w:rsidR="00B20882">
          <w:rPr>
            <w:noProof/>
          </w:rPr>
          <w:fldChar w:fldCharType="end"/>
        </w:r>
      </w:sdtContent>
    </w:sdt>
  </w:p>
  <w:p w14:paraId="4756C108" w14:textId="77777777" w:rsidR="00B20882" w:rsidRPr="00BD40BF" w:rsidRDefault="00B20882" w:rsidP="00F432CE">
    <w:pPr>
      <w:spacing w:before="14"/>
      <w:ind w:left="20"/>
      <w:rPr>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C01"/>
    <w:multiLevelType w:val="hybridMultilevel"/>
    <w:tmpl w:val="DA244636"/>
    <w:lvl w:ilvl="0" w:tplc="E8327860">
      <w:start w:val="1"/>
      <w:numFmt w:val="decimal"/>
      <w:lvlText w:val="%1."/>
      <w:lvlJc w:val="left"/>
      <w:pPr>
        <w:ind w:left="1080" w:hanging="360"/>
      </w:pPr>
      <w:rPr>
        <w:rFonts w:asciiTheme="minorHAnsi" w:eastAsiaTheme="minorHAnsi" w:hAnsiTheme="minorHAnsi" w:cstheme="minorHAns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A50FA3"/>
    <w:multiLevelType w:val="hybridMultilevel"/>
    <w:tmpl w:val="219A7198"/>
    <w:lvl w:ilvl="0" w:tplc="6EDEAB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64F66"/>
    <w:multiLevelType w:val="multilevel"/>
    <w:tmpl w:val="626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D1D3D"/>
    <w:multiLevelType w:val="multilevel"/>
    <w:tmpl w:val="C6564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50A3C00"/>
    <w:multiLevelType w:val="multilevel"/>
    <w:tmpl w:val="1A1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A32CD"/>
    <w:multiLevelType w:val="hybridMultilevel"/>
    <w:tmpl w:val="9CAAC23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B12828"/>
    <w:multiLevelType w:val="multilevel"/>
    <w:tmpl w:val="742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95AB5"/>
    <w:multiLevelType w:val="hybridMultilevel"/>
    <w:tmpl w:val="40E02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411584"/>
    <w:multiLevelType w:val="hybridMultilevel"/>
    <w:tmpl w:val="50DEE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56F8E"/>
    <w:multiLevelType w:val="multilevel"/>
    <w:tmpl w:val="C1FA42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0687589"/>
    <w:multiLevelType w:val="hybridMultilevel"/>
    <w:tmpl w:val="8B4A1B66"/>
    <w:lvl w:ilvl="0" w:tplc="ECE489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9D31D1"/>
    <w:multiLevelType w:val="multilevel"/>
    <w:tmpl w:val="933AA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210D5"/>
    <w:multiLevelType w:val="multilevel"/>
    <w:tmpl w:val="D4FA2C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8050408"/>
    <w:multiLevelType w:val="multilevel"/>
    <w:tmpl w:val="BD3A12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AC16440"/>
    <w:multiLevelType w:val="multilevel"/>
    <w:tmpl w:val="61AED0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03E7587"/>
    <w:multiLevelType w:val="multilevel"/>
    <w:tmpl w:val="152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D68E4"/>
    <w:multiLevelType w:val="hybridMultilevel"/>
    <w:tmpl w:val="5E6C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1528133">
    <w:abstractNumId w:val="3"/>
  </w:num>
  <w:num w:numId="2" w16cid:durableId="924845910">
    <w:abstractNumId w:val="12"/>
  </w:num>
  <w:num w:numId="3" w16cid:durableId="298807324">
    <w:abstractNumId w:val="9"/>
  </w:num>
  <w:num w:numId="4" w16cid:durableId="596716938">
    <w:abstractNumId w:val="13"/>
  </w:num>
  <w:num w:numId="5" w16cid:durableId="1308122149">
    <w:abstractNumId w:val="14"/>
  </w:num>
  <w:num w:numId="6" w16cid:durableId="1035234685">
    <w:abstractNumId w:val="8"/>
  </w:num>
  <w:num w:numId="7" w16cid:durableId="1980763347">
    <w:abstractNumId w:val="6"/>
  </w:num>
  <w:num w:numId="8" w16cid:durableId="883058566">
    <w:abstractNumId w:val="15"/>
  </w:num>
  <w:num w:numId="9" w16cid:durableId="1170829563">
    <w:abstractNumId w:val="2"/>
  </w:num>
  <w:num w:numId="10" w16cid:durableId="1062674009">
    <w:abstractNumId w:val="4"/>
  </w:num>
  <w:num w:numId="11" w16cid:durableId="1671525034">
    <w:abstractNumId w:val="11"/>
  </w:num>
  <w:num w:numId="12" w16cid:durableId="1395620058">
    <w:abstractNumId w:val="0"/>
  </w:num>
  <w:num w:numId="13" w16cid:durableId="1530530420">
    <w:abstractNumId w:val="1"/>
  </w:num>
  <w:num w:numId="14" w16cid:durableId="613679755">
    <w:abstractNumId w:val="10"/>
  </w:num>
  <w:num w:numId="15" w16cid:durableId="1880625090">
    <w:abstractNumId w:val="7"/>
  </w:num>
  <w:num w:numId="16" w16cid:durableId="491677501">
    <w:abstractNumId w:val="5"/>
  </w:num>
  <w:num w:numId="17" w16cid:durableId="14606060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5B"/>
    <w:rsid w:val="0000115E"/>
    <w:rsid w:val="000077D8"/>
    <w:rsid w:val="00017DC0"/>
    <w:rsid w:val="00022B0E"/>
    <w:rsid w:val="000376A2"/>
    <w:rsid w:val="00042687"/>
    <w:rsid w:val="00060905"/>
    <w:rsid w:val="00063B22"/>
    <w:rsid w:val="0006407E"/>
    <w:rsid w:val="00085EA0"/>
    <w:rsid w:val="00087350"/>
    <w:rsid w:val="000B0353"/>
    <w:rsid w:val="000B7AC8"/>
    <w:rsid w:val="000D0453"/>
    <w:rsid w:val="000D1A79"/>
    <w:rsid w:val="000D2054"/>
    <w:rsid w:val="000E5260"/>
    <w:rsid w:val="00100DDF"/>
    <w:rsid w:val="00146089"/>
    <w:rsid w:val="00164BCA"/>
    <w:rsid w:val="00171E5E"/>
    <w:rsid w:val="00172419"/>
    <w:rsid w:val="001A7F34"/>
    <w:rsid w:val="001B28E3"/>
    <w:rsid w:val="001C0732"/>
    <w:rsid w:val="001C6A50"/>
    <w:rsid w:val="001D3999"/>
    <w:rsid w:val="001D408F"/>
    <w:rsid w:val="001F6D30"/>
    <w:rsid w:val="00200211"/>
    <w:rsid w:val="00216D00"/>
    <w:rsid w:val="00227E1E"/>
    <w:rsid w:val="00282B9A"/>
    <w:rsid w:val="002863A7"/>
    <w:rsid w:val="002A2B06"/>
    <w:rsid w:val="002E57E9"/>
    <w:rsid w:val="002F2710"/>
    <w:rsid w:val="002F5134"/>
    <w:rsid w:val="003037C4"/>
    <w:rsid w:val="0030714B"/>
    <w:rsid w:val="0031115E"/>
    <w:rsid w:val="003153DB"/>
    <w:rsid w:val="0032447A"/>
    <w:rsid w:val="00337F5D"/>
    <w:rsid w:val="0034247B"/>
    <w:rsid w:val="0035083C"/>
    <w:rsid w:val="00362BCA"/>
    <w:rsid w:val="00372417"/>
    <w:rsid w:val="0038298F"/>
    <w:rsid w:val="00385462"/>
    <w:rsid w:val="003B245B"/>
    <w:rsid w:val="003D07D1"/>
    <w:rsid w:val="003D5728"/>
    <w:rsid w:val="003F794D"/>
    <w:rsid w:val="00421FB5"/>
    <w:rsid w:val="00434D09"/>
    <w:rsid w:val="00472E6A"/>
    <w:rsid w:val="00494F35"/>
    <w:rsid w:val="004A02B5"/>
    <w:rsid w:val="004A0913"/>
    <w:rsid w:val="004A211F"/>
    <w:rsid w:val="004A2FFE"/>
    <w:rsid w:val="004A7E66"/>
    <w:rsid w:val="004B5F3C"/>
    <w:rsid w:val="004D063D"/>
    <w:rsid w:val="004E41BC"/>
    <w:rsid w:val="004F10F1"/>
    <w:rsid w:val="0051567A"/>
    <w:rsid w:val="00516B9E"/>
    <w:rsid w:val="005840CA"/>
    <w:rsid w:val="00587EB5"/>
    <w:rsid w:val="00597E22"/>
    <w:rsid w:val="005A06C1"/>
    <w:rsid w:val="005E5119"/>
    <w:rsid w:val="00606E33"/>
    <w:rsid w:val="00610FE2"/>
    <w:rsid w:val="006230DB"/>
    <w:rsid w:val="0064237B"/>
    <w:rsid w:val="006521AA"/>
    <w:rsid w:val="00661625"/>
    <w:rsid w:val="00687F53"/>
    <w:rsid w:val="00694DCB"/>
    <w:rsid w:val="006A05A4"/>
    <w:rsid w:val="006C6F3F"/>
    <w:rsid w:val="006D640E"/>
    <w:rsid w:val="006F3A00"/>
    <w:rsid w:val="006F40DF"/>
    <w:rsid w:val="00702936"/>
    <w:rsid w:val="00704E05"/>
    <w:rsid w:val="00706C62"/>
    <w:rsid w:val="007214BE"/>
    <w:rsid w:val="007342FA"/>
    <w:rsid w:val="00736EC5"/>
    <w:rsid w:val="00750100"/>
    <w:rsid w:val="00751A65"/>
    <w:rsid w:val="00753584"/>
    <w:rsid w:val="00772B43"/>
    <w:rsid w:val="007734C2"/>
    <w:rsid w:val="0077724E"/>
    <w:rsid w:val="007811D7"/>
    <w:rsid w:val="007D402E"/>
    <w:rsid w:val="007E2DCB"/>
    <w:rsid w:val="007E44D0"/>
    <w:rsid w:val="007F3F8D"/>
    <w:rsid w:val="00844A8C"/>
    <w:rsid w:val="0084761E"/>
    <w:rsid w:val="00867454"/>
    <w:rsid w:val="00876084"/>
    <w:rsid w:val="008849C0"/>
    <w:rsid w:val="008A584B"/>
    <w:rsid w:val="008C6F3F"/>
    <w:rsid w:val="008E25D1"/>
    <w:rsid w:val="008E523B"/>
    <w:rsid w:val="008E5902"/>
    <w:rsid w:val="00907F88"/>
    <w:rsid w:val="00912BB8"/>
    <w:rsid w:val="00925DA9"/>
    <w:rsid w:val="009429CE"/>
    <w:rsid w:val="009A1118"/>
    <w:rsid w:val="009B3FB9"/>
    <w:rsid w:val="009D2F7B"/>
    <w:rsid w:val="009E5C33"/>
    <w:rsid w:val="009E7B7C"/>
    <w:rsid w:val="009F7B1B"/>
    <w:rsid w:val="00A10B8F"/>
    <w:rsid w:val="00A3271D"/>
    <w:rsid w:val="00A51894"/>
    <w:rsid w:val="00A52BAD"/>
    <w:rsid w:val="00AC2A61"/>
    <w:rsid w:val="00AC5320"/>
    <w:rsid w:val="00AD47B9"/>
    <w:rsid w:val="00AD580F"/>
    <w:rsid w:val="00AE1846"/>
    <w:rsid w:val="00AF6115"/>
    <w:rsid w:val="00B20882"/>
    <w:rsid w:val="00B464F9"/>
    <w:rsid w:val="00B46E9E"/>
    <w:rsid w:val="00B52A70"/>
    <w:rsid w:val="00B548AF"/>
    <w:rsid w:val="00B63027"/>
    <w:rsid w:val="00B667CC"/>
    <w:rsid w:val="00B76B06"/>
    <w:rsid w:val="00B81946"/>
    <w:rsid w:val="00B971C8"/>
    <w:rsid w:val="00BD40BF"/>
    <w:rsid w:val="00BD6AB9"/>
    <w:rsid w:val="00BE0675"/>
    <w:rsid w:val="00BE2B58"/>
    <w:rsid w:val="00BE2EBB"/>
    <w:rsid w:val="00BF242C"/>
    <w:rsid w:val="00C16A81"/>
    <w:rsid w:val="00C176C1"/>
    <w:rsid w:val="00C22D78"/>
    <w:rsid w:val="00C254A8"/>
    <w:rsid w:val="00C311F9"/>
    <w:rsid w:val="00C74AB7"/>
    <w:rsid w:val="00C81102"/>
    <w:rsid w:val="00C81ED7"/>
    <w:rsid w:val="00CC5D6A"/>
    <w:rsid w:val="00CD2A41"/>
    <w:rsid w:val="00CF622A"/>
    <w:rsid w:val="00D2535F"/>
    <w:rsid w:val="00D422FE"/>
    <w:rsid w:val="00D73037"/>
    <w:rsid w:val="00D7679D"/>
    <w:rsid w:val="00D820A3"/>
    <w:rsid w:val="00D9014F"/>
    <w:rsid w:val="00DA1356"/>
    <w:rsid w:val="00DD5837"/>
    <w:rsid w:val="00DF4678"/>
    <w:rsid w:val="00DF68F0"/>
    <w:rsid w:val="00E5368F"/>
    <w:rsid w:val="00E74F03"/>
    <w:rsid w:val="00E942BA"/>
    <w:rsid w:val="00E96BCB"/>
    <w:rsid w:val="00E96CC0"/>
    <w:rsid w:val="00EA695E"/>
    <w:rsid w:val="00EB6037"/>
    <w:rsid w:val="00EB71A1"/>
    <w:rsid w:val="00EC68FF"/>
    <w:rsid w:val="00EE1AC7"/>
    <w:rsid w:val="00F24C4A"/>
    <w:rsid w:val="00F24DCA"/>
    <w:rsid w:val="00F35E5B"/>
    <w:rsid w:val="00F404C4"/>
    <w:rsid w:val="00F40AC9"/>
    <w:rsid w:val="00F430DB"/>
    <w:rsid w:val="00F432CE"/>
    <w:rsid w:val="00F71F56"/>
    <w:rsid w:val="00F8069D"/>
    <w:rsid w:val="00F84158"/>
    <w:rsid w:val="00FB2E9A"/>
    <w:rsid w:val="00FB387C"/>
    <w:rsid w:val="00FE7AAF"/>
    <w:rsid w:val="00FF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D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30"/>
  </w:style>
  <w:style w:type="paragraph" w:styleId="Heading1">
    <w:name w:val="heading 1"/>
    <w:basedOn w:val="Normal"/>
    <w:next w:val="Normal"/>
    <w:link w:val="Heading1Char"/>
    <w:uiPriority w:val="9"/>
    <w:qFormat/>
    <w:rsid w:val="00F404C4"/>
    <w:pPr>
      <w:keepNext/>
      <w:keepLines/>
      <w:widowControl w:val="0"/>
      <w:spacing w:after="0" w:line="480" w:lineRule="auto"/>
      <w:jc w:val="center"/>
      <w:outlineLvl w:val="0"/>
    </w:pPr>
    <w:rPr>
      <w:rFonts w:eastAsiaTheme="majorEastAsia" w:cstheme="minorHAnsi"/>
      <w:b/>
      <w:szCs w:val="28"/>
      <w:lang w:bidi="en-US"/>
    </w:rPr>
  </w:style>
  <w:style w:type="paragraph" w:styleId="Heading2">
    <w:name w:val="heading 2"/>
    <w:basedOn w:val="Normal"/>
    <w:next w:val="Normal"/>
    <w:link w:val="Heading2Char"/>
    <w:uiPriority w:val="9"/>
    <w:unhideWhenUsed/>
    <w:qFormat/>
    <w:rsid w:val="00F404C4"/>
    <w:pPr>
      <w:keepNext/>
      <w:keepLines/>
      <w:spacing w:after="0" w:line="480" w:lineRule="auto"/>
      <w:outlineLvl w:val="1"/>
    </w:pPr>
    <w:rPr>
      <w:rFonts w:eastAsiaTheme="majorEastAsia" w:cstheme="minorHAnsi"/>
      <w:b/>
      <w:bCs/>
    </w:rPr>
  </w:style>
  <w:style w:type="paragraph" w:styleId="Heading3">
    <w:name w:val="heading 3"/>
    <w:basedOn w:val="Normal"/>
    <w:next w:val="Normal"/>
    <w:link w:val="Heading3Char"/>
    <w:uiPriority w:val="9"/>
    <w:semiHidden/>
    <w:unhideWhenUsed/>
    <w:qFormat/>
    <w:rsid w:val="00F24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640E"/>
    <w:pPr>
      <w:keepNext/>
      <w:keepLines/>
      <w:widowControl w:val="0"/>
      <w:spacing w:after="0" w:line="480" w:lineRule="auto"/>
      <w:outlineLvl w:val="3"/>
    </w:pPr>
    <w:rPr>
      <w:rFonts w:ascii="Times New Roman" w:eastAsiaTheme="majorEastAsia" w:hAnsi="Times New Roman"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C4"/>
    <w:rPr>
      <w:rFonts w:eastAsiaTheme="majorEastAsia" w:cstheme="minorHAnsi"/>
      <w:b/>
      <w:szCs w:val="28"/>
      <w:lang w:bidi="en-U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character" w:styleId="CommentReference">
    <w:name w:val="annotation reference"/>
    <w:basedOn w:val="DefaultParagraphFont"/>
    <w:uiPriority w:val="99"/>
    <w:semiHidden/>
    <w:unhideWhenUsed/>
    <w:rsid w:val="00F432CE"/>
    <w:rPr>
      <w:sz w:val="16"/>
      <w:szCs w:val="16"/>
    </w:rPr>
  </w:style>
  <w:style w:type="paragraph" w:styleId="CommentText">
    <w:name w:val="annotation text"/>
    <w:basedOn w:val="Normal"/>
    <w:link w:val="CommentTextChar"/>
    <w:uiPriority w:val="99"/>
    <w:unhideWhenUsed/>
    <w:rsid w:val="00F432CE"/>
    <w:pPr>
      <w:spacing w:line="240" w:lineRule="auto"/>
    </w:pPr>
    <w:rPr>
      <w:sz w:val="20"/>
      <w:szCs w:val="20"/>
    </w:rPr>
  </w:style>
  <w:style w:type="character" w:customStyle="1" w:styleId="CommentTextChar">
    <w:name w:val="Comment Text Char"/>
    <w:basedOn w:val="DefaultParagraphFont"/>
    <w:link w:val="CommentText"/>
    <w:uiPriority w:val="99"/>
    <w:rsid w:val="00F432CE"/>
    <w:rPr>
      <w:sz w:val="20"/>
      <w:szCs w:val="20"/>
    </w:rPr>
  </w:style>
  <w:style w:type="paragraph" w:styleId="CommentSubject">
    <w:name w:val="annotation subject"/>
    <w:basedOn w:val="CommentText"/>
    <w:next w:val="CommentText"/>
    <w:link w:val="CommentSubjectChar"/>
    <w:uiPriority w:val="99"/>
    <w:semiHidden/>
    <w:unhideWhenUsed/>
    <w:rsid w:val="00F432CE"/>
    <w:rPr>
      <w:b/>
      <w:bCs/>
    </w:rPr>
  </w:style>
  <w:style w:type="character" w:customStyle="1" w:styleId="CommentSubjectChar">
    <w:name w:val="Comment Subject Char"/>
    <w:basedOn w:val="CommentTextChar"/>
    <w:link w:val="CommentSubject"/>
    <w:uiPriority w:val="99"/>
    <w:semiHidden/>
    <w:rsid w:val="00F432CE"/>
    <w:rPr>
      <w:b/>
      <w:bCs/>
      <w:sz w:val="20"/>
      <w:szCs w:val="20"/>
    </w:rPr>
  </w:style>
  <w:style w:type="paragraph" w:styleId="BalloonText">
    <w:name w:val="Balloon Text"/>
    <w:basedOn w:val="Normal"/>
    <w:link w:val="BalloonTextChar"/>
    <w:uiPriority w:val="99"/>
    <w:semiHidden/>
    <w:unhideWhenUsed/>
    <w:rsid w:val="00F43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2CE"/>
    <w:rPr>
      <w:rFonts w:ascii="Segoe UI" w:hAnsi="Segoe UI" w:cs="Segoe UI"/>
      <w:sz w:val="18"/>
      <w:szCs w:val="18"/>
    </w:rPr>
  </w:style>
  <w:style w:type="character" w:styleId="Hyperlink">
    <w:name w:val="Hyperlink"/>
    <w:basedOn w:val="DefaultParagraphFont"/>
    <w:uiPriority w:val="99"/>
    <w:unhideWhenUsed/>
    <w:rsid w:val="00F432CE"/>
    <w:rPr>
      <w:color w:val="0563C1" w:themeColor="hyperlink"/>
      <w:u w:val="single"/>
    </w:rPr>
  </w:style>
  <w:style w:type="character" w:customStyle="1" w:styleId="UnresolvedMention1">
    <w:name w:val="Unresolved Mention1"/>
    <w:basedOn w:val="DefaultParagraphFont"/>
    <w:uiPriority w:val="99"/>
    <w:semiHidden/>
    <w:unhideWhenUsed/>
    <w:rsid w:val="00F432CE"/>
    <w:rPr>
      <w:color w:val="605E5C"/>
      <w:shd w:val="clear" w:color="auto" w:fill="E1DFDD"/>
    </w:rPr>
  </w:style>
  <w:style w:type="character" w:customStyle="1" w:styleId="Heading2Char">
    <w:name w:val="Heading 2 Char"/>
    <w:basedOn w:val="DefaultParagraphFont"/>
    <w:link w:val="Heading2"/>
    <w:uiPriority w:val="9"/>
    <w:rsid w:val="00F404C4"/>
    <w:rPr>
      <w:rFonts w:eastAsiaTheme="majorEastAsia" w:cstheme="minorHAnsi"/>
      <w:b/>
      <w:bCs/>
    </w:rPr>
  </w:style>
  <w:style w:type="paragraph" w:styleId="FootnoteText">
    <w:name w:val="footnote text"/>
    <w:basedOn w:val="Normal"/>
    <w:link w:val="FootnoteTextChar"/>
    <w:uiPriority w:val="99"/>
    <w:semiHidden/>
    <w:unhideWhenUsed/>
    <w:rsid w:val="00F432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2CE"/>
    <w:rPr>
      <w:sz w:val="20"/>
      <w:szCs w:val="20"/>
    </w:rPr>
  </w:style>
  <w:style w:type="character" w:styleId="FootnoteReference">
    <w:name w:val="footnote reference"/>
    <w:basedOn w:val="DefaultParagraphFont"/>
    <w:uiPriority w:val="99"/>
    <w:semiHidden/>
    <w:unhideWhenUsed/>
    <w:rsid w:val="00F432CE"/>
    <w:rPr>
      <w:vertAlign w:val="superscript"/>
    </w:rPr>
  </w:style>
  <w:style w:type="paragraph" w:styleId="Header">
    <w:name w:val="header"/>
    <w:basedOn w:val="Normal"/>
    <w:link w:val="HeaderChar"/>
    <w:uiPriority w:val="99"/>
    <w:unhideWhenUsed/>
    <w:rsid w:val="00F43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2CE"/>
  </w:style>
  <w:style w:type="paragraph" w:styleId="Footer">
    <w:name w:val="footer"/>
    <w:basedOn w:val="Normal"/>
    <w:link w:val="FooterChar"/>
    <w:uiPriority w:val="99"/>
    <w:unhideWhenUsed/>
    <w:rsid w:val="00F43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2CE"/>
  </w:style>
  <w:style w:type="character" w:styleId="FollowedHyperlink">
    <w:name w:val="FollowedHyperlink"/>
    <w:basedOn w:val="DefaultParagraphFont"/>
    <w:uiPriority w:val="99"/>
    <w:semiHidden/>
    <w:unhideWhenUsed/>
    <w:rsid w:val="00706C62"/>
    <w:rPr>
      <w:color w:val="954F72" w:themeColor="followedHyperlink"/>
      <w:u w:val="single"/>
    </w:rPr>
  </w:style>
  <w:style w:type="character" w:customStyle="1" w:styleId="Heading3Char">
    <w:name w:val="Heading 3 Char"/>
    <w:basedOn w:val="DefaultParagraphFont"/>
    <w:link w:val="Heading3"/>
    <w:uiPriority w:val="9"/>
    <w:semiHidden/>
    <w:rsid w:val="00F24C4A"/>
    <w:rPr>
      <w:rFonts w:asciiTheme="majorHAnsi" w:eastAsiaTheme="majorEastAsia" w:hAnsiTheme="majorHAnsi" w:cstheme="majorBidi"/>
      <w:color w:val="1F3763" w:themeColor="accent1" w:themeShade="7F"/>
      <w:sz w:val="24"/>
      <w:szCs w:val="24"/>
    </w:rPr>
  </w:style>
  <w:style w:type="character" w:customStyle="1" w:styleId="sourcelocation">
    <w:name w:val="sourcelocation"/>
    <w:basedOn w:val="DefaultParagraphFont"/>
    <w:rsid w:val="00F430DB"/>
  </w:style>
  <w:style w:type="character" w:customStyle="1" w:styleId="highlight">
    <w:name w:val="highlight"/>
    <w:basedOn w:val="DefaultParagraphFont"/>
    <w:rsid w:val="00B63027"/>
  </w:style>
  <w:style w:type="paragraph" w:styleId="Revision">
    <w:name w:val="Revision"/>
    <w:hidden/>
    <w:uiPriority w:val="99"/>
    <w:semiHidden/>
    <w:rsid w:val="00EB71A1"/>
    <w:pPr>
      <w:spacing w:after="0" w:line="240" w:lineRule="auto"/>
    </w:pPr>
  </w:style>
  <w:style w:type="character" w:styleId="UnresolvedMention">
    <w:name w:val="Unresolved Mention"/>
    <w:basedOn w:val="DefaultParagraphFont"/>
    <w:uiPriority w:val="99"/>
    <w:semiHidden/>
    <w:unhideWhenUsed/>
    <w:rsid w:val="00D2535F"/>
    <w:rPr>
      <w:color w:val="605E5C"/>
      <w:shd w:val="clear" w:color="auto" w:fill="E1DFDD"/>
    </w:rPr>
  </w:style>
  <w:style w:type="paragraph" w:styleId="NormalWeb">
    <w:name w:val="Normal (Web)"/>
    <w:basedOn w:val="Normal"/>
    <w:uiPriority w:val="99"/>
    <w:unhideWhenUsed/>
    <w:rsid w:val="009E7B7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E7B7C"/>
    <w:rPr>
      <w:b/>
      <w:bCs/>
    </w:rPr>
  </w:style>
  <w:style w:type="paragraph" w:styleId="ListParagraph">
    <w:name w:val="List Paragraph"/>
    <w:basedOn w:val="Normal"/>
    <w:uiPriority w:val="34"/>
    <w:qFormat/>
    <w:rsid w:val="009E7B7C"/>
    <w:pPr>
      <w:ind w:left="720"/>
      <w:contextualSpacing/>
    </w:pPr>
  </w:style>
  <w:style w:type="character" w:styleId="HTMLCode">
    <w:name w:val="HTML Code"/>
    <w:basedOn w:val="DefaultParagraphFont"/>
    <w:uiPriority w:val="99"/>
    <w:semiHidden/>
    <w:unhideWhenUsed/>
    <w:rsid w:val="00B81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4840">
      <w:bodyDiv w:val="1"/>
      <w:marLeft w:val="0"/>
      <w:marRight w:val="0"/>
      <w:marTop w:val="0"/>
      <w:marBottom w:val="0"/>
      <w:divBdr>
        <w:top w:val="none" w:sz="0" w:space="0" w:color="auto"/>
        <w:left w:val="none" w:sz="0" w:space="0" w:color="auto"/>
        <w:bottom w:val="none" w:sz="0" w:space="0" w:color="auto"/>
        <w:right w:val="none" w:sz="0" w:space="0" w:color="auto"/>
      </w:divBdr>
    </w:div>
    <w:div w:id="596641273">
      <w:bodyDiv w:val="1"/>
      <w:marLeft w:val="0"/>
      <w:marRight w:val="0"/>
      <w:marTop w:val="0"/>
      <w:marBottom w:val="0"/>
      <w:divBdr>
        <w:top w:val="none" w:sz="0" w:space="0" w:color="auto"/>
        <w:left w:val="none" w:sz="0" w:space="0" w:color="auto"/>
        <w:bottom w:val="none" w:sz="0" w:space="0" w:color="auto"/>
        <w:right w:val="none" w:sz="0" w:space="0" w:color="auto"/>
      </w:divBdr>
    </w:div>
    <w:div w:id="658387813">
      <w:bodyDiv w:val="1"/>
      <w:marLeft w:val="0"/>
      <w:marRight w:val="0"/>
      <w:marTop w:val="0"/>
      <w:marBottom w:val="0"/>
      <w:divBdr>
        <w:top w:val="none" w:sz="0" w:space="0" w:color="auto"/>
        <w:left w:val="none" w:sz="0" w:space="0" w:color="auto"/>
        <w:bottom w:val="none" w:sz="0" w:space="0" w:color="auto"/>
        <w:right w:val="none" w:sz="0" w:space="0" w:color="auto"/>
      </w:divBdr>
    </w:div>
    <w:div w:id="892234020">
      <w:bodyDiv w:val="1"/>
      <w:marLeft w:val="0"/>
      <w:marRight w:val="0"/>
      <w:marTop w:val="0"/>
      <w:marBottom w:val="0"/>
      <w:divBdr>
        <w:top w:val="none" w:sz="0" w:space="0" w:color="auto"/>
        <w:left w:val="none" w:sz="0" w:space="0" w:color="auto"/>
        <w:bottom w:val="none" w:sz="0" w:space="0" w:color="auto"/>
        <w:right w:val="none" w:sz="0" w:space="0" w:color="auto"/>
      </w:divBdr>
    </w:div>
    <w:div w:id="1228566060">
      <w:bodyDiv w:val="1"/>
      <w:marLeft w:val="0"/>
      <w:marRight w:val="0"/>
      <w:marTop w:val="0"/>
      <w:marBottom w:val="0"/>
      <w:divBdr>
        <w:top w:val="none" w:sz="0" w:space="0" w:color="auto"/>
        <w:left w:val="none" w:sz="0" w:space="0" w:color="auto"/>
        <w:bottom w:val="none" w:sz="0" w:space="0" w:color="auto"/>
        <w:right w:val="none" w:sz="0" w:space="0" w:color="auto"/>
      </w:divBdr>
    </w:div>
    <w:div w:id="1257059384">
      <w:bodyDiv w:val="1"/>
      <w:marLeft w:val="0"/>
      <w:marRight w:val="0"/>
      <w:marTop w:val="0"/>
      <w:marBottom w:val="0"/>
      <w:divBdr>
        <w:top w:val="none" w:sz="0" w:space="0" w:color="auto"/>
        <w:left w:val="none" w:sz="0" w:space="0" w:color="auto"/>
        <w:bottom w:val="none" w:sz="0" w:space="0" w:color="auto"/>
        <w:right w:val="none" w:sz="0" w:space="0" w:color="auto"/>
      </w:divBdr>
      <w:divsChild>
        <w:div w:id="1510217926">
          <w:marLeft w:val="0"/>
          <w:marRight w:val="0"/>
          <w:marTop w:val="0"/>
          <w:marBottom w:val="0"/>
          <w:divBdr>
            <w:top w:val="none" w:sz="0" w:space="0" w:color="auto"/>
            <w:left w:val="none" w:sz="0" w:space="0" w:color="auto"/>
            <w:bottom w:val="none" w:sz="0" w:space="0" w:color="auto"/>
            <w:right w:val="none" w:sz="0" w:space="0" w:color="auto"/>
          </w:divBdr>
        </w:div>
        <w:div w:id="1998797669">
          <w:marLeft w:val="0"/>
          <w:marRight w:val="0"/>
          <w:marTop w:val="0"/>
          <w:marBottom w:val="0"/>
          <w:divBdr>
            <w:top w:val="none" w:sz="0" w:space="0" w:color="auto"/>
            <w:left w:val="none" w:sz="0" w:space="0" w:color="auto"/>
            <w:bottom w:val="none" w:sz="0" w:space="0" w:color="auto"/>
            <w:right w:val="none" w:sz="0" w:space="0" w:color="auto"/>
          </w:divBdr>
        </w:div>
        <w:div w:id="540553229">
          <w:marLeft w:val="0"/>
          <w:marRight w:val="0"/>
          <w:marTop w:val="0"/>
          <w:marBottom w:val="0"/>
          <w:divBdr>
            <w:top w:val="none" w:sz="0" w:space="0" w:color="auto"/>
            <w:left w:val="none" w:sz="0" w:space="0" w:color="auto"/>
            <w:bottom w:val="none" w:sz="0" w:space="0" w:color="auto"/>
            <w:right w:val="none" w:sz="0" w:space="0" w:color="auto"/>
          </w:divBdr>
        </w:div>
        <w:div w:id="2048600358">
          <w:marLeft w:val="0"/>
          <w:marRight w:val="0"/>
          <w:marTop w:val="0"/>
          <w:marBottom w:val="0"/>
          <w:divBdr>
            <w:top w:val="none" w:sz="0" w:space="0" w:color="auto"/>
            <w:left w:val="none" w:sz="0" w:space="0" w:color="auto"/>
            <w:bottom w:val="none" w:sz="0" w:space="0" w:color="auto"/>
            <w:right w:val="none" w:sz="0" w:space="0" w:color="auto"/>
          </w:divBdr>
        </w:div>
        <w:div w:id="450247759">
          <w:marLeft w:val="0"/>
          <w:marRight w:val="0"/>
          <w:marTop w:val="0"/>
          <w:marBottom w:val="0"/>
          <w:divBdr>
            <w:top w:val="none" w:sz="0" w:space="0" w:color="auto"/>
            <w:left w:val="none" w:sz="0" w:space="0" w:color="auto"/>
            <w:bottom w:val="none" w:sz="0" w:space="0" w:color="auto"/>
            <w:right w:val="none" w:sz="0" w:space="0" w:color="auto"/>
          </w:divBdr>
        </w:div>
        <w:div w:id="762654809">
          <w:marLeft w:val="0"/>
          <w:marRight w:val="0"/>
          <w:marTop w:val="0"/>
          <w:marBottom w:val="0"/>
          <w:divBdr>
            <w:top w:val="none" w:sz="0" w:space="0" w:color="auto"/>
            <w:left w:val="none" w:sz="0" w:space="0" w:color="auto"/>
            <w:bottom w:val="none" w:sz="0" w:space="0" w:color="auto"/>
            <w:right w:val="none" w:sz="0" w:space="0" w:color="auto"/>
          </w:divBdr>
        </w:div>
        <w:div w:id="1736128394">
          <w:marLeft w:val="0"/>
          <w:marRight w:val="0"/>
          <w:marTop w:val="0"/>
          <w:marBottom w:val="0"/>
          <w:divBdr>
            <w:top w:val="none" w:sz="0" w:space="0" w:color="auto"/>
            <w:left w:val="none" w:sz="0" w:space="0" w:color="auto"/>
            <w:bottom w:val="none" w:sz="0" w:space="0" w:color="auto"/>
            <w:right w:val="none" w:sz="0" w:space="0" w:color="auto"/>
          </w:divBdr>
        </w:div>
        <w:div w:id="1033578264">
          <w:marLeft w:val="0"/>
          <w:marRight w:val="0"/>
          <w:marTop w:val="0"/>
          <w:marBottom w:val="0"/>
          <w:divBdr>
            <w:top w:val="none" w:sz="0" w:space="0" w:color="auto"/>
            <w:left w:val="none" w:sz="0" w:space="0" w:color="auto"/>
            <w:bottom w:val="none" w:sz="0" w:space="0" w:color="auto"/>
            <w:right w:val="none" w:sz="0" w:space="0" w:color="auto"/>
          </w:divBdr>
        </w:div>
        <w:div w:id="1336541414">
          <w:marLeft w:val="0"/>
          <w:marRight w:val="0"/>
          <w:marTop w:val="0"/>
          <w:marBottom w:val="0"/>
          <w:divBdr>
            <w:top w:val="none" w:sz="0" w:space="0" w:color="auto"/>
            <w:left w:val="none" w:sz="0" w:space="0" w:color="auto"/>
            <w:bottom w:val="none" w:sz="0" w:space="0" w:color="auto"/>
            <w:right w:val="none" w:sz="0" w:space="0" w:color="auto"/>
          </w:divBdr>
        </w:div>
        <w:div w:id="2117365366">
          <w:marLeft w:val="0"/>
          <w:marRight w:val="0"/>
          <w:marTop w:val="0"/>
          <w:marBottom w:val="0"/>
          <w:divBdr>
            <w:top w:val="none" w:sz="0" w:space="0" w:color="auto"/>
            <w:left w:val="none" w:sz="0" w:space="0" w:color="auto"/>
            <w:bottom w:val="none" w:sz="0" w:space="0" w:color="auto"/>
            <w:right w:val="none" w:sz="0" w:space="0" w:color="auto"/>
          </w:divBdr>
        </w:div>
        <w:div w:id="1229144800">
          <w:marLeft w:val="0"/>
          <w:marRight w:val="0"/>
          <w:marTop w:val="0"/>
          <w:marBottom w:val="0"/>
          <w:divBdr>
            <w:top w:val="none" w:sz="0" w:space="0" w:color="auto"/>
            <w:left w:val="none" w:sz="0" w:space="0" w:color="auto"/>
            <w:bottom w:val="none" w:sz="0" w:space="0" w:color="auto"/>
            <w:right w:val="none" w:sz="0" w:space="0" w:color="auto"/>
          </w:divBdr>
        </w:div>
        <w:div w:id="761024799">
          <w:marLeft w:val="0"/>
          <w:marRight w:val="0"/>
          <w:marTop w:val="0"/>
          <w:marBottom w:val="0"/>
          <w:divBdr>
            <w:top w:val="none" w:sz="0" w:space="0" w:color="auto"/>
            <w:left w:val="none" w:sz="0" w:space="0" w:color="auto"/>
            <w:bottom w:val="none" w:sz="0" w:space="0" w:color="auto"/>
            <w:right w:val="none" w:sz="0" w:space="0" w:color="auto"/>
          </w:divBdr>
        </w:div>
        <w:div w:id="1057624864">
          <w:marLeft w:val="0"/>
          <w:marRight w:val="0"/>
          <w:marTop w:val="0"/>
          <w:marBottom w:val="0"/>
          <w:divBdr>
            <w:top w:val="none" w:sz="0" w:space="0" w:color="auto"/>
            <w:left w:val="none" w:sz="0" w:space="0" w:color="auto"/>
            <w:bottom w:val="none" w:sz="0" w:space="0" w:color="auto"/>
            <w:right w:val="none" w:sz="0" w:space="0" w:color="auto"/>
          </w:divBdr>
        </w:div>
        <w:div w:id="792484754">
          <w:marLeft w:val="0"/>
          <w:marRight w:val="0"/>
          <w:marTop w:val="0"/>
          <w:marBottom w:val="0"/>
          <w:divBdr>
            <w:top w:val="none" w:sz="0" w:space="0" w:color="auto"/>
            <w:left w:val="none" w:sz="0" w:space="0" w:color="auto"/>
            <w:bottom w:val="none" w:sz="0" w:space="0" w:color="auto"/>
            <w:right w:val="none" w:sz="0" w:space="0" w:color="auto"/>
          </w:divBdr>
        </w:div>
        <w:div w:id="200368487">
          <w:marLeft w:val="0"/>
          <w:marRight w:val="0"/>
          <w:marTop w:val="0"/>
          <w:marBottom w:val="0"/>
          <w:divBdr>
            <w:top w:val="none" w:sz="0" w:space="0" w:color="auto"/>
            <w:left w:val="none" w:sz="0" w:space="0" w:color="auto"/>
            <w:bottom w:val="none" w:sz="0" w:space="0" w:color="auto"/>
            <w:right w:val="none" w:sz="0" w:space="0" w:color="auto"/>
          </w:divBdr>
        </w:div>
      </w:divsChild>
    </w:div>
    <w:div w:id="1357272279">
      <w:bodyDiv w:val="1"/>
      <w:marLeft w:val="0"/>
      <w:marRight w:val="0"/>
      <w:marTop w:val="0"/>
      <w:marBottom w:val="0"/>
      <w:divBdr>
        <w:top w:val="none" w:sz="0" w:space="0" w:color="auto"/>
        <w:left w:val="none" w:sz="0" w:space="0" w:color="auto"/>
        <w:bottom w:val="none" w:sz="0" w:space="0" w:color="auto"/>
        <w:right w:val="none" w:sz="0" w:space="0" w:color="auto"/>
      </w:divBdr>
    </w:div>
    <w:div w:id="1580627659">
      <w:bodyDiv w:val="1"/>
      <w:marLeft w:val="0"/>
      <w:marRight w:val="0"/>
      <w:marTop w:val="0"/>
      <w:marBottom w:val="0"/>
      <w:divBdr>
        <w:top w:val="none" w:sz="0" w:space="0" w:color="auto"/>
        <w:left w:val="none" w:sz="0" w:space="0" w:color="auto"/>
        <w:bottom w:val="none" w:sz="0" w:space="0" w:color="auto"/>
        <w:right w:val="none" w:sz="0" w:space="0" w:color="auto"/>
      </w:divBdr>
    </w:div>
    <w:div w:id="1611545081">
      <w:bodyDiv w:val="1"/>
      <w:marLeft w:val="0"/>
      <w:marRight w:val="0"/>
      <w:marTop w:val="0"/>
      <w:marBottom w:val="0"/>
      <w:divBdr>
        <w:top w:val="none" w:sz="0" w:space="0" w:color="auto"/>
        <w:left w:val="none" w:sz="0" w:space="0" w:color="auto"/>
        <w:bottom w:val="none" w:sz="0" w:space="0" w:color="auto"/>
        <w:right w:val="none" w:sz="0" w:space="0" w:color="auto"/>
      </w:divBdr>
    </w:div>
    <w:div w:id="1788310432">
      <w:bodyDiv w:val="1"/>
      <w:marLeft w:val="0"/>
      <w:marRight w:val="0"/>
      <w:marTop w:val="0"/>
      <w:marBottom w:val="0"/>
      <w:divBdr>
        <w:top w:val="none" w:sz="0" w:space="0" w:color="auto"/>
        <w:left w:val="none" w:sz="0" w:space="0" w:color="auto"/>
        <w:bottom w:val="none" w:sz="0" w:space="0" w:color="auto"/>
        <w:right w:val="none" w:sz="0" w:space="0" w:color="auto"/>
      </w:divBdr>
    </w:div>
    <w:div w:id="20892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6353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10716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9CCA-7398-4DF2-8941-D20C2A41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2024-08-15T15:36:00Z</dcterms:created>
  <dcterms:modified xsi:type="dcterms:W3CDTF">2024-08-15T15:52:00Z</dcterms:modified>
</cp:coreProperties>
</file>