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color w:val="666666"/>
          <w:sz w:val="24"/>
          <w:szCs w:val="24"/>
        </w:rPr>
        <w:t xml:space="preserve">PROJECT 1</w:t>
      </w:r>
    </w:p>
    <w:p>
      <w:pPr>
        <w:spacing w:after="200" w:before="200"/>
        <w:jc w:val="center"/>
      </w:pPr>
      <w:r>
        <w:rPr>
          <w:b/>
          <w:bCs/>
          <w:sz w:val="40"/>
          <w:szCs w:val="40"/>
        </w:rPr>
        <w:t xml:space="preserve">Student Performance and Dropout-Risk Prediction System</w:t>
      </w:r>
    </w:p>
    <w:p>
      <w:pPr>
        <w:spacing w:after="400"/>
        <w:jc w:val="center"/>
      </w:pPr>
      <w:r>
        <w:rPr>
          <w:color w:val="444444"/>
          <w:sz w:val="28"/>
          <w:szCs w:val="28"/>
        </w:rPr>
        <w:t xml:space="preserve">Part 2 -- Integration with the MLOps Pipeline: Project Report</w:t>
      </w:r>
    </w:p>
    <w:p>
      <w:pPr>
        <w:spacing w:after="80"/>
        <w:jc w:val="center"/>
      </w:pPr>
      <w:r>
        <w:rPr>
          <w:sz w:val="22"/>
          <w:szCs w:val="22"/>
        </w:rPr>
        <w:t xml:space="preserve">Course: Data Engineering and MLOps</w:t>
      </w:r>
    </w:p>
    <w:p>
      <w:pPr>
        <w:spacing w:after="80"/>
        <w:jc w:val="center"/>
      </w:pPr>
      <w:r>
        <w:rPr>
          <w:sz w:val="22"/>
          <w:szCs w:val="22"/>
        </w:rPr>
        <w:t xml:space="preserve">Mode: Individual Project</w:t>
      </w:r>
    </w:p>
    <w:p>
      <w:pPr>
        <w:spacing w:after="80"/>
        <w:jc w:val="center"/>
      </w:pPr>
      <w:r>
        <w:rPr>
          <w:sz w:val="22"/>
          <w:szCs w:val="22"/>
        </w:rPr>
        <w:t xml:space="preserve">Submitted by: Akshitha</w:t>
      </w:r>
    </w:p>
    <w:p>
      <w:pPr>
        <w:spacing w:after="400"/>
        <w:jc w:val="center"/>
      </w:pPr>
      <w:r>
        <w:rPr>
          <w:sz w:val="22"/>
          <w:szCs w:val="22"/>
        </w:rPr>
        <w:t xml:space="preserve">Part 2 review: first week of November 2026</w:t>
      </w:r>
    </w:p>
    <w:p>
      <w:r>
        <w:br w:type="page"/>
      </w:r>
    </w:p>
    <w:p>
      <w:pPr>
        <w:pStyle w:val="Heading1"/>
        <w:spacing w:after="150" w:before="300"/>
      </w:pPr>
      <w:r>
        <w:t xml:space="preserve">1. Introduction &amp; Part 1 Recap</w:t>
      </w:r>
    </w:p>
    <w:p>
      <w:pPr>
        <w:spacing w:after="120"/>
      </w:pPr>
      <w:r>
        <w:t xml:space="preserve">Part 1 delivered a working data pipeline: a real academic dataset (UCI Student Performance, 1,034 student-subject records) combined with simulated attendance, LMS and assignment exports, validated and cleaned with a rejected-record log, loaded into a SQLite warehouse, and shown in a Streamlit dashboard. Its risk flag was deliberately a rule-based placeholder, not a trained model.</w:t>
      </w:r>
    </w:p>
    <w:p>
      <w:pPr>
        <w:spacing w:after="120"/>
      </w:pPr>
      <w:r>
        <w:t xml:space="preserve">Part 2 builds the MLOps layer on top of that pipeline. It adds a leak-free ML dataset, five candidate models compared against two baselines, experiment tracking and a model registry in MLflow, a FastAPI prediction service, a Docker setup, drift monitoring with explicit retraining criteria, and orchestration through the same Airflow DAG. The code is in the same repository as Part 1 so the whole path from raw files to a monitored model can be re-run with a few commands.</w:t>
      </w:r>
    </w:p>
    <w:p>
      <w:pPr>
        <w:pStyle w:val="Heading2"/>
        <w:spacing w:after="100" w:before="200"/>
      </w:pPr>
      <w:r>
        <w:t xml:space="preserve">1.1 What is new in Part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4700"/>
        <w:gridCol w:w="2400"/>
      </w:tblGrid>
      <w:tr>
        <w:tc>
          <w:tcPr>
            <w:tcW w:type="dxa" w:w="1900"/>
            <w:shd w:fill="D9E2F3" w:val="clear"/>
            <w:tcMar>
              <w:top w:type="dxa" w:w="60"/>
              <w:left w:type="dxa" w:w="100"/>
              <w:bottom w:type="dxa" w:w="60"/>
              <w:right w:type="dxa" w:w="100"/>
            </w:tcMar>
          </w:tcPr>
          <w:p>
            <w:r>
              <w:rPr>
                <w:b/>
                <w:bCs/>
                <w:sz w:val="20"/>
                <w:szCs w:val="20"/>
              </w:rPr>
              <w:t xml:space="preserve">Area</w:t>
            </w:r>
          </w:p>
        </w:tc>
        <w:tc>
          <w:tcPr>
            <w:tcW w:type="dxa" w:w="4700"/>
            <w:shd w:fill="D9E2F3" w:val="clear"/>
            <w:tcMar>
              <w:top w:type="dxa" w:w="60"/>
              <w:left w:type="dxa" w:w="100"/>
              <w:bottom w:type="dxa" w:w="60"/>
              <w:right w:type="dxa" w:w="100"/>
            </w:tcMar>
          </w:tcPr>
          <w:p>
            <w:r>
              <w:rPr>
                <w:b/>
                <w:bCs/>
                <w:sz w:val="20"/>
                <w:szCs w:val="20"/>
              </w:rPr>
              <w:t xml:space="preserve">Deliverable</w:t>
            </w:r>
          </w:p>
        </w:tc>
        <w:tc>
          <w:tcPr>
            <w:tcW w:type="dxa" w:w="2400"/>
            <w:shd w:fill="D9E2F3" w:val="clear"/>
            <w:tcMar>
              <w:top w:type="dxa" w:w="60"/>
              <w:left w:type="dxa" w:w="100"/>
              <w:bottom w:type="dxa" w:w="60"/>
              <w:right w:type="dxa" w:w="100"/>
            </w:tcMar>
          </w:tcPr>
          <w:p>
            <w:r>
              <w:rPr>
                <w:b/>
                <w:bCs/>
                <w:sz w:val="20"/>
                <w:szCs w:val="20"/>
              </w:rPr>
              <w:t xml:space="preserve">Where</w:t>
            </w:r>
          </w:p>
        </w:tc>
      </w:tr>
      <w:tr>
        <w:tc>
          <w:tcPr>
            <w:tcW w:type="dxa" w:w="1900"/>
            <w:tcMar>
              <w:top w:type="dxa" w:w="60"/>
              <w:left w:type="dxa" w:w="100"/>
              <w:bottom w:type="dxa" w:w="60"/>
              <w:right w:type="dxa" w:w="100"/>
            </w:tcMar>
          </w:tcPr>
          <w:p>
            <w:r>
              <w:rPr>
                <w:b w:val="false"/>
                <w:bCs w:val="false"/>
                <w:sz w:val="20"/>
                <w:szCs w:val="20"/>
              </w:rPr>
              <w:t xml:space="preserve">ML dataset</w:t>
            </w:r>
          </w:p>
        </w:tc>
        <w:tc>
          <w:tcPr>
            <w:tcW w:type="dxa" w:w="4700"/>
            <w:tcMar>
              <w:top w:type="dxa" w:w="60"/>
              <w:left w:type="dxa" w:w="100"/>
              <w:bottom w:type="dxa" w:w="60"/>
              <w:right w:type="dxa" w:w="100"/>
            </w:tcMar>
          </w:tcPr>
          <w:p>
            <w:r>
              <w:rPr>
                <w:b w:val="false"/>
                <w:bCs w:val="false"/>
                <w:sz w:val="20"/>
                <w:szCs w:val="20"/>
              </w:rPr>
              <w:t xml:space="preserve">Leak-free features and target, CSV + SQLite table</w:t>
            </w:r>
          </w:p>
        </w:tc>
        <w:tc>
          <w:tcPr>
            <w:tcW w:type="dxa" w:w="2400"/>
            <w:tcMar>
              <w:top w:type="dxa" w:w="60"/>
              <w:left w:type="dxa" w:w="100"/>
              <w:bottom w:type="dxa" w:w="60"/>
              <w:right w:type="dxa" w:w="100"/>
            </w:tcMar>
          </w:tcPr>
          <w:p>
            <w:r>
              <w:rPr>
                <w:b w:val="false"/>
                <w:bCs w:val="false"/>
                <w:sz w:val="20"/>
                <w:szCs w:val="20"/>
              </w:rPr>
              <w:t xml:space="preserve">mlops/dataset.py</w:t>
            </w:r>
          </w:p>
        </w:tc>
      </w:tr>
      <w:tr>
        <w:tc>
          <w:tcPr>
            <w:tcW w:type="dxa" w:w="1900"/>
            <w:tcMar>
              <w:top w:type="dxa" w:w="60"/>
              <w:left w:type="dxa" w:w="100"/>
              <w:bottom w:type="dxa" w:w="60"/>
              <w:right w:type="dxa" w:w="100"/>
            </w:tcMar>
          </w:tcPr>
          <w:p>
            <w:r>
              <w:rPr>
                <w:b w:val="false"/>
                <w:bCs w:val="false"/>
                <w:sz w:val="20"/>
                <w:szCs w:val="20"/>
              </w:rPr>
              <w:t xml:space="preserve">Training</w:t>
            </w:r>
          </w:p>
        </w:tc>
        <w:tc>
          <w:tcPr>
            <w:tcW w:type="dxa" w:w="4700"/>
            <w:tcMar>
              <w:top w:type="dxa" w:w="60"/>
              <w:left w:type="dxa" w:w="100"/>
              <w:bottom w:type="dxa" w:w="60"/>
              <w:right w:type="dxa" w:w="100"/>
            </w:tcMar>
          </w:tcPr>
          <w:p>
            <w:r>
              <w:rPr>
                <w:b w:val="false"/>
                <w:bCs w:val="false"/>
                <w:sz w:val="20"/>
                <w:szCs w:val="20"/>
              </w:rPr>
              <w:t xml:space="preserve">5 models (LR, Random Forest, Gradient Boosting, SVM, XGBoost), CV, SHAP, plots</w:t>
            </w:r>
          </w:p>
        </w:tc>
        <w:tc>
          <w:tcPr>
            <w:tcW w:type="dxa" w:w="2400"/>
            <w:tcMar>
              <w:top w:type="dxa" w:w="60"/>
              <w:left w:type="dxa" w:w="100"/>
              <w:bottom w:type="dxa" w:w="60"/>
              <w:right w:type="dxa" w:w="100"/>
            </w:tcMar>
          </w:tcPr>
          <w:p>
            <w:r>
              <w:rPr>
                <w:b w:val="false"/>
                <w:bCs w:val="false"/>
                <w:sz w:val="20"/>
                <w:szCs w:val="20"/>
              </w:rPr>
              <w:t xml:space="preserve">mlops/train.py</w:t>
            </w:r>
          </w:p>
        </w:tc>
      </w:tr>
      <w:tr>
        <w:tc>
          <w:tcPr>
            <w:tcW w:type="dxa" w:w="1900"/>
            <w:tcMar>
              <w:top w:type="dxa" w:w="60"/>
              <w:left w:type="dxa" w:w="100"/>
              <w:bottom w:type="dxa" w:w="60"/>
              <w:right w:type="dxa" w:w="100"/>
            </w:tcMar>
          </w:tcPr>
          <w:p>
            <w:r>
              <w:rPr>
                <w:b w:val="false"/>
                <w:bCs w:val="false"/>
                <w:sz w:val="20"/>
                <w:szCs w:val="20"/>
              </w:rPr>
              <w:t xml:space="preserve">Tracking + registry</w:t>
            </w:r>
          </w:p>
        </w:tc>
        <w:tc>
          <w:tcPr>
            <w:tcW w:type="dxa" w:w="4700"/>
            <w:tcMar>
              <w:top w:type="dxa" w:w="60"/>
              <w:left w:type="dxa" w:w="100"/>
              <w:bottom w:type="dxa" w:w="60"/>
              <w:right w:type="dxa" w:w="100"/>
            </w:tcMar>
          </w:tcPr>
          <w:p>
            <w:r>
              <w:rPr>
                <w:b w:val="false"/>
                <w:bCs w:val="false"/>
                <w:sz w:val="20"/>
                <w:szCs w:val="20"/>
              </w:rPr>
              <w:t xml:space="preserve">MLflow runs, model registry, champion alias</w:t>
            </w:r>
          </w:p>
        </w:tc>
        <w:tc>
          <w:tcPr>
            <w:tcW w:type="dxa" w:w="2400"/>
            <w:tcMar>
              <w:top w:type="dxa" w:w="60"/>
              <w:left w:type="dxa" w:w="100"/>
              <w:bottom w:type="dxa" w:w="60"/>
              <w:right w:type="dxa" w:w="100"/>
            </w:tcMar>
          </w:tcPr>
          <w:p>
            <w:r>
              <w:rPr>
                <w:b w:val="false"/>
                <w:bCs w:val="false"/>
                <w:sz w:val="20"/>
                <w:szCs w:val="20"/>
              </w:rPr>
              <w:t xml:space="preserve">mlstore/ (SQLite)</w:t>
            </w:r>
          </w:p>
        </w:tc>
      </w:tr>
      <w:tr>
        <w:tc>
          <w:tcPr>
            <w:tcW w:type="dxa" w:w="1900"/>
            <w:tcMar>
              <w:top w:type="dxa" w:w="60"/>
              <w:left w:type="dxa" w:w="100"/>
              <w:bottom w:type="dxa" w:w="60"/>
              <w:right w:type="dxa" w:w="100"/>
            </w:tcMar>
          </w:tcPr>
          <w:p>
            <w:r>
              <w:rPr>
                <w:b w:val="false"/>
                <w:bCs w:val="false"/>
                <w:sz w:val="20"/>
                <w:szCs w:val="20"/>
              </w:rPr>
              <w:t xml:space="preserve">Serving</w:t>
            </w:r>
          </w:p>
        </w:tc>
        <w:tc>
          <w:tcPr>
            <w:tcW w:type="dxa" w:w="4700"/>
            <w:tcMar>
              <w:top w:type="dxa" w:w="60"/>
              <w:left w:type="dxa" w:w="100"/>
              <w:bottom w:type="dxa" w:w="60"/>
              <w:right w:type="dxa" w:w="100"/>
            </w:tcMar>
          </w:tcPr>
          <w:p>
            <w:r>
              <w:rPr>
                <w:b w:val="false"/>
                <w:bCs w:val="false"/>
                <w:sz w:val="20"/>
                <w:szCs w:val="20"/>
              </w:rPr>
              <w:t xml:space="preserve">FastAPI: /predict, /predict/batch, /health, /model-info</w:t>
            </w:r>
          </w:p>
        </w:tc>
        <w:tc>
          <w:tcPr>
            <w:tcW w:type="dxa" w:w="2400"/>
            <w:tcMar>
              <w:top w:type="dxa" w:w="60"/>
              <w:left w:type="dxa" w:w="100"/>
              <w:bottom w:type="dxa" w:w="60"/>
              <w:right w:type="dxa" w:w="100"/>
            </w:tcMar>
          </w:tcPr>
          <w:p>
            <w:r>
              <w:rPr>
                <w:b w:val="false"/>
                <w:bCs w:val="false"/>
                <w:sz w:val="20"/>
                <w:szCs w:val="20"/>
              </w:rPr>
              <w:t xml:space="preserve">api/</w:t>
            </w:r>
          </w:p>
        </w:tc>
      </w:tr>
      <w:tr>
        <w:tc>
          <w:tcPr>
            <w:tcW w:type="dxa" w:w="1900"/>
            <w:tcMar>
              <w:top w:type="dxa" w:w="60"/>
              <w:left w:type="dxa" w:w="100"/>
              <w:bottom w:type="dxa" w:w="60"/>
              <w:right w:type="dxa" w:w="100"/>
            </w:tcMar>
          </w:tcPr>
          <w:p>
            <w:r>
              <w:rPr>
                <w:b w:val="false"/>
                <w:bCs w:val="false"/>
                <w:sz w:val="20"/>
                <w:szCs w:val="20"/>
              </w:rPr>
              <w:t xml:space="preserve">Containers</w:t>
            </w:r>
          </w:p>
        </w:tc>
        <w:tc>
          <w:tcPr>
            <w:tcW w:type="dxa" w:w="4700"/>
            <w:tcMar>
              <w:top w:type="dxa" w:w="60"/>
              <w:left w:type="dxa" w:w="100"/>
              <w:bottom w:type="dxa" w:w="60"/>
              <w:right w:type="dxa" w:w="100"/>
            </w:tcMar>
          </w:tcPr>
          <w:p>
            <w:r>
              <w:rPr>
                <w:b w:val="false"/>
                <w:bCs w:val="false"/>
                <w:sz w:val="20"/>
                <w:szCs w:val="20"/>
              </w:rPr>
              <w:t xml:space="preserve">Dockerfile + docker-compose (api, trainer, mlflow, monitor)</w:t>
            </w:r>
          </w:p>
        </w:tc>
        <w:tc>
          <w:tcPr>
            <w:tcW w:type="dxa" w:w="2400"/>
            <w:tcMar>
              <w:top w:type="dxa" w:w="60"/>
              <w:left w:type="dxa" w:w="100"/>
              <w:bottom w:type="dxa" w:w="60"/>
              <w:right w:type="dxa" w:w="100"/>
            </w:tcMar>
          </w:tcPr>
          <w:p>
            <w:r>
              <w:rPr>
                <w:b w:val="false"/>
                <w:bCs w:val="false"/>
                <w:sz w:val="20"/>
                <w:szCs w:val="20"/>
              </w:rPr>
              <w:t xml:space="preserve">Dockerfile, docker-compose.yml</w:t>
            </w:r>
          </w:p>
        </w:tc>
      </w:tr>
      <w:tr>
        <w:tc>
          <w:tcPr>
            <w:tcW w:type="dxa" w:w="1900"/>
            <w:tcMar>
              <w:top w:type="dxa" w:w="60"/>
              <w:left w:type="dxa" w:w="100"/>
              <w:bottom w:type="dxa" w:w="60"/>
              <w:right w:type="dxa" w:w="100"/>
            </w:tcMar>
          </w:tcPr>
          <w:p>
            <w:r>
              <w:rPr>
                <w:b w:val="false"/>
                <w:bCs w:val="false"/>
                <w:sz w:val="20"/>
                <w:szCs w:val="20"/>
              </w:rPr>
              <w:t xml:space="preserve">Monitoring</w:t>
            </w:r>
          </w:p>
        </w:tc>
        <w:tc>
          <w:tcPr>
            <w:tcW w:type="dxa" w:w="4700"/>
            <w:tcMar>
              <w:top w:type="dxa" w:w="60"/>
              <w:left w:type="dxa" w:w="100"/>
              <w:bottom w:type="dxa" w:w="60"/>
              <w:right w:type="dxa" w:w="100"/>
            </w:tcMar>
          </w:tcPr>
          <w:p>
            <w:r>
              <w:rPr>
                <w:b w:val="false"/>
                <w:bCs w:val="false"/>
                <w:sz w:val="20"/>
                <w:szCs w:val="20"/>
              </w:rPr>
              <w:t xml:space="preserve">PSI + KS drift, prediction drift, retrain triggers</w:t>
            </w:r>
          </w:p>
        </w:tc>
        <w:tc>
          <w:tcPr>
            <w:tcW w:type="dxa" w:w="2400"/>
            <w:tcMar>
              <w:top w:type="dxa" w:w="60"/>
              <w:left w:type="dxa" w:w="100"/>
              <w:bottom w:type="dxa" w:w="60"/>
              <w:right w:type="dxa" w:w="100"/>
            </w:tcMar>
          </w:tcPr>
          <w:p>
            <w:r>
              <w:rPr>
                <w:b w:val="false"/>
                <w:bCs w:val="false"/>
                <w:sz w:val="20"/>
                <w:szCs w:val="20"/>
              </w:rPr>
              <w:t xml:space="preserve">mlops/monitoring.py</w:t>
            </w:r>
          </w:p>
        </w:tc>
      </w:tr>
      <w:tr>
        <w:tc>
          <w:tcPr>
            <w:tcW w:type="dxa" w:w="1900"/>
            <w:tcMar>
              <w:top w:type="dxa" w:w="60"/>
              <w:left w:type="dxa" w:w="100"/>
              <w:bottom w:type="dxa" w:w="60"/>
              <w:right w:type="dxa" w:w="100"/>
            </w:tcMar>
          </w:tcPr>
          <w:p>
            <w:r>
              <w:rPr>
                <w:b w:val="false"/>
                <w:bCs w:val="false"/>
                <w:sz w:val="20"/>
                <w:szCs w:val="20"/>
              </w:rPr>
              <w:t xml:space="preserve">Integration</w:t>
            </w:r>
          </w:p>
        </w:tc>
        <w:tc>
          <w:tcPr>
            <w:tcW w:type="dxa" w:w="4700"/>
            <w:tcMar>
              <w:top w:type="dxa" w:w="60"/>
              <w:left w:type="dxa" w:w="100"/>
              <w:bottom w:type="dxa" w:w="60"/>
              <w:right w:type="dxa" w:w="100"/>
            </w:tcMar>
          </w:tcPr>
          <w:p>
            <w:r>
              <w:rPr>
                <w:b w:val="false"/>
                <w:bCs w:val="false"/>
                <w:sz w:val="20"/>
                <w:szCs w:val="20"/>
              </w:rPr>
              <w:t xml:space="preserve">Airflow DAG extended, dashboard view 6, one-command runner</w:t>
            </w:r>
          </w:p>
        </w:tc>
        <w:tc>
          <w:tcPr>
            <w:tcW w:type="dxa" w:w="2400"/>
            <w:tcMar>
              <w:top w:type="dxa" w:w="60"/>
              <w:left w:type="dxa" w:w="100"/>
              <w:bottom w:type="dxa" w:w="60"/>
              <w:right w:type="dxa" w:w="100"/>
            </w:tcMar>
          </w:tcPr>
          <w:p>
            <w:r>
              <w:rPr>
                <w:b w:val="false"/>
                <w:bCs w:val="false"/>
                <w:sz w:val="20"/>
                <w:szCs w:val="20"/>
              </w:rPr>
              <w:t xml:space="preserve">dags/, dashboard/, scripts/run_mlops.py</w:t>
            </w:r>
          </w:p>
        </w:tc>
      </w:tr>
      <w:tr>
        <w:tc>
          <w:tcPr>
            <w:tcW w:type="dxa" w:w="1900"/>
            <w:tcMar>
              <w:top w:type="dxa" w:w="60"/>
              <w:left w:type="dxa" w:w="100"/>
              <w:bottom w:type="dxa" w:w="60"/>
              <w:right w:type="dxa" w:w="100"/>
            </w:tcMar>
          </w:tcPr>
          <w:p>
            <w:r>
              <w:rPr>
                <w:b w:val="false"/>
                <w:bCs w:val="false"/>
                <w:sz w:val="20"/>
                <w:szCs w:val="20"/>
              </w:rPr>
              <w:t xml:space="preserve">Quality</w:t>
            </w:r>
          </w:p>
        </w:tc>
        <w:tc>
          <w:tcPr>
            <w:tcW w:type="dxa" w:w="4700"/>
            <w:tcMar>
              <w:top w:type="dxa" w:w="60"/>
              <w:left w:type="dxa" w:w="100"/>
              <w:bottom w:type="dxa" w:w="60"/>
              <w:right w:type="dxa" w:w="100"/>
            </w:tcMar>
          </w:tcPr>
          <w:p>
            <w:r>
              <w:rPr>
                <w:b w:val="false"/>
                <w:bCs w:val="false"/>
                <w:sz w:val="20"/>
                <w:szCs w:val="20"/>
              </w:rPr>
              <w:t xml:space="preserve">15 automated tests</w:t>
            </w:r>
          </w:p>
        </w:tc>
        <w:tc>
          <w:tcPr>
            <w:tcW w:type="dxa" w:w="2400"/>
            <w:tcMar>
              <w:top w:type="dxa" w:w="60"/>
              <w:left w:type="dxa" w:w="100"/>
              <w:bottom w:type="dxa" w:w="60"/>
              <w:right w:type="dxa" w:w="100"/>
            </w:tcMar>
          </w:tcPr>
          <w:p>
            <w:r>
              <w:rPr>
                <w:b w:val="false"/>
                <w:bCs w:val="false"/>
                <w:sz w:val="20"/>
                <w:szCs w:val="20"/>
              </w:rPr>
              <w:t xml:space="preserve">tests/</w:t>
            </w:r>
          </w:p>
        </w:tc>
      </w:tr>
    </w:tbl>
    <w:p>
      <w:pPr>
        <w:pStyle w:val="Heading1"/>
        <w:spacing w:after="150" w:before="300"/>
      </w:pPr>
      <w:r>
        <w:t xml:space="preserve">2. Problem Formulation</w:t>
      </w:r>
    </w:p>
    <w:p>
      <w:pPr>
        <w:spacing w:after="120"/>
      </w:pPr>
      <w:r>
        <w:t xml:space="preserve">Goal: at mid-semester, flag students who are on course to fail a subject so a mentor can step in before the final result.</w:t>
      </w:r>
    </w:p>
    <w:p>
      <w:pPr>
        <w:pStyle w:val="Heading2"/>
        <w:spacing w:after="100" w:before="200"/>
      </w:pPr>
      <w:r>
        <w:t xml:space="preserve">2.1 Target definition</w:t>
      </w:r>
    </w:p>
    <w:p>
      <w:pPr>
        <w:spacing w:after="120"/>
      </w:pPr>
      <w:r>
        <w:t xml:space="preserve">The UCI data has no column for actual dropout. The supervised target is therefore a proxy: at_risk = 1 when the final score G3 is below 10, the dataset's own pass mark. 22.1% of records are positive (about 1 in 5). The report and the dashboard both call it a dropout-risk proxy, not dropout.</w:t>
      </w:r>
    </w:p>
    <w:p>
      <w:pPr>
        <w:pStyle w:val="Heading2"/>
        <w:spacing w:after="100" w:before="200"/>
      </w:pPr>
      <w:r>
        <w:t xml:space="preserve">2.2 Prediction time</w:t>
      </w:r>
    </w:p>
    <w:p>
      <w:pPr>
        <w:spacing w:after="120"/>
      </w:pPr>
      <w:r>
        <w:t xml:space="preserve">The model predicts after the second assessment (G2) and before the final result (G3). Only information available at that moment is allowed as input. This is what makes the model useful: a prediction made after G3 is known would be trivial.</w:t>
      </w:r>
    </w:p>
    <w:p>
      <w:pPr>
        <w:pStyle w:val="Heading2"/>
        <w:spacing w:after="100" w:before="200"/>
      </w:pPr>
      <w:r>
        <w:t xml:space="preserve">2.3 Success criteria</w:t>
      </w:r>
    </w:p>
    <w:p>
      <w:pPr>
        <w:pStyle w:val="ListParagraph"/>
        <w:numPr>
          <w:ilvl w:val="0"/>
          <w:numId w:val="2"/>
        </w:numPr>
        <w:spacing w:after="60"/>
      </w:pPr>
      <w:r>
        <w:t xml:space="preserve">Beat a majority-class baseline and a simple advisor rule (flag anyone whose G2 is below 10).</w:t>
      </w:r>
    </w:p>
    <w:p>
      <w:pPr>
        <w:pStyle w:val="ListParagraph"/>
        <w:numPr>
          <w:ilvl w:val="0"/>
          <w:numId w:val="2"/>
        </w:numPr>
        <w:spacing w:after="60"/>
      </w:pPr>
      <w:r>
        <w:t xml:space="preserve">Catch most at-risk students: operating threshold chosen so recall on out-of-fold training predictions is at least 0.80.</w:t>
      </w:r>
    </w:p>
    <w:p>
      <w:pPr>
        <w:pStyle w:val="ListParagraph"/>
        <w:numPr>
          <w:ilvl w:val="0"/>
          <w:numId w:val="2"/>
        </w:numPr>
        <w:spacing w:after="60"/>
      </w:pPr>
      <w:r>
        <w:t xml:space="preserve">Keep false alarms manageable, reported as precision alongside recall.</w:t>
      </w:r>
    </w:p>
    <w:p>
      <w:pPr>
        <w:pStyle w:val="ListParagraph"/>
        <w:numPr>
          <w:ilvl w:val="0"/>
          <w:numId w:val="2"/>
        </w:numPr>
        <w:spacing w:after="60"/>
      </w:pPr>
      <w:r>
        <w:t xml:space="preserve">Be reproducible: fixed seed, tracked runs, one command to retrain.</w:t>
      </w:r>
    </w:p>
    <w:p>
      <w:pPr>
        <w:pStyle w:val="Heading1"/>
        <w:spacing w:after="150" w:before="300"/>
      </w:pPr>
      <w:r>
        <w:t xml:space="preserve">3. ML Dataset &amp; Feature Engineering</w:t>
      </w:r>
    </w:p>
    <w:p>
      <w:pPr>
        <w:spacing w:after="120"/>
      </w:pPr>
      <w:r>
        <w:t xml:space="preserve">mlops/dataset.py joins the Part 1 analytical mart with the cleaned academic records on student_id (one-to-one, 1,034 rows, no nulls) and writes data/ml/ml_dataset.csv plus a SQLite table ml_training_dataset beside the mart. It uses 30 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c>
          <w:tcPr>
            <w:tcW w:type="dxa" w:w="2200"/>
            <w:shd w:fill="D9E2F3" w:val="clear"/>
            <w:tcMar>
              <w:top w:type="dxa" w:w="60"/>
              <w:left w:type="dxa" w:w="100"/>
              <w:bottom w:type="dxa" w:w="60"/>
              <w:right w:type="dxa" w:w="100"/>
            </w:tcMar>
          </w:tcPr>
          <w:p>
            <w:r>
              <w:rPr>
                <w:b/>
                <w:bCs/>
                <w:sz w:val="20"/>
                <w:szCs w:val="20"/>
              </w:rPr>
              <w:t xml:space="preserve">Group</w:t>
            </w:r>
          </w:p>
        </w:tc>
        <w:tc>
          <w:tcPr>
            <w:tcW w:type="dxa" w:w="5200"/>
            <w:shd w:fill="D9E2F3" w:val="clear"/>
            <w:tcMar>
              <w:top w:type="dxa" w:w="60"/>
              <w:left w:type="dxa" w:w="100"/>
              <w:bottom w:type="dxa" w:w="60"/>
              <w:right w:type="dxa" w:w="100"/>
            </w:tcMar>
          </w:tcPr>
          <w:p>
            <w:r>
              <w:rPr>
                <w:b/>
                <w:bCs/>
                <w:sz w:val="20"/>
                <w:szCs w:val="20"/>
              </w:rPr>
              <w:t xml:space="preserve">Features</w:t>
            </w:r>
          </w:p>
        </w:tc>
        <w:tc>
          <w:tcPr>
            <w:tcW w:type="dxa" w:w="1600"/>
            <w:shd w:fill="D9E2F3" w:val="clear"/>
            <w:tcMar>
              <w:top w:type="dxa" w:w="60"/>
              <w:left w:type="dxa" w:w="100"/>
              <w:bottom w:type="dxa" w:w="60"/>
              <w:right w:type="dxa" w:w="100"/>
            </w:tcMar>
          </w:tcPr>
          <w:p>
            <w:r>
              <w:rPr>
                <w:b/>
                <w:bCs/>
                <w:sz w:val="20"/>
                <w:szCs w:val="20"/>
              </w:rPr>
              <w:t xml:space="preserve">Source</w:t>
            </w:r>
          </w:p>
        </w:tc>
      </w:tr>
      <w:tr>
        <w:tc>
          <w:tcPr>
            <w:tcW w:type="dxa" w:w="2200"/>
            <w:tcMar>
              <w:top w:type="dxa" w:w="60"/>
              <w:left w:type="dxa" w:w="100"/>
              <w:bottom w:type="dxa" w:w="60"/>
              <w:right w:type="dxa" w:w="100"/>
            </w:tcMar>
          </w:tcPr>
          <w:p>
            <w:r>
              <w:rPr>
                <w:b w:val="false"/>
                <w:bCs w:val="false"/>
                <w:sz w:val="20"/>
                <w:szCs w:val="20"/>
              </w:rPr>
              <w:t xml:space="preserve">Multi-source (5)</w:t>
            </w:r>
          </w:p>
        </w:tc>
        <w:tc>
          <w:tcPr>
            <w:tcW w:type="dxa" w:w="5200"/>
            <w:tcMar>
              <w:top w:type="dxa" w:w="60"/>
              <w:left w:type="dxa" w:w="100"/>
              <w:bottom w:type="dxa" w:w="60"/>
              <w:right w:type="dxa" w:w="100"/>
            </w:tcMar>
          </w:tcPr>
          <w:p>
            <w:r>
              <w:rPr>
                <w:b w:val="false"/>
                <w:bCs w:val="false"/>
                <w:sz w:val="20"/>
                <w:szCs w:val="20"/>
              </w:rPr>
              <w:t xml:space="preserve">attendance_pct, avg_internal_marks, previous_semester_score (G2), assignment_completion_rate, lms_engagement_score</w:t>
            </w:r>
          </w:p>
        </w:tc>
        <w:tc>
          <w:tcPr>
            <w:tcW w:type="dxa" w:w="1600"/>
            <w:tcMar>
              <w:top w:type="dxa" w:w="60"/>
              <w:left w:type="dxa" w:w="100"/>
              <w:bottom w:type="dxa" w:w="60"/>
              <w:right w:type="dxa" w:w="100"/>
            </w:tcMar>
          </w:tcPr>
          <w:p>
            <w:r>
              <w:rPr>
                <w:b w:val="false"/>
                <w:bCs w:val="false"/>
                <w:sz w:val="20"/>
                <w:szCs w:val="20"/>
              </w:rPr>
              <w:t xml:space="preserve">Part 1 mart</w:t>
            </w:r>
          </w:p>
        </w:tc>
      </w:tr>
      <w:tr>
        <w:tc>
          <w:tcPr>
            <w:tcW w:type="dxa" w:w="2200"/>
            <w:tcMar>
              <w:top w:type="dxa" w:w="60"/>
              <w:left w:type="dxa" w:w="100"/>
              <w:bottom w:type="dxa" w:w="60"/>
              <w:right w:type="dxa" w:w="100"/>
            </w:tcMar>
          </w:tcPr>
          <w:p>
            <w:r>
              <w:rPr>
                <w:b w:val="false"/>
                <w:bCs w:val="false"/>
                <w:sz w:val="20"/>
                <w:szCs w:val="20"/>
              </w:rPr>
              <w:t xml:space="preserve">Academic record, numeric (13)</w:t>
            </w:r>
          </w:p>
        </w:tc>
        <w:tc>
          <w:tcPr>
            <w:tcW w:type="dxa" w:w="5200"/>
            <w:tcMar>
              <w:top w:type="dxa" w:w="60"/>
              <w:left w:type="dxa" w:w="100"/>
              <w:bottom w:type="dxa" w:w="60"/>
              <w:right w:type="dxa" w:w="100"/>
            </w:tcMar>
          </w:tcPr>
          <w:p>
            <w:r>
              <w:rPr>
                <w:b w:val="false"/>
                <w:bCs w:val="false"/>
                <w:sz w:val="20"/>
                <w:szCs w:val="20"/>
              </w:rPr>
              <w:t xml:space="preserve">studytime, failures, absences, goout, Dalc, Walc, freetime, health, famrel, Medu, Fedu, age, traveltime</w:t>
            </w:r>
          </w:p>
        </w:tc>
        <w:tc>
          <w:tcPr>
            <w:tcW w:type="dxa" w:w="1600"/>
            <w:tcMar>
              <w:top w:type="dxa" w:w="60"/>
              <w:left w:type="dxa" w:w="100"/>
              <w:bottom w:type="dxa" w:w="60"/>
              <w:right w:type="dxa" w:w="100"/>
            </w:tcMar>
          </w:tcPr>
          <w:p>
            <w:r>
              <w:rPr>
                <w:b w:val="false"/>
                <w:bCs w:val="false"/>
                <w:sz w:val="20"/>
                <w:szCs w:val="20"/>
              </w:rPr>
              <w:t xml:space="preserve">UCI (real)</w:t>
            </w:r>
          </w:p>
        </w:tc>
      </w:tr>
      <w:tr>
        <w:tc>
          <w:tcPr>
            <w:tcW w:type="dxa" w:w="2200"/>
            <w:tcMar>
              <w:top w:type="dxa" w:w="60"/>
              <w:left w:type="dxa" w:w="100"/>
              <w:bottom w:type="dxa" w:w="60"/>
              <w:right w:type="dxa" w:w="100"/>
            </w:tcMar>
          </w:tcPr>
          <w:p>
            <w:r>
              <w:rPr>
                <w:b w:val="false"/>
                <w:bCs w:val="false"/>
                <w:sz w:val="20"/>
                <w:szCs w:val="20"/>
              </w:rPr>
              <w:t xml:space="preserve">Binary (9)</w:t>
            </w:r>
          </w:p>
        </w:tc>
        <w:tc>
          <w:tcPr>
            <w:tcW w:type="dxa" w:w="5200"/>
            <w:tcMar>
              <w:top w:type="dxa" w:w="60"/>
              <w:left w:type="dxa" w:w="100"/>
              <w:bottom w:type="dxa" w:w="60"/>
              <w:right w:type="dxa" w:w="100"/>
            </w:tcMar>
          </w:tcPr>
          <w:p>
            <w:r>
              <w:rPr>
                <w:b w:val="false"/>
                <w:bCs w:val="false"/>
                <w:sz w:val="20"/>
                <w:szCs w:val="20"/>
              </w:rPr>
              <w:t xml:space="preserve">internet, higher, schoolsup, famsup, paid, activities, romantic, is_male, is_math</w:t>
            </w:r>
          </w:p>
        </w:tc>
        <w:tc>
          <w:tcPr>
            <w:tcW w:type="dxa" w:w="1600"/>
            <w:tcMar>
              <w:top w:type="dxa" w:w="60"/>
              <w:left w:type="dxa" w:w="100"/>
              <w:bottom w:type="dxa" w:w="60"/>
              <w:right w:type="dxa" w:w="100"/>
            </w:tcMar>
          </w:tcPr>
          <w:p>
            <w:r>
              <w:rPr>
                <w:b w:val="false"/>
                <w:bCs w:val="false"/>
                <w:sz w:val="20"/>
                <w:szCs w:val="20"/>
              </w:rPr>
              <w:t xml:space="preserve">UCI (real)</w:t>
            </w:r>
          </w:p>
        </w:tc>
      </w:tr>
      <w:tr>
        <w:tc>
          <w:tcPr>
            <w:tcW w:type="dxa" w:w="2200"/>
            <w:tcMar>
              <w:top w:type="dxa" w:w="60"/>
              <w:left w:type="dxa" w:w="100"/>
              <w:bottom w:type="dxa" w:w="60"/>
              <w:right w:type="dxa" w:w="100"/>
            </w:tcMar>
          </w:tcPr>
          <w:p>
            <w:r>
              <w:rPr>
                <w:b w:val="false"/>
                <w:bCs w:val="false"/>
                <w:sz w:val="20"/>
                <w:szCs w:val="20"/>
              </w:rPr>
              <w:t xml:space="preserve">Availability flags (3)</w:t>
            </w:r>
          </w:p>
        </w:tc>
        <w:tc>
          <w:tcPr>
            <w:tcW w:type="dxa" w:w="5200"/>
            <w:tcMar>
              <w:top w:type="dxa" w:w="60"/>
              <w:left w:type="dxa" w:w="100"/>
              <w:bottom w:type="dxa" w:w="60"/>
              <w:right w:type="dxa" w:w="100"/>
            </w:tcMar>
          </w:tcPr>
          <w:p>
            <w:r>
              <w:rPr>
                <w:b w:val="false"/>
                <w:bCs w:val="false"/>
                <w:sz w:val="20"/>
                <w:szCs w:val="20"/>
              </w:rPr>
              <w:t xml:space="preserve">attendance_, lms_, assignment_data_available</w:t>
            </w:r>
          </w:p>
        </w:tc>
        <w:tc>
          <w:tcPr>
            <w:tcW w:type="dxa" w:w="1600"/>
            <w:tcMar>
              <w:top w:type="dxa" w:w="60"/>
              <w:left w:type="dxa" w:w="100"/>
              <w:bottom w:type="dxa" w:w="60"/>
              <w:right w:type="dxa" w:w="100"/>
            </w:tcMar>
          </w:tcPr>
          <w:p>
            <w:r>
              <w:rPr>
                <w:b w:val="false"/>
                <w:bCs w:val="false"/>
                <w:sz w:val="20"/>
                <w:szCs w:val="20"/>
              </w:rPr>
              <w:t xml:space="preserve">Part 1 missing-data handling</w:t>
            </w:r>
          </w:p>
        </w:tc>
      </w:tr>
    </w:tbl>
    <w:p>
      <w:pPr>
        <w:spacing w:after="120"/>
      </w:pPr>
      <w:r>
        <w:t xml:space="preserve"/>
      </w:r>
    </w:p>
    <w:p>
      <w:pPr>
        <w:pStyle w:val="Heading2"/>
        <w:spacing w:after="100" w:before="200"/>
      </w:pPr>
      <w:r>
        <w:t xml:space="preserve">3.1 Leakage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E2F3" w:val="clear"/>
            <w:tcMar>
              <w:top w:type="dxa" w:w="60"/>
              <w:left w:type="dxa" w:w="100"/>
              <w:bottom w:type="dxa" w:w="60"/>
              <w:right w:type="dxa" w:w="100"/>
            </w:tcMar>
          </w:tcPr>
          <w:p>
            <w:r>
              <w:rPr>
                <w:b/>
                <w:bCs/>
                <w:sz w:val="20"/>
                <w:szCs w:val="20"/>
              </w:rPr>
              <w:t xml:space="preserve">Excluded column</w:t>
            </w:r>
          </w:p>
        </w:tc>
        <w:tc>
          <w:tcPr>
            <w:tcW w:type="dxa" w:w="6000"/>
            <w:shd w:fill="D9E2F3" w:val="clear"/>
            <w:tcMar>
              <w:top w:type="dxa" w:w="60"/>
              <w:left w:type="dxa" w:w="100"/>
              <w:bottom w:type="dxa" w:w="60"/>
              <w:right w:type="dxa" w:w="100"/>
            </w:tcMar>
          </w:tcPr>
          <w:p>
            <w:r>
              <w:rPr>
                <w:b/>
                <w:bCs/>
                <w:sz w:val="20"/>
                <w:szCs w:val="20"/>
              </w:rPr>
              <w:t xml:space="preserve">Reason</w:t>
            </w:r>
          </w:p>
        </w:tc>
      </w:tr>
      <w:tr>
        <w:tc>
          <w:tcPr>
            <w:tcW w:type="dxa" w:w="3000"/>
            <w:tcMar>
              <w:top w:type="dxa" w:w="60"/>
              <w:left w:type="dxa" w:w="100"/>
              <w:bottom w:type="dxa" w:w="60"/>
              <w:right w:type="dxa" w:w="100"/>
            </w:tcMar>
          </w:tcPr>
          <w:p>
            <w:r>
              <w:rPr>
                <w:b w:val="false"/>
                <w:bCs w:val="false"/>
                <w:sz w:val="20"/>
                <w:szCs w:val="20"/>
              </w:rPr>
              <w:t xml:space="preserve">current_score / G3, pass_flag</w:t>
            </w:r>
          </w:p>
        </w:tc>
        <w:tc>
          <w:tcPr>
            <w:tcW w:type="dxa" w:w="6000"/>
            <w:tcMar>
              <w:top w:type="dxa" w:w="60"/>
              <w:left w:type="dxa" w:w="100"/>
              <w:bottom w:type="dxa" w:w="60"/>
              <w:right w:type="dxa" w:w="100"/>
            </w:tcMar>
          </w:tcPr>
          <w:p>
            <w:r>
              <w:rPr>
                <w:b w:val="false"/>
                <w:bCs w:val="false"/>
                <w:sz w:val="20"/>
                <w:szCs w:val="20"/>
              </w:rPr>
              <w:t xml:space="preserve">They are the target.</w:t>
            </w:r>
          </w:p>
        </w:tc>
      </w:tr>
      <w:tr>
        <w:tc>
          <w:tcPr>
            <w:tcW w:type="dxa" w:w="3000"/>
            <w:tcMar>
              <w:top w:type="dxa" w:w="60"/>
              <w:left w:type="dxa" w:w="100"/>
              <w:bottom w:type="dxa" w:w="60"/>
              <w:right w:type="dxa" w:w="100"/>
            </w:tcMar>
          </w:tcPr>
          <w:p>
            <w:r>
              <w:rPr>
                <w:b w:val="false"/>
                <w:bCs w:val="false"/>
                <w:sz w:val="20"/>
                <w:szCs w:val="20"/>
              </w:rPr>
              <w:t xml:space="preserve">risk_score, risk_category</w:t>
            </w:r>
          </w:p>
        </w:tc>
        <w:tc>
          <w:tcPr>
            <w:tcW w:type="dxa" w:w="6000"/>
            <w:tcMar>
              <w:top w:type="dxa" w:w="60"/>
              <w:left w:type="dxa" w:w="100"/>
              <w:bottom w:type="dxa" w:w="60"/>
              <w:right w:type="dxa" w:w="100"/>
            </w:tcMar>
          </w:tcPr>
          <w:p>
            <w:r>
              <w:rPr>
                <w:b w:val="false"/>
                <w:bCs w:val="false"/>
                <w:sz w:val="20"/>
                <w:szCs w:val="20"/>
              </w:rPr>
              <w:t xml:space="preserve">Part 1's rule-based score is computed from the final score, so using it would leak the answer.</w:t>
            </w:r>
          </w:p>
        </w:tc>
      </w:tr>
      <w:tr>
        <w:tc>
          <w:tcPr>
            <w:tcW w:type="dxa" w:w="3000"/>
            <w:tcMar>
              <w:top w:type="dxa" w:w="60"/>
              <w:left w:type="dxa" w:w="100"/>
              <w:bottom w:type="dxa" w:w="60"/>
              <w:right w:type="dxa" w:w="100"/>
            </w:tcMar>
          </w:tcPr>
          <w:p>
            <w:r>
              <w:rPr>
                <w:b w:val="false"/>
                <w:bCs w:val="false"/>
                <w:sz w:val="20"/>
                <w:szCs w:val="20"/>
              </w:rPr>
              <w:t xml:space="preserve">department, semester</w:t>
            </w:r>
          </w:p>
        </w:tc>
        <w:tc>
          <w:tcPr>
            <w:tcW w:type="dxa" w:w="6000"/>
            <w:tcMar>
              <w:top w:type="dxa" w:w="60"/>
              <w:left w:type="dxa" w:w="100"/>
              <w:bottom w:type="dxa" w:w="60"/>
              <w:right w:type="dxa" w:w="100"/>
            </w:tcMar>
          </w:tcPr>
          <w:p>
            <w:r>
              <w:rPr>
                <w:b w:val="false"/>
                <w:bCs w:val="false"/>
                <w:sz w:val="20"/>
                <w:szCs w:val="20"/>
              </w:rPr>
              <w:t xml:space="preserve">Assigned randomly in Part 1 (synthetic), so they carry no real signal.</w:t>
            </w:r>
          </w:p>
        </w:tc>
      </w:tr>
      <w:tr>
        <w:tc>
          <w:tcPr>
            <w:tcW w:type="dxa" w:w="3000"/>
            <w:tcMar>
              <w:top w:type="dxa" w:w="60"/>
              <w:left w:type="dxa" w:w="100"/>
              <w:bottom w:type="dxa" w:w="60"/>
              <w:right w:type="dxa" w:w="100"/>
            </w:tcMar>
          </w:tcPr>
          <w:p>
            <w:r>
              <w:rPr>
                <w:b w:val="false"/>
                <w:bCs w:val="false"/>
                <w:sz w:val="20"/>
                <w:szCs w:val="20"/>
              </w:rPr>
              <w:t xml:space="preserve">student_id</w:t>
            </w:r>
          </w:p>
        </w:tc>
        <w:tc>
          <w:tcPr>
            <w:tcW w:type="dxa" w:w="6000"/>
            <w:tcMar>
              <w:top w:type="dxa" w:w="60"/>
              <w:left w:type="dxa" w:w="100"/>
              <w:bottom w:type="dxa" w:w="60"/>
              <w:right w:type="dxa" w:w="100"/>
            </w:tcMar>
          </w:tcPr>
          <w:p>
            <w:r>
              <w:rPr>
                <w:b w:val="false"/>
                <w:bCs w:val="false"/>
                <w:sz w:val="20"/>
                <w:szCs w:val="20"/>
              </w:rPr>
              <w:t xml:space="preserve">Identifier, not a feature.</w:t>
            </w:r>
          </w:p>
        </w:tc>
      </w:tr>
    </w:tbl>
    <w:p>
      <w:pPr>
        <w:spacing w:after="120"/>
      </w:pPr>
      <w:r>
        <w:t xml:space="preserve">A unit test asserts none of these columns can enter the feature list, and another recomputes the target from the raw G3 values.</w:t>
      </w:r>
    </w:p>
    <w:p>
      <w:pPr>
        <w:pStyle w:val="Heading2"/>
        <w:spacing w:after="100" w:before="200"/>
      </w:pPr>
      <w:r>
        <w:t xml:space="preserve">3.2 Missing values</w:t>
      </w:r>
    </w:p>
    <w:p>
      <w:pPr>
        <w:spacing w:after="120"/>
      </w:pPr>
      <w:r>
        <w:t xml:space="preserve">The Part 1 mart is already complete because missing sources were flagged and imputed with documented fallbacks. In serving, a missing optional field is imputed with the training median inside the model pipeline and the matching availability flag is set to 0. This is the justified-imputation-for-ML case in the course guideline. The flags stay in the model so it can learn from missingness itself.</w:t>
      </w:r>
    </w:p>
    <w:p>
      <w:pPr>
        <w:pStyle w:val="Heading1"/>
        <w:spacing w:after="150" w:before="300"/>
      </w:pPr>
      <w:r>
        <w:t xml:space="preserve">4. Model Development &amp; Evaluation</w:t>
      </w:r>
    </w:p>
    <w:p>
      <w:pPr>
        <w:pStyle w:val="Heading2"/>
        <w:spacing w:after="100" w:before="200"/>
      </w:pPr>
      <w:r>
        <w:t xml:space="preserve">4.1 Protocol</w:t>
      </w:r>
    </w:p>
    <w:p>
      <w:pPr>
        <w:spacing w:after="120"/>
      </w:pPr>
      <w:r>
        <w:t xml:space="preserve">Stratified 80/20 split with seed 42 (827 training rows, 207 test rows with 46 positives). Each candidate gets 5-fold stratified cross-validation on the training split only. The winner is chosen by cross-validated ROC-AUC, never by the test set, and the test set is scored once. Logistic Regression uses scaling and balanced class weights; Random Forest uses 300 trees with balanced subsample weights; Gradient Boosting (scikit-learn HistGradientBoosting) uses depth 3, 250 iterations and balanced weights; the SVM uses an RBF kernel on scaled inputs with sigmoid-calibrated probabilities; XGBoost uses depth 3, 250 trees and scale_pos_weight. Every model sits behind the same median imputer, so a missing optional value is handled identically for all of them. Hyperparameters are fixed defaults, not tuned.</w:t>
      </w:r>
    </w:p>
    <w:p>
      <w:pPr>
        <w:pStyle w:val="Heading2"/>
        <w:spacing w:after="100" w:before="200"/>
      </w:pPr>
      <w:r>
        <w:t xml:space="preserve">4.2 Results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700"/>
        <w:gridCol w:w="1250"/>
        <w:gridCol w:w="1300"/>
        <w:gridCol w:w="1250"/>
        <w:gridCol w:w="1250"/>
        <w:gridCol w:w="1350"/>
      </w:tblGrid>
      <w:tr>
        <w:tc>
          <w:tcPr>
            <w:tcW w:type="dxa" w:w="2700"/>
            <w:shd w:fill="D9E2F3" w:val="clear"/>
            <w:tcMar>
              <w:top w:type="dxa" w:w="60"/>
              <w:left w:type="dxa" w:w="100"/>
              <w:bottom w:type="dxa" w:w="60"/>
              <w:right w:type="dxa" w:w="100"/>
            </w:tcMar>
          </w:tcPr>
          <w:p>
            <w:r>
              <w:rPr>
                <w:b/>
                <w:bCs/>
                <w:sz w:val="20"/>
                <w:szCs w:val="20"/>
              </w:rPr>
              <w:t xml:space="preserve">Model</w:t>
            </w:r>
          </w:p>
        </w:tc>
        <w:tc>
          <w:tcPr>
            <w:tcW w:type="dxa" w:w="1250"/>
            <w:shd w:fill="D9E2F3" w:val="clear"/>
            <w:tcMar>
              <w:top w:type="dxa" w:w="60"/>
              <w:left w:type="dxa" w:w="100"/>
              <w:bottom w:type="dxa" w:w="60"/>
              <w:right w:type="dxa" w:w="100"/>
            </w:tcMar>
          </w:tcPr>
          <w:p>
            <w:r>
              <w:rPr>
                <w:b/>
                <w:bCs/>
                <w:sz w:val="20"/>
                <w:szCs w:val="20"/>
              </w:rPr>
              <w:t xml:space="preserve">CV ROC-AUC</w:t>
            </w:r>
          </w:p>
        </w:tc>
        <w:tc>
          <w:tcPr>
            <w:tcW w:type="dxa" w:w="1300"/>
            <w:shd w:fill="D9E2F3" w:val="clear"/>
            <w:tcMar>
              <w:top w:type="dxa" w:w="60"/>
              <w:left w:type="dxa" w:w="100"/>
              <w:bottom w:type="dxa" w:w="60"/>
              <w:right w:type="dxa" w:w="100"/>
            </w:tcMar>
          </w:tcPr>
          <w:p>
            <w:r>
              <w:rPr>
                <w:b/>
                <w:bCs/>
                <w:sz w:val="20"/>
                <w:szCs w:val="20"/>
              </w:rPr>
              <w:t xml:space="preserve">Test ROC-AUC</w:t>
            </w:r>
          </w:p>
        </w:tc>
        <w:tc>
          <w:tcPr>
            <w:tcW w:type="dxa" w:w="1250"/>
            <w:shd w:fill="D9E2F3" w:val="clear"/>
            <w:tcMar>
              <w:top w:type="dxa" w:w="60"/>
              <w:left w:type="dxa" w:w="100"/>
              <w:bottom w:type="dxa" w:w="60"/>
              <w:right w:type="dxa" w:w="100"/>
            </w:tcMar>
          </w:tcPr>
          <w:p>
            <w:r>
              <w:rPr>
                <w:b/>
                <w:bCs/>
                <w:sz w:val="20"/>
                <w:szCs w:val="20"/>
              </w:rPr>
              <w:t xml:space="preserve">Test PR-AUC</w:t>
            </w:r>
          </w:p>
        </w:tc>
        <w:tc>
          <w:tcPr>
            <w:tcW w:type="dxa" w:w="1250"/>
            <w:shd w:fill="D9E2F3" w:val="clear"/>
            <w:tcMar>
              <w:top w:type="dxa" w:w="60"/>
              <w:left w:type="dxa" w:w="100"/>
              <w:bottom w:type="dxa" w:w="60"/>
              <w:right w:type="dxa" w:w="100"/>
            </w:tcMar>
          </w:tcPr>
          <w:p>
            <w:r>
              <w:rPr>
                <w:b/>
                <w:bCs/>
                <w:sz w:val="20"/>
                <w:szCs w:val="20"/>
              </w:rPr>
              <w:t xml:space="preserve">Recall @0.5</w:t>
            </w:r>
          </w:p>
        </w:tc>
        <w:tc>
          <w:tcPr>
            <w:tcW w:type="dxa" w:w="1350"/>
            <w:shd w:fill="D9E2F3" w:val="clear"/>
            <w:tcMar>
              <w:top w:type="dxa" w:w="60"/>
              <w:left w:type="dxa" w:w="100"/>
              <w:bottom w:type="dxa" w:w="60"/>
              <w:right w:type="dxa" w:w="100"/>
            </w:tcMar>
          </w:tcPr>
          <w:p>
            <w:r>
              <w:rPr>
                <w:b/>
                <w:bCs/>
                <w:sz w:val="20"/>
                <w:szCs w:val="20"/>
              </w:rPr>
              <w:t xml:space="preserve">Precision @0.5</w:t>
            </w:r>
          </w:p>
        </w:tc>
      </w:tr>
      <w:tr>
        <w:tc>
          <w:tcPr>
            <w:tcW w:type="dxa" w:w="2700"/>
            <w:tcMar>
              <w:top w:type="dxa" w:w="60"/>
              <w:left w:type="dxa" w:w="100"/>
              <w:bottom w:type="dxa" w:w="60"/>
              <w:right w:type="dxa" w:w="100"/>
            </w:tcMar>
          </w:tcPr>
          <w:p>
            <w:r>
              <w:rPr>
                <w:b w:val="false"/>
                <w:bCs w:val="false"/>
                <w:sz w:val="20"/>
                <w:szCs w:val="20"/>
              </w:rPr>
              <w:t xml:space="preserve">Logistic Regression</w:t>
            </w:r>
          </w:p>
        </w:tc>
        <w:tc>
          <w:tcPr>
            <w:tcW w:type="dxa" w:w="1250"/>
            <w:tcMar>
              <w:top w:type="dxa" w:w="60"/>
              <w:left w:type="dxa" w:w="100"/>
              <w:bottom w:type="dxa" w:w="60"/>
              <w:right w:type="dxa" w:w="100"/>
            </w:tcMar>
          </w:tcPr>
          <w:p>
            <w:r>
              <w:rPr>
                <w:b w:val="false"/>
                <w:bCs w:val="false"/>
                <w:sz w:val="20"/>
                <w:szCs w:val="20"/>
              </w:rPr>
              <w:t xml:space="preserve">0.969</w:t>
            </w:r>
          </w:p>
        </w:tc>
        <w:tc>
          <w:tcPr>
            <w:tcW w:type="dxa" w:w="1300"/>
            <w:tcMar>
              <w:top w:type="dxa" w:w="60"/>
              <w:left w:type="dxa" w:w="100"/>
              <w:bottom w:type="dxa" w:w="60"/>
              <w:right w:type="dxa" w:w="100"/>
            </w:tcMar>
          </w:tcPr>
          <w:p>
            <w:r>
              <w:rPr>
                <w:b w:val="false"/>
                <w:bCs w:val="false"/>
                <w:sz w:val="20"/>
                <w:szCs w:val="20"/>
              </w:rPr>
              <w:t xml:space="preserve">0.964</w:t>
            </w:r>
          </w:p>
        </w:tc>
        <w:tc>
          <w:tcPr>
            <w:tcW w:type="dxa" w:w="1250"/>
            <w:tcMar>
              <w:top w:type="dxa" w:w="60"/>
              <w:left w:type="dxa" w:w="100"/>
              <w:bottom w:type="dxa" w:w="60"/>
              <w:right w:type="dxa" w:w="100"/>
            </w:tcMar>
          </w:tcPr>
          <w:p>
            <w:r>
              <w:rPr>
                <w:b w:val="false"/>
                <w:bCs w:val="false"/>
                <w:sz w:val="20"/>
                <w:szCs w:val="20"/>
              </w:rPr>
              <w:t xml:space="preserve">0.907</w:t>
            </w:r>
          </w:p>
        </w:tc>
        <w:tc>
          <w:tcPr>
            <w:tcW w:type="dxa" w:w="1250"/>
            <w:tcMar>
              <w:top w:type="dxa" w:w="60"/>
              <w:left w:type="dxa" w:w="100"/>
              <w:bottom w:type="dxa" w:w="60"/>
              <w:right w:type="dxa" w:w="100"/>
            </w:tcMar>
          </w:tcPr>
          <w:p>
            <w:r>
              <w:rPr>
                <w:b w:val="false"/>
                <w:bCs w:val="false"/>
                <w:sz w:val="20"/>
                <w:szCs w:val="20"/>
              </w:rPr>
              <w:t xml:space="preserve">0.91</w:t>
            </w:r>
          </w:p>
        </w:tc>
        <w:tc>
          <w:tcPr>
            <w:tcW w:type="dxa" w:w="1350"/>
            <w:tcMar>
              <w:top w:type="dxa" w:w="60"/>
              <w:left w:type="dxa" w:w="100"/>
              <w:bottom w:type="dxa" w:w="60"/>
              <w:right w:type="dxa" w:w="100"/>
            </w:tcMar>
          </w:tcPr>
          <w:p>
            <w:r>
              <w:rPr>
                <w:b w:val="false"/>
                <w:bCs w:val="false"/>
                <w:sz w:val="20"/>
                <w:szCs w:val="20"/>
              </w:rPr>
              <w:t xml:space="preserve">0.66</w:t>
            </w:r>
          </w:p>
        </w:tc>
      </w:tr>
      <w:tr>
        <w:tc>
          <w:tcPr>
            <w:tcW w:type="dxa" w:w="2700"/>
            <w:tcMar>
              <w:top w:type="dxa" w:w="60"/>
              <w:left w:type="dxa" w:w="100"/>
              <w:bottom w:type="dxa" w:w="60"/>
              <w:right w:type="dxa" w:w="100"/>
            </w:tcMar>
          </w:tcPr>
          <w:p>
            <w:r>
              <w:rPr>
                <w:b w:val="false"/>
                <w:bCs w:val="false"/>
                <w:sz w:val="20"/>
                <w:szCs w:val="20"/>
              </w:rPr>
              <w:t xml:space="preserve">Random Forest (champion)</w:t>
            </w:r>
          </w:p>
        </w:tc>
        <w:tc>
          <w:tcPr>
            <w:tcW w:type="dxa" w:w="1250"/>
            <w:tcMar>
              <w:top w:type="dxa" w:w="60"/>
              <w:left w:type="dxa" w:w="100"/>
              <w:bottom w:type="dxa" w:w="60"/>
              <w:right w:type="dxa" w:w="100"/>
            </w:tcMar>
          </w:tcPr>
          <w:p>
            <w:r>
              <w:rPr>
                <w:b w:val="false"/>
                <w:bCs w:val="false"/>
                <w:sz w:val="20"/>
                <w:szCs w:val="20"/>
              </w:rPr>
              <w:t xml:space="preserve">0.971</w:t>
            </w:r>
          </w:p>
        </w:tc>
        <w:tc>
          <w:tcPr>
            <w:tcW w:type="dxa" w:w="1300"/>
            <w:tcMar>
              <w:top w:type="dxa" w:w="60"/>
              <w:left w:type="dxa" w:w="100"/>
              <w:bottom w:type="dxa" w:w="60"/>
              <w:right w:type="dxa" w:w="100"/>
            </w:tcMar>
          </w:tcPr>
          <w:p>
            <w:r>
              <w:rPr>
                <w:b w:val="false"/>
                <w:bCs w:val="false"/>
                <w:sz w:val="20"/>
                <w:szCs w:val="20"/>
              </w:rPr>
              <w:t xml:space="preserve">0.968</w:t>
            </w:r>
          </w:p>
        </w:tc>
        <w:tc>
          <w:tcPr>
            <w:tcW w:type="dxa" w:w="1250"/>
            <w:tcMar>
              <w:top w:type="dxa" w:w="60"/>
              <w:left w:type="dxa" w:w="100"/>
              <w:bottom w:type="dxa" w:w="60"/>
              <w:right w:type="dxa" w:w="100"/>
            </w:tcMar>
          </w:tcPr>
          <w:p>
            <w:r>
              <w:rPr>
                <w:b w:val="false"/>
                <w:bCs w:val="false"/>
                <w:sz w:val="20"/>
                <w:szCs w:val="20"/>
              </w:rPr>
              <w:t xml:space="preserve">0.903</w:t>
            </w:r>
          </w:p>
        </w:tc>
        <w:tc>
          <w:tcPr>
            <w:tcW w:type="dxa" w:w="1250"/>
            <w:tcMar>
              <w:top w:type="dxa" w:w="60"/>
              <w:left w:type="dxa" w:w="100"/>
              <w:bottom w:type="dxa" w:w="60"/>
              <w:right w:type="dxa" w:w="100"/>
            </w:tcMar>
          </w:tcPr>
          <w:p>
            <w:r>
              <w:rPr>
                <w:b w:val="false"/>
                <w:bCs w:val="false"/>
                <w:sz w:val="20"/>
                <w:szCs w:val="20"/>
              </w:rPr>
              <w:t xml:space="preserve">0.89</w:t>
            </w:r>
          </w:p>
        </w:tc>
        <w:tc>
          <w:tcPr>
            <w:tcW w:type="dxa" w:w="1350"/>
            <w:tcMar>
              <w:top w:type="dxa" w:w="60"/>
              <w:left w:type="dxa" w:w="100"/>
              <w:bottom w:type="dxa" w:w="60"/>
              <w:right w:type="dxa" w:w="100"/>
            </w:tcMar>
          </w:tcPr>
          <w:p>
            <w:r>
              <w:rPr>
                <w:b w:val="false"/>
                <w:bCs w:val="false"/>
                <w:sz w:val="20"/>
                <w:szCs w:val="20"/>
              </w:rPr>
              <w:t xml:space="preserve">0.71</w:t>
            </w:r>
          </w:p>
        </w:tc>
      </w:tr>
      <w:tr>
        <w:tc>
          <w:tcPr>
            <w:tcW w:type="dxa" w:w="2700"/>
            <w:tcMar>
              <w:top w:type="dxa" w:w="60"/>
              <w:left w:type="dxa" w:w="100"/>
              <w:bottom w:type="dxa" w:w="60"/>
              <w:right w:type="dxa" w:w="100"/>
            </w:tcMar>
          </w:tcPr>
          <w:p>
            <w:r>
              <w:rPr>
                <w:b w:val="false"/>
                <w:bCs w:val="false"/>
                <w:sz w:val="20"/>
                <w:szCs w:val="20"/>
              </w:rPr>
              <w:t xml:space="preserve">Gradient Boosting (HistGB)</w:t>
            </w:r>
          </w:p>
        </w:tc>
        <w:tc>
          <w:tcPr>
            <w:tcW w:type="dxa" w:w="1250"/>
            <w:tcMar>
              <w:top w:type="dxa" w:w="60"/>
              <w:left w:type="dxa" w:w="100"/>
              <w:bottom w:type="dxa" w:w="60"/>
              <w:right w:type="dxa" w:w="100"/>
            </w:tcMar>
          </w:tcPr>
          <w:p>
            <w:r>
              <w:rPr>
                <w:b w:val="false"/>
                <w:bCs w:val="false"/>
                <w:sz w:val="20"/>
                <w:szCs w:val="20"/>
              </w:rPr>
              <w:t xml:space="preserve">0.959</w:t>
            </w:r>
          </w:p>
        </w:tc>
        <w:tc>
          <w:tcPr>
            <w:tcW w:type="dxa" w:w="1300"/>
            <w:tcMar>
              <w:top w:type="dxa" w:w="60"/>
              <w:left w:type="dxa" w:w="100"/>
              <w:bottom w:type="dxa" w:w="60"/>
              <w:right w:type="dxa" w:w="100"/>
            </w:tcMar>
          </w:tcPr>
          <w:p>
            <w:r>
              <w:rPr>
                <w:b w:val="false"/>
                <w:bCs w:val="false"/>
                <w:sz w:val="20"/>
                <w:szCs w:val="20"/>
              </w:rPr>
              <w:t xml:space="preserve">0.972</w:t>
            </w:r>
          </w:p>
        </w:tc>
        <w:tc>
          <w:tcPr>
            <w:tcW w:type="dxa" w:w="1250"/>
            <w:tcMar>
              <w:top w:type="dxa" w:w="60"/>
              <w:left w:type="dxa" w:w="100"/>
              <w:bottom w:type="dxa" w:w="60"/>
              <w:right w:type="dxa" w:w="100"/>
            </w:tcMar>
          </w:tcPr>
          <w:p>
            <w:r>
              <w:rPr>
                <w:b w:val="false"/>
                <w:bCs w:val="false"/>
                <w:sz w:val="20"/>
                <w:szCs w:val="20"/>
              </w:rPr>
              <w:t xml:space="preserve">0.923</w:t>
            </w:r>
          </w:p>
        </w:tc>
        <w:tc>
          <w:tcPr>
            <w:tcW w:type="dxa" w:w="1250"/>
            <w:tcMar>
              <w:top w:type="dxa" w:w="60"/>
              <w:left w:type="dxa" w:w="100"/>
              <w:bottom w:type="dxa" w:w="60"/>
              <w:right w:type="dxa" w:w="100"/>
            </w:tcMar>
          </w:tcPr>
          <w:p>
            <w:r>
              <w:rPr>
                <w:b w:val="false"/>
                <w:bCs w:val="false"/>
                <w:sz w:val="20"/>
                <w:szCs w:val="20"/>
              </w:rPr>
              <w:t xml:space="preserve">0.87</w:t>
            </w:r>
          </w:p>
        </w:tc>
        <w:tc>
          <w:tcPr>
            <w:tcW w:type="dxa" w:w="1350"/>
            <w:tcMar>
              <w:top w:type="dxa" w:w="60"/>
              <w:left w:type="dxa" w:w="100"/>
              <w:bottom w:type="dxa" w:w="60"/>
              <w:right w:type="dxa" w:w="100"/>
            </w:tcMar>
          </w:tcPr>
          <w:p>
            <w:r>
              <w:rPr>
                <w:b w:val="false"/>
                <w:bCs w:val="false"/>
                <w:sz w:val="20"/>
                <w:szCs w:val="20"/>
              </w:rPr>
              <w:t xml:space="preserve">0.68</w:t>
            </w:r>
          </w:p>
        </w:tc>
      </w:tr>
      <w:tr>
        <w:tc>
          <w:tcPr>
            <w:tcW w:type="dxa" w:w="2700"/>
            <w:tcMar>
              <w:top w:type="dxa" w:w="60"/>
              <w:left w:type="dxa" w:w="100"/>
              <w:bottom w:type="dxa" w:w="60"/>
              <w:right w:type="dxa" w:w="100"/>
            </w:tcMar>
          </w:tcPr>
          <w:p>
            <w:r>
              <w:rPr>
                <w:b w:val="false"/>
                <w:bCs w:val="false"/>
                <w:sz w:val="20"/>
                <w:szCs w:val="20"/>
              </w:rPr>
              <w:t xml:space="preserve">SVM (RBF kernel)</w:t>
            </w:r>
          </w:p>
        </w:tc>
        <w:tc>
          <w:tcPr>
            <w:tcW w:type="dxa" w:w="1250"/>
            <w:tcMar>
              <w:top w:type="dxa" w:w="60"/>
              <w:left w:type="dxa" w:w="100"/>
              <w:bottom w:type="dxa" w:w="60"/>
              <w:right w:type="dxa" w:w="100"/>
            </w:tcMar>
          </w:tcPr>
          <w:p>
            <w:r>
              <w:rPr>
                <w:b w:val="false"/>
                <w:bCs w:val="false"/>
                <w:sz w:val="20"/>
                <w:szCs w:val="20"/>
              </w:rPr>
              <w:t xml:space="preserve">0.954</w:t>
            </w:r>
          </w:p>
        </w:tc>
        <w:tc>
          <w:tcPr>
            <w:tcW w:type="dxa" w:w="1300"/>
            <w:tcMar>
              <w:top w:type="dxa" w:w="60"/>
              <w:left w:type="dxa" w:w="100"/>
              <w:bottom w:type="dxa" w:w="60"/>
              <w:right w:type="dxa" w:w="100"/>
            </w:tcMar>
          </w:tcPr>
          <w:p>
            <w:r>
              <w:rPr>
                <w:b w:val="false"/>
                <w:bCs w:val="false"/>
                <w:sz w:val="20"/>
                <w:szCs w:val="20"/>
              </w:rPr>
              <w:t xml:space="preserve">0.957</w:t>
            </w:r>
          </w:p>
        </w:tc>
        <w:tc>
          <w:tcPr>
            <w:tcW w:type="dxa" w:w="1250"/>
            <w:tcMar>
              <w:top w:type="dxa" w:w="60"/>
              <w:left w:type="dxa" w:w="100"/>
              <w:bottom w:type="dxa" w:w="60"/>
              <w:right w:type="dxa" w:w="100"/>
            </w:tcMar>
          </w:tcPr>
          <w:p>
            <w:r>
              <w:rPr>
                <w:b w:val="false"/>
                <w:bCs w:val="false"/>
                <w:sz w:val="20"/>
                <w:szCs w:val="20"/>
              </w:rPr>
              <w:t xml:space="preserve">0.881</w:t>
            </w:r>
          </w:p>
        </w:tc>
        <w:tc>
          <w:tcPr>
            <w:tcW w:type="dxa" w:w="1250"/>
            <w:tcMar>
              <w:top w:type="dxa" w:w="60"/>
              <w:left w:type="dxa" w:w="100"/>
              <w:bottom w:type="dxa" w:w="60"/>
              <w:right w:type="dxa" w:w="100"/>
            </w:tcMar>
          </w:tcPr>
          <w:p>
            <w:r>
              <w:rPr>
                <w:b w:val="false"/>
                <w:bCs w:val="false"/>
                <w:sz w:val="20"/>
                <w:szCs w:val="20"/>
              </w:rPr>
              <w:t xml:space="preserve">0.78</w:t>
            </w:r>
          </w:p>
        </w:tc>
        <w:tc>
          <w:tcPr>
            <w:tcW w:type="dxa" w:w="1350"/>
            <w:tcMar>
              <w:top w:type="dxa" w:w="60"/>
              <w:left w:type="dxa" w:w="100"/>
              <w:bottom w:type="dxa" w:w="60"/>
              <w:right w:type="dxa" w:w="100"/>
            </w:tcMar>
          </w:tcPr>
          <w:p>
            <w:r>
              <w:rPr>
                <w:b w:val="false"/>
                <w:bCs w:val="false"/>
                <w:sz w:val="20"/>
                <w:szCs w:val="20"/>
              </w:rPr>
              <w:t xml:space="preserve">0.80</w:t>
            </w:r>
          </w:p>
        </w:tc>
      </w:tr>
      <w:tr>
        <w:tc>
          <w:tcPr>
            <w:tcW w:type="dxa" w:w="2700"/>
            <w:tcMar>
              <w:top w:type="dxa" w:w="60"/>
              <w:left w:type="dxa" w:w="100"/>
              <w:bottom w:type="dxa" w:w="60"/>
              <w:right w:type="dxa" w:w="100"/>
            </w:tcMar>
          </w:tcPr>
          <w:p>
            <w:r>
              <w:rPr>
                <w:b w:val="false"/>
                <w:bCs w:val="false"/>
                <w:sz w:val="20"/>
                <w:szCs w:val="20"/>
              </w:rPr>
              <w:t xml:space="preserve">XGBoost</w:t>
            </w:r>
          </w:p>
        </w:tc>
        <w:tc>
          <w:tcPr>
            <w:tcW w:type="dxa" w:w="1250"/>
            <w:tcMar>
              <w:top w:type="dxa" w:w="60"/>
              <w:left w:type="dxa" w:w="100"/>
              <w:bottom w:type="dxa" w:w="60"/>
              <w:right w:type="dxa" w:w="100"/>
            </w:tcMar>
          </w:tcPr>
          <w:p>
            <w:r>
              <w:rPr>
                <w:b w:val="false"/>
                <w:bCs w:val="false"/>
                <w:sz w:val="20"/>
                <w:szCs w:val="20"/>
              </w:rPr>
              <w:t xml:space="preserve">0.963</w:t>
            </w:r>
          </w:p>
        </w:tc>
        <w:tc>
          <w:tcPr>
            <w:tcW w:type="dxa" w:w="1300"/>
            <w:tcMar>
              <w:top w:type="dxa" w:w="60"/>
              <w:left w:type="dxa" w:w="100"/>
              <w:bottom w:type="dxa" w:w="60"/>
              <w:right w:type="dxa" w:w="100"/>
            </w:tcMar>
          </w:tcPr>
          <w:p>
            <w:r>
              <w:rPr>
                <w:b w:val="false"/>
                <w:bCs w:val="false"/>
                <w:sz w:val="20"/>
                <w:szCs w:val="20"/>
              </w:rPr>
              <w:t xml:space="preserve">0.974</w:t>
            </w:r>
          </w:p>
        </w:tc>
        <w:tc>
          <w:tcPr>
            <w:tcW w:type="dxa" w:w="1250"/>
            <w:tcMar>
              <w:top w:type="dxa" w:w="60"/>
              <w:left w:type="dxa" w:w="100"/>
              <w:bottom w:type="dxa" w:w="60"/>
              <w:right w:type="dxa" w:w="100"/>
            </w:tcMar>
          </w:tcPr>
          <w:p>
            <w:r>
              <w:rPr>
                <w:b w:val="false"/>
                <w:bCs w:val="false"/>
                <w:sz w:val="20"/>
                <w:szCs w:val="20"/>
              </w:rPr>
              <w:t xml:space="preserve">0.927</w:t>
            </w:r>
          </w:p>
        </w:tc>
        <w:tc>
          <w:tcPr>
            <w:tcW w:type="dxa" w:w="1250"/>
            <w:tcMar>
              <w:top w:type="dxa" w:w="60"/>
              <w:left w:type="dxa" w:w="100"/>
              <w:bottom w:type="dxa" w:w="60"/>
              <w:right w:type="dxa" w:w="100"/>
            </w:tcMar>
          </w:tcPr>
          <w:p>
            <w:r>
              <w:rPr>
                <w:b w:val="false"/>
                <w:bCs w:val="false"/>
                <w:sz w:val="20"/>
                <w:szCs w:val="20"/>
              </w:rPr>
              <w:t xml:space="preserve">0.89</w:t>
            </w:r>
          </w:p>
        </w:tc>
        <w:tc>
          <w:tcPr>
            <w:tcW w:type="dxa" w:w="1350"/>
            <w:tcMar>
              <w:top w:type="dxa" w:w="60"/>
              <w:left w:type="dxa" w:w="100"/>
              <w:bottom w:type="dxa" w:w="60"/>
              <w:right w:type="dxa" w:w="100"/>
            </w:tcMar>
          </w:tcPr>
          <w:p>
            <w:r>
              <w:rPr>
                <w:b w:val="false"/>
                <w:bCs w:val="false"/>
                <w:sz w:val="20"/>
                <w:szCs w:val="20"/>
              </w:rPr>
              <w:t xml:space="preserve">0.71</w:t>
            </w:r>
          </w:p>
        </w:tc>
      </w:tr>
      <w:tr>
        <w:tc>
          <w:tcPr>
            <w:tcW w:type="dxa" w:w="2700"/>
            <w:tcMar>
              <w:top w:type="dxa" w:w="60"/>
              <w:left w:type="dxa" w:w="100"/>
              <w:bottom w:type="dxa" w:w="60"/>
              <w:right w:type="dxa" w:w="100"/>
            </w:tcMar>
          </w:tcPr>
          <w:p>
            <w:r>
              <w:rPr>
                <w:b w:val="false"/>
                <w:bCs w:val="false"/>
                <w:sz w:val="20"/>
                <w:szCs w:val="20"/>
              </w:rPr>
              <w:t xml:space="preserve">Rule: G2 below 10</w:t>
            </w:r>
          </w:p>
        </w:tc>
        <w:tc>
          <w:tcPr>
            <w:tcW w:type="dxa" w:w="1250"/>
            <w:tcMar>
              <w:top w:type="dxa" w:w="60"/>
              <w:left w:type="dxa" w:w="100"/>
              <w:bottom w:type="dxa" w:w="60"/>
              <w:right w:type="dxa" w:w="100"/>
            </w:tcMar>
          </w:tcPr>
          <w:p>
            <w:r>
              <w:rPr>
                <w:b w:val="false"/>
                <w:bCs w:val="false"/>
                <w:sz w:val="20"/>
                <w:szCs w:val="20"/>
              </w:rPr>
              <w:t xml:space="preserve">n/a</w:t>
            </w:r>
          </w:p>
        </w:tc>
        <w:tc>
          <w:tcPr>
            <w:tcW w:type="dxa" w:w="1300"/>
            <w:tcMar>
              <w:top w:type="dxa" w:w="60"/>
              <w:left w:type="dxa" w:w="100"/>
              <w:bottom w:type="dxa" w:w="60"/>
              <w:right w:type="dxa" w:w="100"/>
            </w:tcMar>
          </w:tcPr>
          <w:p>
            <w:r>
              <w:rPr>
                <w:b w:val="false"/>
                <w:bCs w:val="false"/>
                <w:sz w:val="20"/>
                <w:szCs w:val="20"/>
              </w:rPr>
              <w:t xml:space="preserve">0.971</w:t>
            </w:r>
          </w:p>
        </w:tc>
        <w:tc>
          <w:tcPr>
            <w:tcW w:type="dxa" w:w="1250"/>
            <w:tcMar>
              <w:top w:type="dxa" w:w="60"/>
              <w:left w:type="dxa" w:w="100"/>
              <w:bottom w:type="dxa" w:w="60"/>
              <w:right w:type="dxa" w:w="100"/>
            </w:tcMar>
          </w:tcPr>
          <w:p>
            <w:r>
              <w:rPr>
                <w:b w:val="false"/>
                <w:bCs w:val="false"/>
                <w:sz w:val="20"/>
                <w:szCs w:val="20"/>
              </w:rPr>
              <w:t xml:space="preserve">0.894</w:t>
            </w:r>
          </w:p>
        </w:tc>
        <w:tc>
          <w:tcPr>
            <w:tcW w:type="dxa" w:w="1250"/>
            <w:tcMar>
              <w:top w:type="dxa" w:w="60"/>
              <w:left w:type="dxa" w:w="100"/>
              <w:bottom w:type="dxa" w:w="60"/>
              <w:right w:type="dxa" w:w="100"/>
            </w:tcMar>
          </w:tcPr>
          <w:p>
            <w:r>
              <w:rPr>
                <w:b w:val="false"/>
                <w:bCs w:val="false"/>
                <w:sz w:val="20"/>
                <w:szCs w:val="20"/>
              </w:rPr>
              <w:t xml:space="preserve">1.00</w:t>
            </w:r>
          </w:p>
        </w:tc>
        <w:tc>
          <w:tcPr>
            <w:tcW w:type="dxa" w:w="1350"/>
            <w:tcMar>
              <w:top w:type="dxa" w:w="60"/>
              <w:left w:type="dxa" w:w="100"/>
              <w:bottom w:type="dxa" w:w="60"/>
              <w:right w:type="dxa" w:w="100"/>
            </w:tcMar>
          </w:tcPr>
          <w:p>
            <w:r>
              <w:rPr>
                <w:b w:val="false"/>
                <w:bCs w:val="false"/>
                <w:sz w:val="20"/>
                <w:szCs w:val="20"/>
              </w:rPr>
              <w:t xml:space="preserve">0.53</w:t>
            </w:r>
          </w:p>
        </w:tc>
      </w:tr>
      <w:tr>
        <w:tc>
          <w:tcPr>
            <w:tcW w:type="dxa" w:w="2700"/>
            <w:tcMar>
              <w:top w:type="dxa" w:w="60"/>
              <w:left w:type="dxa" w:w="100"/>
              <w:bottom w:type="dxa" w:w="60"/>
              <w:right w:type="dxa" w:w="100"/>
            </w:tcMar>
          </w:tcPr>
          <w:p>
            <w:r>
              <w:rPr>
                <w:b w:val="false"/>
                <w:bCs w:val="false"/>
                <w:sz w:val="20"/>
                <w:szCs w:val="20"/>
              </w:rPr>
              <w:t xml:space="preserve">Majority class</w:t>
            </w:r>
          </w:p>
        </w:tc>
        <w:tc>
          <w:tcPr>
            <w:tcW w:type="dxa" w:w="1250"/>
            <w:tcMar>
              <w:top w:type="dxa" w:w="60"/>
              <w:left w:type="dxa" w:w="100"/>
              <w:bottom w:type="dxa" w:w="60"/>
              <w:right w:type="dxa" w:w="100"/>
            </w:tcMar>
          </w:tcPr>
          <w:p>
            <w:r>
              <w:rPr>
                <w:b w:val="false"/>
                <w:bCs w:val="false"/>
                <w:sz w:val="20"/>
                <w:szCs w:val="20"/>
              </w:rPr>
              <w:t xml:space="preserve">n/a</w:t>
            </w:r>
          </w:p>
        </w:tc>
        <w:tc>
          <w:tcPr>
            <w:tcW w:type="dxa" w:w="1300"/>
            <w:tcMar>
              <w:top w:type="dxa" w:w="60"/>
              <w:left w:type="dxa" w:w="100"/>
              <w:bottom w:type="dxa" w:w="60"/>
              <w:right w:type="dxa" w:w="100"/>
            </w:tcMar>
          </w:tcPr>
          <w:p>
            <w:r>
              <w:rPr>
                <w:b w:val="false"/>
                <w:bCs w:val="false"/>
                <w:sz w:val="20"/>
                <w:szCs w:val="20"/>
              </w:rPr>
              <w:t xml:space="preserve">0.500</w:t>
            </w:r>
          </w:p>
        </w:tc>
        <w:tc>
          <w:tcPr>
            <w:tcW w:type="dxa" w:w="1250"/>
            <w:tcMar>
              <w:top w:type="dxa" w:w="60"/>
              <w:left w:type="dxa" w:w="100"/>
              <w:bottom w:type="dxa" w:w="60"/>
              <w:right w:type="dxa" w:w="100"/>
            </w:tcMar>
          </w:tcPr>
          <w:p>
            <w:r>
              <w:rPr>
                <w:b w:val="false"/>
                <w:bCs w:val="false"/>
                <w:sz w:val="20"/>
                <w:szCs w:val="20"/>
              </w:rPr>
              <w:t xml:space="preserve">0.222</w:t>
            </w:r>
          </w:p>
        </w:tc>
        <w:tc>
          <w:tcPr>
            <w:tcW w:type="dxa" w:w="1250"/>
            <w:tcMar>
              <w:top w:type="dxa" w:w="60"/>
              <w:left w:type="dxa" w:w="100"/>
              <w:bottom w:type="dxa" w:w="60"/>
              <w:right w:type="dxa" w:w="100"/>
            </w:tcMar>
          </w:tcPr>
          <w:p>
            <w:r>
              <w:rPr>
                <w:b w:val="false"/>
                <w:bCs w:val="false"/>
                <w:sz w:val="20"/>
                <w:szCs w:val="20"/>
              </w:rPr>
              <w:t xml:space="preserve">0.00</w:t>
            </w:r>
          </w:p>
        </w:tc>
        <w:tc>
          <w:tcPr>
            <w:tcW w:type="dxa" w:w="1350"/>
            <w:tcMar>
              <w:top w:type="dxa" w:w="60"/>
              <w:left w:type="dxa" w:w="100"/>
              <w:bottom w:type="dxa" w:w="60"/>
              <w:right w:type="dxa" w:w="100"/>
            </w:tcMar>
          </w:tcPr>
          <w:p>
            <w:r>
              <w:rPr>
                <w:b w:val="false"/>
                <w:bCs w:val="false"/>
                <w:sz w:val="20"/>
                <w:szCs w:val="20"/>
              </w:rPr>
              <w:t xml:space="preserve">0.00</w:t>
            </w:r>
          </w:p>
        </w:tc>
      </w:tr>
    </w:tbl>
    <w:p>
      <w:pPr>
        <w:spacing w:after="120"/>
      </w:pPr>
      <w:r>
        <w:t xml:space="preserve"/>
      </w:r>
    </w:p>
    <w:p>
      <w:pPr>
        <w:spacing w:after="120"/>
      </w:pPr>
      <w:r>
        <w:t xml:space="preserve">Random Forest had the best cross-validated ROC-AUC (0.971 ± 0.010) and became the champion. At its operating threshold of 0.64 the test confusion matrix is TN 150, FP 11, FN 8, TP 38: recall 0.83, precision 0.78, F1 0.80, Brier score 0.071.</w:t>
      </w:r>
    </w:p>
    <w:p>
      <w:pPr>
        <w:spacing w:before="120"/>
        <w:jc w:val="center"/>
      </w:pPr>
      <w:r>
        <w:drawing>
          <wp:inline distT="0" distB="0" distL="0" distR="0">
            <wp:extent cx="314325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3248025"/>
                    </a:xfrm>
                    <a:prstGeom prst="rect">
                      <a:avLst/>
                    </a:prstGeom>
                  </pic:spPr>
                </pic:pic>
              </a:graphicData>
            </a:graphic>
          </wp:inline>
        </w:drawing>
      </w:r>
    </w:p>
    <w:p>
      <w:pPr>
        <w:spacing w:after="200"/>
        <w:jc w:val="center"/>
      </w:pPr>
      <w:r>
        <w:rPr>
          <w:i/>
          <w:iCs/>
          <w:sz w:val="18"/>
          <w:szCs w:val="18"/>
        </w:rPr>
        <w:t xml:space="preserve">Figure 1: ROC curves on the held-out test set</w:t>
      </w:r>
    </w:p>
    <w:p>
      <w:pPr>
        <w:spacing w:before="120"/>
        <w:jc w:val="center"/>
      </w:pPr>
      <w:r>
        <w:drawing>
          <wp:inline distT="0" distB="0" distL="0" distR="0">
            <wp:extent cx="2857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676525"/>
                    </a:xfrm>
                    <a:prstGeom prst="rect">
                      <a:avLst/>
                    </a:prstGeom>
                  </pic:spPr>
                </pic:pic>
              </a:graphicData>
            </a:graphic>
          </wp:inline>
        </w:drawing>
      </w:r>
    </w:p>
    <w:p>
      <w:pPr>
        <w:spacing w:after="200"/>
        <w:jc w:val="center"/>
      </w:pPr>
      <w:r>
        <w:rPr>
          <w:i/>
          <w:iCs/>
          <w:sz w:val="18"/>
          <w:szCs w:val="18"/>
        </w:rPr>
        <w:t xml:space="preserve">Figure 2: Champion confusion matrix at the operating threshold</w:t>
      </w:r>
    </w:p>
    <w:p>
      <w:pPr>
        <w:pStyle w:val="Heading2"/>
        <w:spacing w:after="100" w:before="200"/>
      </w:pPr>
      <w:r>
        <w:t xml:space="preserve">4.3 Explainability</w:t>
      </w:r>
    </w:p>
    <w:p>
      <w:pPr>
        <w:spacing w:after="120"/>
      </w:pPr>
      <w:r>
        <w:t xml:space="preserve">SHAP values for the champion show that avg_internal_marks and previous_semester_score dominate, followed by failures. The synthetic attendance, LMS and assignment features contribute little because they were generated independently of the final score (documented in Part 1), so a model cannot learn a relationship that is not in the data.</w:t>
      </w:r>
    </w:p>
    <w:p>
      <w:pPr>
        <w:spacing w:before="120"/>
        <w:jc w:val="center"/>
      </w:pPr>
      <w:r>
        <w:drawing>
          <wp:inline distT="0" distB="0" distL="0" distR="0">
            <wp:extent cx="409575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3848100"/>
                    </a:xfrm>
                    <a:prstGeom prst="rect">
                      <a:avLst/>
                    </a:prstGeom>
                  </pic:spPr>
                </pic:pic>
              </a:graphicData>
            </a:graphic>
          </wp:inline>
        </w:drawing>
      </w:r>
    </w:p>
    <w:p>
      <w:pPr>
        <w:spacing w:after="200"/>
        <w:jc w:val="center"/>
      </w:pPr>
      <w:r>
        <w:rPr>
          <w:i/>
          <w:iCs/>
          <w:sz w:val="18"/>
          <w:szCs w:val="18"/>
        </w:rPr>
        <w:t xml:space="preserve">Figure 3: SHAP summary for the champion model (test set)</w:t>
      </w:r>
    </w:p>
    <w:p>
      <w:pPr>
        <w:pStyle w:val="Heading2"/>
        <w:spacing w:after="100" w:before="200"/>
      </w:pPr>
      <w:r>
        <w:t xml:space="preserve">4.4 What the numbers do and do not show</w:t>
      </w:r>
    </w:p>
    <w:p>
      <w:pPr>
        <w:pStyle w:val="ListParagraph"/>
        <w:numPr>
          <w:ilvl w:val="0"/>
          <w:numId w:val="2"/>
        </w:numPr>
        <w:spacing w:after="60"/>
      </w:pPr>
      <w:r>
        <w:t xml:space="preserve">The five models are statistically indistinguishable on 207 test rows with 46 positives. Random Forest won on cross-validation; XGBoost has the highest single test AUC. The SVM is the weakest of the five on both CV and test AUC.</w:t>
      </w:r>
    </w:p>
    <w:p>
      <w:pPr>
        <w:pStyle w:val="ListParagraph"/>
        <w:numPr>
          <w:ilvl w:val="0"/>
          <w:numId w:val="2"/>
        </w:numPr>
        <w:spacing w:after="60"/>
      </w:pPr>
      <w:r>
        <w:t xml:space="preserve">The simple rule 'G2 below 10' already reaches ROC-AUC 0.971. G2 is a very strong predictor of G3. The models' benefit is fewer false alarms: at the default threshold they flag 17 students wrongly versus 40 for the rule, while missing 5 at-risk students versus 0 for the rule.</w:t>
      </w:r>
    </w:p>
    <w:p>
      <w:pPr>
        <w:pStyle w:val="ListParagraph"/>
        <w:numPr>
          <w:ilvl w:val="0"/>
          <w:numId w:val="2"/>
        </w:numPr>
        <w:spacing w:after="60"/>
      </w:pPr>
      <w:r>
        <w:t xml:space="preserve">The label is a proxy, the dataset is about one thousand rows, and no hyperparameter search or fairness audit was done. The model supports early-warning conversations; it does not decide anything about a student.</w:t>
      </w:r>
    </w:p>
    <w:p>
      <w:pPr>
        <w:pStyle w:val="Heading1"/>
        <w:spacing w:after="150" w:before="300"/>
      </w:pPr>
      <w:r>
        <w:t xml:space="preserve">5. Experiment Tracking &amp; Model Registry (MLflow)</w:t>
      </w:r>
    </w:p>
    <w:p>
      <w:pPr>
        <w:spacing w:after="120"/>
      </w:pPr>
      <w:r>
        <w:t xml:space="preserve">mlops/train.py logs every training to MLflow using a SQLite backend in mlstore/ (set MLFLOW_TRACKING_URI to log to DagsHub instead). One parent run per training holds the dataset metadata, seed, split sizes and the plots; one child run per model and baseline holds its hyperparameters, cross-validation and test metrics, input/output signature and an input example.</w:t>
      </w:r>
    </w:p>
    <w:p>
      <w:pPr>
        <w:spacing w:after="120"/>
      </w:pPr>
      <w:r>
        <w:t xml:space="preserve">The winner is registered as student-dropout-risk. Promotion follows a champion/challenger rule: a new version takes the 'champion' alias when its test ROC-AUC is at least the current champion's minus 0.005; otherwise it stays registered but unpromoted and the serving bundle is not overwritten. This was exercised: a second identical training created version 2 and moved the alias from version 1.</w:t>
      </w:r>
    </w:p>
    <w:p>
      <w:pPr>
        <w:spacing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18"/>
          <w:szCs w:val="18"/>
        </w:rPr>
        <w:t xml:space="preserve">Figure 4: MLflow training runs with child runs for each model and baseline</w:t>
      </w:r>
    </w:p>
    <w:p>
      <w:pPr>
        <w:spacing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18"/>
          <w:szCs w:val="18"/>
        </w:rPr>
        <w:t xml:space="preserve">Figure 5: Model registry showing versions 1 and 2 and the champion alias</w:t>
      </w:r>
    </w:p>
    <w:p>
      <w:pPr>
        <w:spacing w:after="120"/>
      </w:pPr>
      <w:r>
        <w:t xml:space="preserve">After promotion the training script exports a serving bundle: models/champion.joblib, champion_meta.json (metrics, threshold, versions, library versions) and reference_stats.json (the training-time distribution used for drift checks).</w:t>
      </w:r>
    </w:p>
    <w:p>
      <w:pPr>
        <w:pStyle w:val="Heading1"/>
        <w:spacing w:after="150" w:before="300"/>
      </w:pPr>
      <w:r>
        <w:t xml:space="preserve">6. Model Serving (FastAPI)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5600"/>
      </w:tblGrid>
      <w:tr>
        <w:tc>
          <w:tcPr>
            <w:tcW w:type="dxa" w:w="1100"/>
            <w:shd w:fill="D9E2F3" w:val="clear"/>
            <w:tcMar>
              <w:top w:type="dxa" w:w="60"/>
              <w:left w:type="dxa" w:w="100"/>
              <w:bottom w:type="dxa" w:w="60"/>
              <w:right w:type="dxa" w:w="100"/>
            </w:tcMar>
          </w:tcPr>
          <w:p>
            <w:r>
              <w:rPr>
                <w:b/>
                <w:bCs/>
                <w:sz w:val="20"/>
                <w:szCs w:val="20"/>
              </w:rPr>
              <w:t xml:space="preserve">Method</w:t>
            </w:r>
          </w:p>
        </w:tc>
        <w:tc>
          <w:tcPr>
            <w:tcW w:type="dxa" w:w="2300"/>
            <w:shd w:fill="D9E2F3" w:val="clear"/>
            <w:tcMar>
              <w:top w:type="dxa" w:w="60"/>
              <w:left w:type="dxa" w:w="100"/>
              <w:bottom w:type="dxa" w:w="60"/>
              <w:right w:type="dxa" w:w="100"/>
            </w:tcMar>
          </w:tcPr>
          <w:p>
            <w:r>
              <w:rPr>
                <w:b/>
                <w:bCs/>
                <w:sz w:val="20"/>
                <w:szCs w:val="20"/>
              </w:rPr>
              <w:t xml:space="preserve">Path</w:t>
            </w:r>
          </w:p>
        </w:tc>
        <w:tc>
          <w:tcPr>
            <w:tcW w:type="dxa" w:w="5600"/>
            <w:shd w:fill="D9E2F3" w:val="clear"/>
            <w:tcMar>
              <w:top w:type="dxa" w:w="60"/>
              <w:left w:type="dxa" w:w="100"/>
              <w:bottom w:type="dxa" w:w="60"/>
              <w:right w:type="dxa" w:w="100"/>
            </w:tcMar>
          </w:tcPr>
          <w:p>
            <w:r>
              <w:rPr>
                <w:b/>
                <w:bCs/>
                <w:sz w:val="20"/>
                <w:szCs w:val="20"/>
              </w:rPr>
              <w:t xml:space="preserve">Purpose</w:t>
            </w:r>
          </w:p>
        </w:tc>
      </w:tr>
      <w:tr>
        <w:tc>
          <w:tcPr>
            <w:tcW w:type="dxa" w:w="1100"/>
            <w:tcMar>
              <w:top w:type="dxa" w:w="60"/>
              <w:left w:type="dxa" w:w="100"/>
              <w:bottom w:type="dxa" w:w="60"/>
              <w:right w:type="dxa" w:w="100"/>
            </w:tcMar>
          </w:tcPr>
          <w:p>
            <w:r>
              <w:rPr>
                <w:b w:val="false"/>
                <w:bCs w:val="false"/>
                <w:sz w:val="20"/>
                <w:szCs w:val="20"/>
              </w:rPr>
              <w:t xml:space="preserve">GET</w:t>
            </w:r>
          </w:p>
        </w:tc>
        <w:tc>
          <w:tcPr>
            <w:tcW w:type="dxa" w:w="2300"/>
            <w:tcMar>
              <w:top w:type="dxa" w:w="60"/>
              <w:left w:type="dxa" w:w="100"/>
              <w:bottom w:type="dxa" w:w="60"/>
              <w:right w:type="dxa" w:w="100"/>
            </w:tcMar>
          </w:tcPr>
          <w:p>
            <w:r>
              <w:rPr>
                <w:b w:val="false"/>
                <w:bCs w:val="false"/>
                <w:sz w:val="20"/>
                <w:szCs w:val="20"/>
              </w:rPr>
              <w:t xml:space="preserve">/health</w:t>
            </w:r>
          </w:p>
        </w:tc>
        <w:tc>
          <w:tcPr>
            <w:tcW w:type="dxa" w:w="5600"/>
            <w:tcMar>
              <w:top w:type="dxa" w:w="60"/>
              <w:left w:type="dxa" w:w="100"/>
              <w:bottom w:type="dxa" w:w="60"/>
              <w:right w:type="dxa" w:w="100"/>
            </w:tcMar>
          </w:tcPr>
          <w:p>
            <w:r>
              <w:rPr>
                <w:b w:val="false"/>
                <w:bCs w:val="false"/>
                <w:sz w:val="20"/>
                <w:szCs w:val="20"/>
              </w:rPr>
              <w:t xml:space="preserve">Liveness and whether a model is loaded</w:t>
            </w:r>
          </w:p>
        </w:tc>
      </w:tr>
      <w:tr>
        <w:tc>
          <w:tcPr>
            <w:tcW w:type="dxa" w:w="1100"/>
            <w:tcMar>
              <w:top w:type="dxa" w:w="60"/>
              <w:left w:type="dxa" w:w="100"/>
              <w:bottom w:type="dxa" w:w="60"/>
              <w:right w:type="dxa" w:w="100"/>
            </w:tcMar>
          </w:tcPr>
          <w:p>
            <w:r>
              <w:rPr>
                <w:b w:val="false"/>
                <w:bCs w:val="false"/>
                <w:sz w:val="20"/>
                <w:szCs w:val="20"/>
              </w:rPr>
              <w:t xml:space="preserve">GET</w:t>
            </w:r>
          </w:p>
        </w:tc>
        <w:tc>
          <w:tcPr>
            <w:tcW w:type="dxa" w:w="2300"/>
            <w:tcMar>
              <w:top w:type="dxa" w:w="60"/>
              <w:left w:type="dxa" w:w="100"/>
              <w:bottom w:type="dxa" w:w="60"/>
              <w:right w:type="dxa" w:w="100"/>
            </w:tcMar>
          </w:tcPr>
          <w:p>
            <w:r>
              <w:rPr>
                <w:b w:val="false"/>
                <w:bCs w:val="false"/>
                <w:sz w:val="20"/>
                <w:szCs w:val="20"/>
              </w:rPr>
              <w:t xml:space="preserve">/model-info</w:t>
            </w:r>
          </w:p>
        </w:tc>
        <w:tc>
          <w:tcPr>
            <w:tcW w:type="dxa" w:w="5600"/>
            <w:tcMar>
              <w:top w:type="dxa" w:w="60"/>
              <w:left w:type="dxa" w:w="100"/>
              <w:bottom w:type="dxa" w:w="60"/>
              <w:right w:type="dxa" w:w="100"/>
            </w:tcMar>
          </w:tcPr>
          <w:p>
            <w:r>
              <w:rPr>
                <w:b w:val="false"/>
                <w:bCs w:val="false"/>
                <w:sz w:val="20"/>
                <w:szCs w:val="20"/>
              </w:rPr>
              <w:t xml:space="preserve">Algorithm, registry version, threshold, test metrics, features</w:t>
            </w:r>
          </w:p>
        </w:tc>
      </w:tr>
      <w:tr>
        <w:tc>
          <w:tcPr>
            <w:tcW w:type="dxa" w:w="1100"/>
            <w:tcMar>
              <w:top w:type="dxa" w:w="60"/>
              <w:left w:type="dxa" w:w="100"/>
              <w:bottom w:type="dxa" w:w="60"/>
              <w:right w:type="dxa" w:w="100"/>
            </w:tcMar>
          </w:tcPr>
          <w:p>
            <w:r>
              <w:rPr>
                <w:b w:val="false"/>
                <w:bCs w:val="false"/>
                <w:sz w:val="20"/>
                <w:szCs w:val="20"/>
              </w:rPr>
              <w:t xml:space="preserve">POST</w:t>
            </w:r>
          </w:p>
        </w:tc>
        <w:tc>
          <w:tcPr>
            <w:tcW w:type="dxa" w:w="2300"/>
            <w:tcMar>
              <w:top w:type="dxa" w:w="60"/>
              <w:left w:type="dxa" w:w="100"/>
              <w:bottom w:type="dxa" w:w="60"/>
              <w:right w:type="dxa" w:w="100"/>
            </w:tcMar>
          </w:tcPr>
          <w:p>
            <w:r>
              <w:rPr>
                <w:b w:val="false"/>
                <w:bCs w:val="false"/>
                <w:sz w:val="20"/>
                <w:szCs w:val="20"/>
              </w:rPr>
              <w:t xml:space="preserve">/predict</w:t>
            </w:r>
          </w:p>
        </w:tc>
        <w:tc>
          <w:tcPr>
            <w:tcW w:type="dxa" w:w="5600"/>
            <w:tcMar>
              <w:top w:type="dxa" w:w="60"/>
              <w:left w:type="dxa" w:w="100"/>
              <w:bottom w:type="dxa" w:w="60"/>
              <w:right w:type="dxa" w:w="100"/>
            </w:tcMar>
          </w:tcPr>
          <w:p>
            <w:r>
              <w:rPr>
                <w:b w:val="false"/>
                <w:bCs w:val="false"/>
                <w:sz w:val="20"/>
                <w:szCs w:val="20"/>
              </w:rPr>
              <w:t xml:space="preserve">One student: probability, risk band, top factors</w:t>
            </w:r>
          </w:p>
        </w:tc>
      </w:tr>
      <w:tr>
        <w:tc>
          <w:tcPr>
            <w:tcW w:type="dxa" w:w="1100"/>
            <w:tcMar>
              <w:top w:type="dxa" w:w="60"/>
              <w:left w:type="dxa" w:w="100"/>
              <w:bottom w:type="dxa" w:w="60"/>
              <w:right w:type="dxa" w:w="100"/>
            </w:tcMar>
          </w:tcPr>
          <w:p>
            <w:r>
              <w:rPr>
                <w:b w:val="false"/>
                <w:bCs w:val="false"/>
                <w:sz w:val="20"/>
                <w:szCs w:val="20"/>
              </w:rPr>
              <w:t xml:space="preserve">POST</w:t>
            </w:r>
          </w:p>
        </w:tc>
        <w:tc>
          <w:tcPr>
            <w:tcW w:type="dxa" w:w="2300"/>
            <w:tcMar>
              <w:top w:type="dxa" w:w="60"/>
              <w:left w:type="dxa" w:w="100"/>
              <w:bottom w:type="dxa" w:w="60"/>
              <w:right w:type="dxa" w:w="100"/>
            </w:tcMar>
          </w:tcPr>
          <w:p>
            <w:r>
              <w:rPr>
                <w:b w:val="false"/>
                <w:bCs w:val="false"/>
                <w:sz w:val="20"/>
                <w:szCs w:val="20"/>
              </w:rPr>
              <w:t xml:space="preserve">/predict/batch</w:t>
            </w:r>
          </w:p>
        </w:tc>
        <w:tc>
          <w:tcPr>
            <w:tcW w:type="dxa" w:w="5600"/>
            <w:tcMar>
              <w:top w:type="dxa" w:w="60"/>
              <w:left w:type="dxa" w:w="100"/>
              <w:bottom w:type="dxa" w:w="60"/>
              <w:right w:type="dxa" w:w="100"/>
            </w:tcMar>
          </w:tcPr>
          <w:p>
            <w:r>
              <w:rPr>
                <w:b w:val="false"/>
                <w:bCs w:val="false"/>
                <w:sz w:val="20"/>
                <w:szCs w:val="20"/>
              </w:rPr>
              <w:t xml:space="preserve">1 to 500 students</w:t>
            </w:r>
          </w:p>
        </w:tc>
      </w:tr>
      <w:tr>
        <w:tc>
          <w:tcPr>
            <w:tcW w:type="dxa" w:w="1100"/>
            <w:tcMar>
              <w:top w:type="dxa" w:w="60"/>
              <w:left w:type="dxa" w:w="100"/>
              <w:bottom w:type="dxa" w:w="60"/>
              <w:right w:type="dxa" w:w="100"/>
            </w:tcMar>
          </w:tcPr>
          <w:p>
            <w:r>
              <w:rPr>
                <w:b w:val="false"/>
                <w:bCs w:val="false"/>
                <w:sz w:val="20"/>
                <w:szCs w:val="20"/>
              </w:rPr>
              <w:t xml:space="preserve">GET</w:t>
            </w:r>
          </w:p>
        </w:tc>
        <w:tc>
          <w:tcPr>
            <w:tcW w:type="dxa" w:w="2300"/>
            <w:tcMar>
              <w:top w:type="dxa" w:w="60"/>
              <w:left w:type="dxa" w:w="100"/>
              <w:bottom w:type="dxa" w:w="60"/>
              <w:right w:type="dxa" w:w="100"/>
            </w:tcMar>
          </w:tcPr>
          <w:p>
            <w:r>
              <w:rPr>
                <w:b w:val="false"/>
                <w:bCs w:val="false"/>
                <w:sz w:val="20"/>
                <w:szCs w:val="20"/>
              </w:rPr>
              <w:t xml:space="preserve">/stats</w:t>
            </w:r>
          </w:p>
        </w:tc>
        <w:tc>
          <w:tcPr>
            <w:tcW w:type="dxa" w:w="5600"/>
            <w:tcMar>
              <w:top w:type="dxa" w:w="60"/>
              <w:left w:type="dxa" w:w="100"/>
              <w:bottom w:type="dxa" w:w="60"/>
              <w:right w:type="dxa" w:w="100"/>
            </w:tcMar>
          </w:tcPr>
          <w:p>
            <w:r>
              <w:rPr>
                <w:b w:val="false"/>
                <w:bCs w:val="false"/>
                <w:sz w:val="20"/>
                <w:szCs w:val="20"/>
              </w:rPr>
              <w:t xml:space="preserve">Request count, share flagged, average latency</w:t>
            </w:r>
          </w:p>
        </w:tc>
      </w:tr>
    </w:tbl>
    <w:p>
      <w:pPr>
        <w:spacing w:after="120"/>
      </w:pPr>
      <w:r>
        <w:t xml:space="preserve"/>
      </w:r>
    </w:p>
    <w:p>
      <w:pPr>
        <w:spacing w:after="120"/>
      </w:pPr>
      <w:r>
        <w:t xml:space="preserve">Inputs are validated with Pydantic: only previous_semester_score is required, ranges are enforced, unknown fields are rejected with HTTP 422, and a missing optional field is imputed and flagged as described in Section 3.2. Each response includes the three features that moved the prediction most, computed by swapping one feature at a time for the training average, so no SHAP library is needed in the container. Every prediction is appended to logs/prediction_log.csv, which is the input to drift monitoring.</w:t>
      </w:r>
    </w:p>
    <w:p>
      <w:pPr>
        <w:spacing w:after="120"/>
      </w:pPr>
      <w:r>
        <w:rPr>
          <w:b/>
          <w:bCs/>
        </w:rPr>
        <w:t xml:space="preserve">Example request and response:</w:t>
      </w:r>
    </w:p>
    <w:p>
      <w:pPr>
        <w:spacing w:after="40"/>
        <w:ind w:left="300"/>
      </w:pPr>
      <w:r>
        <w:rPr>
          <w:rFonts w:ascii="Courier New" w:cs="Courier New" w:eastAsia="Courier New" w:hAnsi="Courier New"/>
          <w:sz w:val="18"/>
          <w:szCs w:val="18"/>
        </w:rPr>
        <w:t xml:space="preserve">POST /predict {"student_id":"DEMO1","previous_semester_score":8,"avg_internal_marks":8.5,</w:t>
      </w:r>
    </w:p>
    <w:p>
      <w:pPr>
        <w:spacing w:after="40"/>
        <w:ind w:left="300"/>
      </w:pPr>
      <w:r>
        <w:rPr>
          <w:rFonts w:ascii="Courier New" w:cs="Courier New" w:eastAsia="Courier New" w:hAnsi="Courier New"/>
          <w:sz w:val="18"/>
          <w:szCs w:val="18"/>
        </w:rPr>
        <w:t xml:space="preserve">               "attendance_pct":62,"failures":1,"lms_engagement_score":30}</w:t>
      </w:r>
    </w:p>
    <w:p>
      <w:pPr>
        <w:spacing w:after="40"/>
        <w:ind w:left="300"/>
      </w:pPr>
      <w:r>
        <w:rPr>
          <w:rFonts w:ascii="Courier New" w:cs="Courier New" w:eastAsia="Courier New" w:hAnsi="Courier New"/>
          <w:sz w:val="18"/>
          <w:szCs w:val="18"/>
        </w:rPr>
        <w:t xml:space="preserve">-&gt; {"at_risk_probability":0.8693,"at_risk":true,"risk_band":"High","threshold":0.64,</w:t>
      </w:r>
    </w:p>
    <w:p>
      <w:pPr>
        <w:spacing w:after="40"/>
        <w:ind w:left="300"/>
      </w:pPr>
      <w:r>
        <w:rPr>
          <w:rFonts w:ascii="Courier New" w:cs="Courier New" w:eastAsia="Courier New" w:hAnsi="Courier New"/>
          <w:sz w:val="18"/>
          <w:szCs w:val="18"/>
        </w:rPr>
        <w:t xml:space="preserve">    "top_factors":[{"feature":"avg_internal_marks","impact":0.4251},</w:t>
      </w:r>
    </w:p>
    <w:p>
      <w:pPr>
        <w:spacing w:after="40"/>
        <w:ind w:left="300"/>
      </w:pPr>
      <w:r>
        <w:rPr>
          <w:rFonts w:ascii="Courier New" w:cs="Courier New" w:eastAsia="Courier New" w:hAnsi="Courier New"/>
          <w:sz w:val="18"/>
          <w:szCs w:val="18"/>
        </w:rPr>
        <w:t xml:space="preserve">                   {"feature":"previous_semester_score","impact":0.3498},{"feature":"failures",...}],</w:t>
      </w:r>
    </w:p>
    <w:p>
      <w:pPr>
        <w:spacing w:after="40"/>
        <w:ind w:left="300"/>
      </w:pPr>
      <w:r>
        <w:rPr>
          <w:rFonts w:ascii="Courier New" w:cs="Courier New" w:eastAsia="Courier New" w:hAnsi="Courier New"/>
          <w:sz w:val="18"/>
          <w:szCs w:val="18"/>
        </w:rPr>
        <w:t xml:space="preserve">    "model_version":"2"}</w:t>
      </w:r>
    </w:p>
    <w:p>
      <w:pPr>
        <w:spacing w:after="120"/>
      </w:pPr>
      <w:r>
        <w:t xml:space="preserve"/>
      </w:r>
    </w:p>
    <w:p>
      <w:pPr>
        <w:spacing w:before="120"/>
        <w:jc w:val="center"/>
      </w:pPr>
      <w:r>
        <w:drawing>
          <wp:inline distT="0" distB="0" distL="0" distR="0">
            <wp:extent cx="43815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3038475"/>
                    </a:xfrm>
                    <a:prstGeom prst="rect">
                      <a:avLst/>
                    </a:prstGeom>
                  </pic:spPr>
                </pic:pic>
              </a:graphicData>
            </a:graphic>
          </wp:inline>
        </w:drawing>
      </w:r>
    </w:p>
    <w:p>
      <w:pPr>
        <w:spacing w:after="200"/>
        <w:jc w:val="center"/>
      </w:pPr>
      <w:r>
        <w:rPr>
          <w:i/>
          <w:iCs/>
          <w:sz w:val="18"/>
          <w:szCs w:val="18"/>
        </w:rPr>
        <w:t xml:space="preserve">Figure 6: Interactive API documentation served at /docs</w:t>
      </w:r>
    </w:p>
    <w:p>
      <w:pPr>
        <w:pStyle w:val="Heading1"/>
        <w:spacing w:after="150" w:before="300"/>
      </w:pPr>
      <w:r>
        <w:t xml:space="preserve">7. Containerization (Docker)</w:t>
      </w:r>
    </w:p>
    <w:p>
      <w:pPr>
        <w:spacing w:after="120"/>
      </w:pPr>
      <w:r>
        <w:t xml:space="preserve">A single image (python:3.11-slim, non-root user, health check) runs three jobs, selected in docker-compose.yml: the API service, a trainer that rebuilds the dataset and retrains inside the same library versions, and an MLflow UI. A fourth profile runs the drift monitor. Code goes into the image; data, models, logs and the MLflow store are mounted as volumes, so rebuilding never deletes them.</w:t>
      </w:r>
    </w:p>
    <w:p>
      <w:pPr>
        <w:spacing w:after="40"/>
        <w:ind w:left="300"/>
      </w:pPr>
      <w:r>
        <w:rPr>
          <w:rFonts w:ascii="Courier New" w:cs="Courier New" w:eastAsia="Courier New" w:hAnsi="Courier New"/>
          <w:sz w:val="18"/>
          <w:szCs w:val="18"/>
        </w:rPr>
        <w:t xml:space="preserve">docker compose --profile train run --rm trainer   # dataset + train + register</w:t>
      </w:r>
    </w:p>
    <w:p>
      <w:pPr>
        <w:spacing w:after="40"/>
        <w:ind w:left="300"/>
      </w:pPr>
      <w:r>
        <w:rPr>
          <w:rFonts w:ascii="Courier New" w:cs="Courier New" w:eastAsia="Courier New" w:hAnsi="Courier New"/>
          <w:sz w:val="18"/>
          <w:szCs w:val="18"/>
        </w:rPr>
        <w:t xml:space="preserve">docker compose up --build api                     # serve on :8000</w:t>
      </w:r>
    </w:p>
    <w:p>
      <w:pPr>
        <w:spacing w:after="40"/>
        <w:ind w:left="300"/>
      </w:pPr>
      <w:r>
        <w:rPr>
          <w:rFonts w:ascii="Courier New" w:cs="Courier New" w:eastAsia="Courier New" w:hAnsi="Courier New"/>
          <w:sz w:val="18"/>
          <w:szCs w:val="18"/>
        </w:rPr>
        <w:t xml:space="preserve">docker compose up mlflow                          # MLflow UI on :5000</w:t>
      </w:r>
    </w:p>
    <w:p>
      <w:pPr>
        <w:spacing w:after="40"/>
        <w:ind w:left="300"/>
      </w:pPr>
      <w:r>
        <w:rPr>
          <w:rFonts w:ascii="Courier New" w:cs="Courier New" w:eastAsia="Courier New" w:hAnsi="Courier New"/>
          <w:sz w:val="18"/>
          <w:szCs w:val="18"/>
        </w:rPr>
        <w:t xml:space="preserve">docker compose --profile monitor run --rm monitor</w:t>
      </w:r>
    </w:p>
    <w:p>
      <w:pPr>
        <w:spacing w:after="120"/>
      </w:pPr>
      <w:r>
        <w:t xml:space="preserve"/>
      </w:r>
    </w:p>
    <w:p>
      <w:pPr>
        <w:spacing w:after="120"/>
      </w:pPr>
      <w:r>
        <w:t xml:space="preserve">Training inside the container is deliberate: a pickled scikit-learn model only loads reliably under the version that wrote it, so the image trains its own model instead of trusting a file built elsewhere. Status: the compose file is validated with 'docker compose config'; the image build and container run are demonstrated on the review machine (see Section 10).</w:t>
      </w:r>
    </w:p>
    <w:p>
      <w:pPr>
        <w:pStyle w:val="Heading1"/>
        <w:spacing w:after="150" w:before="300"/>
      </w:pPr>
      <w:r>
        <w:t xml:space="preserve">8. Monitoring &amp; Retraining Criteria</w:t>
      </w:r>
    </w:p>
    <w:p>
      <w:pPr>
        <w:spacing w:after="120"/>
      </w:pPr>
      <w:r>
        <w:t xml:space="preserve">mlops/monitoring.py compares the logged predictions with the training reference. A check needs at least 30 logged predictions; below that it reports insufficient data instead of guessing.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4600"/>
        <w:gridCol w:w="2500"/>
      </w:tblGrid>
      <w:tr>
        <w:tc>
          <w:tcPr>
            <w:tcW w:type="dxa" w:w="1900"/>
            <w:shd w:fill="D9E2F3" w:val="clear"/>
            <w:tcMar>
              <w:top w:type="dxa" w:w="60"/>
              <w:left w:type="dxa" w:w="100"/>
              <w:bottom w:type="dxa" w:w="60"/>
              <w:right w:type="dxa" w:w="100"/>
            </w:tcMar>
          </w:tcPr>
          <w:p>
            <w:r>
              <w:rPr>
                <w:b/>
                <w:bCs/>
                <w:sz w:val="20"/>
                <w:szCs w:val="20"/>
              </w:rPr>
              <w:t xml:space="preserve">Signal</w:t>
            </w:r>
          </w:p>
        </w:tc>
        <w:tc>
          <w:tcPr>
            <w:tcW w:type="dxa" w:w="4600"/>
            <w:shd w:fill="D9E2F3" w:val="clear"/>
            <w:tcMar>
              <w:top w:type="dxa" w:w="60"/>
              <w:left w:type="dxa" w:w="100"/>
              <w:bottom w:type="dxa" w:w="60"/>
              <w:right w:type="dxa" w:w="100"/>
            </w:tcMar>
          </w:tcPr>
          <w:p>
            <w:r>
              <w:rPr>
                <w:b/>
                <w:bCs/>
                <w:sz w:val="20"/>
                <w:szCs w:val="20"/>
              </w:rPr>
              <w:t xml:space="preserve">Method</w:t>
            </w:r>
          </w:p>
        </w:tc>
        <w:tc>
          <w:tcPr>
            <w:tcW w:type="dxa" w:w="2500"/>
            <w:shd w:fill="D9E2F3" w:val="clear"/>
            <w:tcMar>
              <w:top w:type="dxa" w:w="60"/>
              <w:left w:type="dxa" w:w="100"/>
              <w:bottom w:type="dxa" w:w="60"/>
              <w:right w:type="dxa" w:w="100"/>
            </w:tcMar>
          </w:tcPr>
          <w:p>
            <w:r>
              <w:rPr>
                <w:b/>
                <w:bCs/>
                <w:sz w:val="20"/>
                <w:szCs w:val="20"/>
              </w:rPr>
              <w:t xml:space="preserve">Threshold</w:t>
            </w:r>
          </w:p>
        </w:tc>
      </w:tr>
      <w:tr>
        <w:tc>
          <w:tcPr>
            <w:tcW w:type="dxa" w:w="1900"/>
            <w:tcMar>
              <w:top w:type="dxa" w:w="60"/>
              <w:left w:type="dxa" w:w="100"/>
              <w:bottom w:type="dxa" w:w="60"/>
              <w:right w:type="dxa" w:w="100"/>
            </w:tcMar>
          </w:tcPr>
          <w:p>
            <w:r>
              <w:rPr>
                <w:b w:val="false"/>
                <w:bCs w:val="false"/>
                <w:sz w:val="20"/>
                <w:szCs w:val="20"/>
              </w:rPr>
              <w:t xml:space="preserve">Data drift</w:t>
            </w:r>
          </w:p>
        </w:tc>
        <w:tc>
          <w:tcPr>
            <w:tcW w:type="dxa" w:w="4600"/>
            <w:tcMar>
              <w:top w:type="dxa" w:w="60"/>
              <w:left w:type="dxa" w:w="100"/>
              <w:bottom w:type="dxa" w:w="60"/>
              <w:right w:type="dxa" w:w="100"/>
            </w:tcMar>
          </w:tcPr>
          <w:p>
            <w:r>
              <w:rPr>
                <w:b w:val="false"/>
                <w:bCs w:val="false"/>
                <w:sz w:val="20"/>
                <w:szCs w:val="20"/>
              </w:rPr>
              <w:t xml:space="preserve">Population Stability Index per feature, plus KS test for continuous features</w:t>
            </w:r>
          </w:p>
        </w:tc>
        <w:tc>
          <w:tcPr>
            <w:tcW w:type="dxa" w:w="2500"/>
            <w:tcMar>
              <w:top w:type="dxa" w:w="60"/>
              <w:left w:type="dxa" w:w="100"/>
              <w:bottom w:type="dxa" w:w="60"/>
              <w:right w:type="dxa" w:w="100"/>
            </w:tcMar>
          </w:tcPr>
          <w:p>
            <w:r>
              <w:rPr>
                <w:b w:val="false"/>
                <w:bCs w:val="false"/>
                <w:sz w:val="20"/>
                <w:szCs w:val="20"/>
              </w:rPr>
              <w:t xml:space="preserve">PSI 0.10 watch, 0.20 warning, 0.25 drift</w:t>
            </w:r>
          </w:p>
        </w:tc>
      </w:tr>
      <w:tr>
        <w:tc>
          <w:tcPr>
            <w:tcW w:type="dxa" w:w="1900"/>
            <w:tcMar>
              <w:top w:type="dxa" w:w="60"/>
              <w:left w:type="dxa" w:w="100"/>
              <w:bottom w:type="dxa" w:w="60"/>
              <w:right w:type="dxa" w:w="100"/>
            </w:tcMar>
          </w:tcPr>
          <w:p>
            <w:r>
              <w:rPr>
                <w:b w:val="false"/>
                <w:bCs w:val="false"/>
                <w:sz w:val="20"/>
                <w:szCs w:val="20"/>
              </w:rPr>
              <w:t xml:space="preserve">Prediction drift</w:t>
            </w:r>
          </w:p>
        </w:tc>
        <w:tc>
          <w:tcPr>
            <w:tcW w:type="dxa" w:w="4600"/>
            <w:tcMar>
              <w:top w:type="dxa" w:w="60"/>
              <w:left w:type="dxa" w:w="100"/>
              <w:bottom w:type="dxa" w:w="60"/>
              <w:right w:type="dxa" w:w="100"/>
            </w:tcMar>
          </w:tcPr>
          <w:p>
            <w:r>
              <w:rPr>
                <w:b w:val="false"/>
                <w:bCs w:val="false"/>
                <w:sz w:val="20"/>
                <w:szCs w:val="20"/>
              </w:rPr>
              <w:t xml:space="preserve">Share flagged at-risk vs reference share (23.7%)</w:t>
            </w:r>
          </w:p>
        </w:tc>
        <w:tc>
          <w:tcPr>
            <w:tcW w:type="dxa" w:w="2500"/>
            <w:tcMar>
              <w:top w:type="dxa" w:w="60"/>
              <w:left w:type="dxa" w:w="100"/>
              <w:bottom w:type="dxa" w:w="60"/>
              <w:right w:type="dxa" w:w="100"/>
            </w:tcMar>
          </w:tcPr>
          <w:p>
            <w:r>
              <w:rPr>
                <w:b w:val="false"/>
                <w:bCs w:val="false"/>
                <w:sz w:val="20"/>
                <w:szCs w:val="20"/>
              </w:rPr>
              <w:t xml:space="preserve">More than 10 percentage points</w:t>
            </w:r>
          </w:p>
        </w:tc>
      </w:tr>
      <w:tr>
        <w:tc>
          <w:tcPr>
            <w:tcW w:type="dxa" w:w="1900"/>
            <w:tcMar>
              <w:top w:type="dxa" w:w="60"/>
              <w:left w:type="dxa" w:w="100"/>
              <w:bottom w:type="dxa" w:w="60"/>
              <w:right w:type="dxa" w:w="100"/>
            </w:tcMar>
          </w:tcPr>
          <w:p>
            <w:r>
              <w:rPr>
                <w:b w:val="false"/>
                <w:bCs w:val="false"/>
                <w:sz w:val="20"/>
                <w:szCs w:val="20"/>
              </w:rPr>
              <w:t xml:space="preserve">Missing-data drift</w:t>
            </w:r>
          </w:p>
        </w:tc>
        <w:tc>
          <w:tcPr>
            <w:tcW w:type="dxa" w:w="4600"/>
            <w:tcMar>
              <w:top w:type="dxa" w:w="60"/>
              <w:left w:type="dxa" w:w="100"/>
              <w:bottom w:type="dxa" w:w="60"/>
              <w:right w:type="dxa" w:w="100"/>
            </w:tcMar>
          </w:tcPr>
          <w:p>
            <w:r>
              <w:rPr>
                <w:b w:val="false"/>
                <w:bCs w:val="false"/>
                <w:sz w:val="20"/>
                <w:szCs w:val="20"/>
              </w:rPr>
              <w:t xml:space="preserve">Share of requests with each availability flag at 0</w:t>
            </w:r>
          </w:p>
        </w:tc>
        <w:tc>
          <w:tcPr>
            <w:tcW w:type="dxa" w:w="2500"/>
            <w:tcMar>
              <w:top w:type="dxa" w:w="60"/>
              <w:left w:type="dxa" w:w="100"/>
              <w:bottom w:type="dxa" w:w="60"/>
              <w:right w:type="dxa" w:w="100"/>
            </w:tcMar>
          </w:tcPr>
          <w:p>
            <w:r>
              <w:rPr>
                <w:b w:val="false"/>
                <w:bCs w:val="false"/>
                <w:sz w:val="20"/>
                <w:szCs w:val="20"/>
              </w:rPr>
              <w:t xml:space="preserve">Reported only</w:t>
            </w:r>
          </w:p>
        </w:tc>
      </w:tr>
      <w:tr>
        <w:tc>
          <w:tcPr>
            <w:tcW w:type="dxa" w:w="1900"/>
            <w:tcMar>
              <w:top w:type="dxa" w:w="60"/>
              <w:left w:type="dxa" w:w="100"/>
              <w:bottom w:type="dxa" w:w="60"/>
              <w:right w:type="dxa" w:w="100"/>
            </w:tcMar>
          </w:tcPr>
          <w:p>
            <w:r>
              <w:rPr>
                <w:b w:val="false"/>
                <w:bCs w:val="false"/>
                <w:sz w:val="20"/>
                <w:szCs w:val="20"/>
              </w:rPr>
              <w:t xml:space="preserve">Performance drift</w:t>
            </w:r>
          </w:p>
        </w:tc>
        <w:tc>
          <w:tcPr>
            <w:tcW w:type="dxa" w:w="4600"/>
            <w:tcMar>
              <w:top w:type="dxa" w:w="60"/>
              <w:left w:type="dxa" w:w="100"/>
              <w:bottom w:type="dxa" w:w="60"/>
              <w:right w:type="dxa" w:w="100"/>
            </w:tcMar>
          </w:tcPr>
          <w:p>
            <w:r>
              <w:rPr>
                <w:b w:val="false"/>
                <w:bCs w:val="false"/>
                <w:sz w:val="20"/>
                <w:szCs w:val="20"/>
              </w:rPr>
              <w:t xml:space="preserve">Recall and ROC-AUC once true outcomes are known</w:t>
            </w:r>
          </w:p>
        </w:tc>
        <w:tc>
          <w:tcPr>
            <w:tcW w:type="dxa" w:w="2500"/>
            <w:tcMar>
              <w:top w:type="dxa" w:w="60"/>
              <w:left w:type="dxa" w:w="100"/>
              <w:bottom w:type="dxa" w:w="60"/>
              <w:right w:type="dxa" w:w="100"/>
            </w:tcMar>
          </w:tcPr>
          <w:p>
            <w:r>
              <w:rPr>
                <w:b w:val="false"/>
                <w:bCs w:val="false"/>
                <w:sz w:val="20"/>
                <w:szCs w:val="20"/>
              </w:rPr>
              <w:t xml:space="preserve">Recall below 0.70 or AUC down more than 0.05</w:t>
            </w:r>
          </w:p>
        </w:tc>
      </w:tr>
      <w:tr>
        <w:tc>
          <w:tcPr>
            <w:tcW w:type="dxa" w:w="1900"/>
            <w:tcMar>
              <w:top w:type="dxa" w:w="60"/>
              <w:left w:type="dxa" w:w="100"/>
              <w:bottom w:type="dxa" w:w="60"/>
              <w:right w:type="dxa" w:w="100"/>
            </w:tcMar>
          </w:tcPr>
          <w:p>
            <w:r>
              <w:rPr>
                <w:b w:val="false"/>
                <w:bCs w:val="false"/>
                <w:sz w:val="20"/>
                <w:szCs w:val="20"/>
              </w:rPr>
              <w:t xml:space="preserve">Model age</w:t>
            </w:r>
          </w:p>
        </w:tc>
        <w:tc>
          <w:tcPr>
            <w:tcW w:type="dxa" w:w="4600"/>
            <w:tcMar>
              <w:top w:type="dxa" w:w="60"/>
              <w:left w:type="dxa" w:w="100"/>
              <w:bottom w:type="dxa" w:w="60"/>
              <w:right w:type="dxa" w:w="100"/>
            </w:tcMar>
          </w:tcPr>
          <w:p>
            <w:r>
              <w:rPr>
                <w:b w:val="false"/>
                <w:bCs w:val="false"/>
                <w:sz w:val="20"/>
                <w:szCs w:val="20"/>
              </w:rPr>
              <w:t xml:space="preserve">Days since training</w:t>
            </w:r>
          </w:p>
        </w:tc>
        <w:tc>
          <w:tcPr>
            <w:tcW w:type="dxa" w:w="2500"/>
            <w:tcMar>
              <w:top w:type="dxa" w:w="60"/>
              <w:left w:type="dxa" w:w="100"/>
              <w:bottom w:type="dxa" w:w="60"/>
              <w:right w:type="dxa" w:w="100"/>
            </w:tcMar>
          </w:tcPr>
          <w:p>
            <w:r>
              <w:rPr>
                <w:b w:val="false"/>
                <w:bCs w:val="false"/>
                <w:sz w:val="20"/>
                <w:szCs w:val="20"/>
              </w:rPr>
              <w:t xml:space="preserve">More than 180 days</w:t>
            </w:r>
          </w:p>
        </w:tc>
      </w:tr>
    </w:tbl>
    <w:p>
      <w:pPr>
        <w:spacing w:after="120"/>
      </w:pPr>
      <w:r>
        <w:t xml:space="preserve"/>
      </w:r>
    </w:p>
    <w:p>
      <w:pPr>
        <w:spacing w:after="120"/>
      </w:pPr>
      <w:r>
        <w:t xml:space="preserve">Retraining triggers: T1 two or more features with PSI above 0.20, or any above 0.25; T2 flagged share moves more than 10 points; T3 performance decay; T4 model older than one semester. Any trigger sets the status to RETRAIN_RECOMMENDED, and the --retrain option runs the training script, which registers a challenger under the promotion rule in Section 5. Retraining is a recommendation to a person, who checks the new metrics before the new version serves traffic.</w:t>
      </w:r>
    </w:p>
    <w:p>
      <w:pPr>
        <w:pStyle w:val="Heading2"/>
        <w:spacing w:after="100" w:before="200"/>
      </w:pPr>
      <w:r>
        <w:t xml:space="preserve">8.1 Demonstration with simulated drift</w:t>
      </w:r>
    </w:p>
    <w:p>
      <w:pPr>
        <w:spacing w:after="120"/>
      </w:pPr>
      <w:r>
        <w:t xml:space="preserve">There is no production traffic, so real drift has not been observed. To demonstrate the mechanism, --simulate-drift fabricates a bad semester from real rows (attendance down about 14 points, LMS engagement down 18, G2 down 2, absences up 5). The report is labelled SIMULATED. Result: RETRAIN_RECOMMENDED; 2 triggers fired; flagged share 49.0% versus 23.7% in training.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1000"/>
        <w:gridCol w:w="1200"/>
        <w:gridCol w:w="1900"/>
        <w:gridCol w:w="2000"/>
      </w:tblGrid>
      <w:tr>
        <w:tc>
          <w:tcPr>
            <w:tcW w:type="dxa" w:w="2900"/>
            <w:shd w:fill="D9E2F3" w:val="clear"/>
            <w:tcMar>
              <w:top w:type="dxa" w:w="60"/>
              <w:left w:type="dxa" w:w="100"/>
              <w:bottom w:type="dxa" w:w="60"/>
              <w:right w:type="dxa" w:w="100"/>
            </w:tcMar>
          </w:tcPr>
          <w:p>
            <w:r>
              <w:rPr>
                <w:b/>
                <w:bCs/>
                <w:sz w:val="20"/>
                <w:szCs w:val="20"/>
              </w:rPr>
              <w:t xml:space="preserve">Feature</w:t>
            </w:r>
          </w:p>
        </w:tc>
        <w:tc>
          <w:tcPr>
            <w:tcW w:type="dxa" w:w="1000"/>
            <w:shd w:fill="D9E2F3" w:val="clear"/>
            <w:tcMar>
              <w:top w:type="dxa" w:w="60"/>
              <w:left w:type="dxa" w:w="100"/>
              <w:bottom w:type="dxa" w:w="60"/>
              <w:right w:type="dxa" w:w="100"/>
            </w:tcMar>
          </w:tcPr>
          <w:p>
            <w:r>
              <w:rPr>
                <w:b/>
                <w:bCs/>
                <w:sz w:val="20"/>
                <w:szCs w:val="20"/>
              </w:rPr>
              <w:t xml:space="preserve">PSI</w:t>
            </w:r>
          </w:p>
        </w:tc>
        <w:tc>
          <w:tcPr>
            <w:tcW w:type="dxa" w:w="1200"/>
            <w:shd w:fill="D9E2F3" w:val="clear"/>
            <w:tcMar>
              <w:top w:type="dxa" w:w="60"/>
              <w:left w:type="dxa" w:w="100"/>
              <w:bottom w:type="dxa" w:w="60"/>
              <w:right w:type="dxa" w:w="100"/>
            </w:tcMar>
          </w:tcPr>
          <w:p>
            <w:r>
              <w:rPr>
                <w:b/>
                <w:bCs/>
                <w:sz w:val="20"/>
                <w:szCs w:val="20"/>
              </w:rPr>
              <w:t xml:space="preserve">Status</w:t>
            </w:r>
          </w:p>
        </w:tc>
        <w:tc>
          <w:tcPr>
            <w:tcW w:type="dxa" w:w="1900"/>
            <w:shd w:fill="D9E2F3" w:val="clear"/>
            <w:tcMar>
              <w:top w:type="dxa" w:w="60"/>
              <w:left w:type="dxa" w:w="100"/>
              <w:bottom w:type="dxa" w:w="60"/>
              <w:right w:type="dxa" w:w="100"/>
            </w:tcMar>
          </w:tcPr>
          <w:p>
            <w:r>
              <w:rPr>
                <w:b/>
                <w:bCs/>
                <w:sz w:val="20"/>
                <w:szCs w:val="20"/>
              </w:rPr>
              <w:t xml:space="preserve">Training mean</w:t>
            </w:r>
          </w:p>
        </w:tc>
        <w:tc>
          <w:tcPr>
            <w:tcW w:type="dxa" w:w="2000"/>
            <w:shd w:fill="D9E2F3" w:val="clear"/>
            <w:tcMar>
              <w:top w:type="dxa" w:w="60"/>
              <w:left w:type="dxa" w:w="100"/>
              <w:bottom w:type="dxa" w:w="60"/>
              <w:right w:type="dxa" w:w="100"/>
            </w:tcMar>
          </w:tcPr>
          <w:p>
            <w:r>
              <w:rPr>
                <w:b/>
                <w:bCs/>
                <w:sz w:val="20"/>
                <w:szCs w:val="20"/>
              </w:rPr>
              <w:t xml:space="preserve">Simulated mean</w:t>
            </w:r>
          </w:p>
        </w:tc>
      </w:tr>
      <w:tr>
        <w:tc>
          <w:tcPr>
            <w:tcW w:type="dxa" w:w="2900"/>
            <w:tcMar>
              <w:top w:type="dxa" w:w="60"/>
              <w:left w:type="dxa" w:w="100"/>
              <w:bottom w:type="dxa" w:w="60"/>
              <w:right w:type="dxa" w:w="100"/>
            </w:tcMar>
          </w:tcPr>
          <w:p>
            <w:r>
              <w:rPr>
                <w:b w:val="false"/>
                <w:bCs w:val="false"/>
                <w:sz w:val="20"/>
                <w:szCs w:val="20"/>
              </w:rPr>
              <w:t xml:space="preserve">attendance_pct</w:t>
            </w:r>
          </w:p>
        </w:tc>
        <w:tc>
          <w:tcPr>
            <w:tcW w:type="dxa" w:w="1000"/>
            <w:tcMar>
              <w:top w:type="dxa" w:w="60"/>
              <w:left w:type="dxa" w:w="100"/>
              <w:bottom w:type="dxa" w:w="60"/>
              <w:right w:type="dxa" w:w="100"/>
            </w:tcMar>
          </w:tcPr>
          <w:p>
            <w:r>
              <w:rPr>
                <w:b w:val="false"/>
                <w:bCs w:val="false"/>
                <w:sz w:val="20"/>
                <w:szCs w:val="20"/>
              </w:rPr>
              <w:t xml:space="preserve">4.221</w:t>
            </w:r>
          </w:p>
        </w:tc>
        <w:tc>
          <w:tcPr>
            <w:tcW w:type="dxa" w:w="1200"/>
            <w:tcMar>
              <w:top w:type="dxa" w:w="60"/>
              <w:left w:type="dxa" w:w="100"/>
              <w:bottom w:type="dxa" w:w="60"/>
              <w:right w:type="dxa" w:w="100"/>
            </w:tcMar>
          </w:tcPr>
          <w:p>
            <w:r>
              <w:rPr>
                <w:b w:val="false"/>
                <w:bCs w:val="false"/>
                <w:sz w:val="20"/>
                <w:szCs w:val="20"/>
              </w:rPr>
              <w:t xml:space="preserve">drift</w:t>
            </w:r>
          </w:p>
        </w:tc>
        <w:tc>
          <w:tcPr>
            <w:tcW w:type="dxa" w:w="1900"/>
            <w:tcMar>
              <w:top w:type="dxa" w:w="60"/>
              <w:left w:type="dxa" w:w="100"/>
              <w:bottom w:type="dxa" w:w="60"/>
              <w:right w:type="dxa" w:w="100"/>
            </w:tcMar>
          </w:tcPr>
          <w:p>
            <w:r>
              <w:rPr>
                <w:b w:val="false"/>
                <w:bCs w:val="false"/>
                <w:sz w:val="20"/>
                <w:szCs w:val="20"/>
              </w:rPr>
              <w:t xml:space="preserve">88.812</w:t>
            </w:r>
          </w:p>
        </w:tc>
        <w:tc>
          <w:tcPr>
            <w:tcW w:type="dxa" w:w="2000"/>
            <w:tcMar>
              <w:top w:type="dxa" w:w="60"/>
              <w:left w:type="dxa" w:w="100"/>
              <w:bottom w:type="dxa" w:w="60"/>
              <w:right w:type="dxa" w:w="100"/>
            </w:tcMar>
          </w:tcPr>
          <w:p>
            <w:r>
              <w:rPr>
                <w:b w:val="false"/>
                <w:bCs w:val="false"/>
                <w:sz w:val="20"/>
                <w:szCs w:val="20"/>
              </w:rPr>
              <w:t xml:space="preserve">73.828</w:t>
            </w:r>
          </w:p>
        </w:tc>
      </w:tr>
      <w:tr>
        <w:tc>
          <w:tcPr>
            <w:tcW w:type="dxa" w:w="2900"/>
            <w:tcMar>
              <w:top w:type="dxa" w:w="60"/>
              <w:left w:type="dxa" w:w="100"/>
              <w:bottom w:type="dxa" w:w="60"/>
              <w:right w:type="dxa" w:w="100"/>
            </w:tcMar>
          </w:tcPr>
          <w:p>
            <w:r>
              <w:rPr>
                <w:b w:val="false"/>
                <w:bCs w:val="false"/>
                <w:sz w:val="20"/>
                <w:szCs w:val="20"/>
              </w:rPr>
              <w:t xml:space="preserve">lms_engagement_score</w:t>
            </w:r>
          </w:p>
        </w:tc>
        <w:tc>
          <w:tcPr>
            <w:tcW w:type="dxa" w:w="1000"/>
            <w:tcMar>
              <w:top w:type="dxa" w:w="60"/>
              <w:left w:type="dxa" w:w="100"/>
              <w:bottom w:type="dxa" w:w="60"/>
              <w:right w:type="dxa" w:w="100"/>
            </w:tcMar>
          </w:tcPr>
          <w:p>
            <w:r>
              <w:rPr>
                <w:b w:val="false"/>
                <w:bCs w:val="false"/>
                <w:sz w:val="20"/>
                <w:szCs w:val="20"/>
              </w:rPr>
              <w:t xml:space="preserve">3.121</w:t>
            </w:r>
          </w:p>
        </w:tc>
        <w:tc>
          <w:tcPr>
            <w:tcW w:type="dxa" w:w="1200"/>
            <w:tcMar>
              <w:top w:type="dxa" w:w="60"/>
              <w:left w:type="dxa" w:w="100"/>
              <w:bottom w:type="dxa" w:w="60"/>
              <w:right w:type="dxa" w:w="100"/>
            </w:tcMar>
          </w:tcPr>
          <w:p>
            <w:r>
              <w:rPr>
                <w:b w:val="false"/>
                <w:bCs w:val="false"/>
                <w:sz w:val="20"/>
                <w:szCs w:val="20"/>
              </w:rPr>
              <w:t xml:space="preserve">drift</w:t>
            </w:r>
          </w:p>
        </w:tc>
        <w:tc>
          <w:tcPr>
            <w:tcW w:type="dxa" w:w="1900"/>
            <w:tcMar>
              <w:top w:type="dxa" w:w="60"/>
              <w:left w:type="dxa" w:w="100"/>
              <w:bottom w:type="dxa" w:w="60"/>
              <w:right w:type="dxa" w:w="100"/>
            </w:tcMar>
          </w:tcPr>
          <w:p>
            <w:r>
              <w:rPr>
                <w:b w:val="false"/>
                <w:bCs w:val="false"/>
                <w:sz w:val="20"/>
                <w:szCs w:val="20"/>
              </w:rPr>
              <w:t xml:space="preserve">55.244</w:t>
            </w:r>
          </w:p>
        </w:tc>
        <w:tc>
          <w:tcPr>
            <w:tcW w:type="dxa" w:w="2000"/>
            <w:tcMar>
              <w:top w:type="dxa" w:w="60"/>
              <w:left w:type="dxa" w:w="100"/>
              <w:bottom w:type="dxa" w:w="60"/>
              <w:right w:type="dxa" w:w="100"/>
            </w:tcMar>
          </w:tcPr>
          <w:p>
            <w:r>
              <w:rPr>
                <w:b w:val="false"/>
                <w:bCs w:val="false"/>
                <w:sz w:val="20"/>
                <w:szCs w:val="20"/>
              </w:rPr>
              <w:t xml:space="preserve">37.791</w:t>
            </w:r>
          </w:p>
        </w:tc>
      </w:tr>
      <w:tr>
        <w:tc>
          <w:tcPr>
            <w:tcW w:type="dxa" w:w="2900"/>
            <w:tcMar>
              <w:top w:type="dxa" w:w="60"/>
              <w:left w:type="dxa" w:w="100"/>
              <w:bottom w:type="dxa" w:w="60"/>
              <w:right w:type="dxa" w:w="100"/>
            </w:tcMar>
          </w:tcPr>
          <w:p>
            <w:r>
              <w:rPr>
                <w:b w:val="false"/>
                <w:bCs w:val="false"/>
                <w:sz w:val="20"/>
                <w:szCs w:val="20"/>
              </w:rPr>
              <w:t xml:space="preserve">absences</w:t>
            </w:r>
          </w:p>
        </w:tc>
        <w:tc>
          <w:tcPr>
            <w:tcW w:type="dxa" w:w="1000"/>
            <w:tcMar>
              <w:top w:type="dxa" w:w="60"/>
              <w:left w:type="dxa" w:w="100"/>
              <w:bottom w:type="dxa" w:w="60"/>
              <w:right w:type="dxa" w:w="100"/>
            </w:tcMar>
          </w:tcPr>
          <w:p>
            <w:r>
              <w:rPr>
                <w:b w:val="false"/>
                <w:bCs w:val="false"/>
                <w:sz w:val="20"/>
                <w:szCs w:val="20"/>
              </w:rPr>
              <w:t xml:space="preserve">2.040</w:t>
            </w:r>
          </w:p>
        </w:tc>
        <w:tc>
          <w:tcPr>
            <w:tcW w:type="dxa" w:w="1200"/>
            <w:tcMar>
              <w:top w:type="dxa" w:w="60"/>
              <w:left w:type="dxa" w:w="100"/>
              <w:bottom w:type="dxa" w:w="60"/>
              <w:right w:type="dxa" w:w="100"/>
            </w:tcMar>
          </w:tcPr>
          <w:p>
            <w:r>
              <w:rPr>
                <w:b w:val="false"/>
                <w:bCs w:val="false"/>
                <w:sz w:val="20"/>
                <w:szCs w:val="20"/>
              </w:rPr>
              <w:t xml:space="preserve">drift</w:t>
            </w:r>
          </w:p>
        </w:tc>
        <w:tc>
          <w:tcPr>
            <w:tcW w:type="dxa" w:w="1900"/>
            <w:tcMar>
              <w:top w:type="dxa" w:w="60"/>
              <w:left w:type="dxa" w:w="100"/>
              <w:bottom w:type="dxa" w:w="60"/>
              <w:right w:type="dxa" w:w="100"/>
            </w:tcMar>
          </w:tcPr>
          <w:p>
            <w:r>
              <w:rPr>
                <w:b w:val="false"/>
                <w:bCs w:val="false"/>
                <w:sz w:val="20"/>
                <w:szCs w:val="20"/>
              </w:rPr>
              <w:t xml:space="preserve">4.368</w:t>
            </w:r>
          </w:p>
        </w:tc>
        <w:tc>
          <w:tcPr>
            <w:tcW w:type="dxa" w:w="2000"/>
            <w:tcMar>
              <w:top w:type="dxa" w:w="60"/>
              <w:left w:type="dxa" w:w="100"/>
              <w:bottom w:type="dxa" w:w="60"/>
              <w:right w:type="dxa" w:w="100"/>
            </w:tcMar>
          </w:tcPr>
          <w:p>
            <w:r>
              <w:rPr>
                <w:b w:val="false"/>
                <w:bCs w:val="false"/>
                <w:sz w:val="20"/>
                <w:szCs w:val="20"/>
              </w:rPr>
              <w:t xml:space="preserve">10.435</w:t>
            </w:r>
          </w:p>
        </w:tc>
      </w:tr>
      <w:tr>
        <w:tc>
          <w:tcPr>
            <w:tcW w:type="dxa" w:w="2900"/>
            <w:tcMar>
              <w:top w:type="dxa" w:w="60"/>
              <w:left w:type="dxa" w:w="100"/>
              <w:bottom w:type="dxa" w:w="60"/>
              <w:right w:type="dxa" w:w="100"/>
            </w:tcMar>
          </w:tcPr>
          <w:p>
            <w:r>
              <w:rPr>
                <w:b w:val="false"/>
                <w:bCs w:val="false"/>
                <w:sz w:val="20"/>
                <w:szCs w:val="20"/>
              </w:rPr>
              <w:t xml:space="preserve">avg_internal_marks</w:t>
            </w:r>
          </w:p>
        </w:tc>
        <w:tc>
          <w:tcPr>
            <w:tcW w:type="dxa" w:w="1000"/>
            <w:tcMar>
              <w:top w:type="dxa" w:w="60"/>
              <w:left w:type="dxa" w:w="100"/>
              <w:bottom w:type="dxa" w:w="60"/>
              <w:right w:type="dxa" w:w="100"/>
            </w:tcMar>
          </w:tcPr>
          <w:p>
            <w:r>
              <w:rPr>
                <w:b w:val="false"/>
                <w:bCs w:val="false"/>
                <w:sz w:val="20"/>
                <w:szCs w:val="20"/>
              </w:rPr>
              <w:t xml:space="preserve">0.684</w:t>
            </w:r>
          </w:p>
        </w:tc>
        <w:tc>
          <w:tcPr>
            <w:tcW w:type="dxa" w:w="1200"/>
            <w:tcMar>
              <w:top w:type="dxa" w:w="60"/>
              <w:left w:type="dxa" w:w="100"/>
              <w:bottom w:type="dxa" w:w="60"/>
              <w:right w:type="dxa" w:w="100"/>
            </w:tcMar>
          </w:tcPr>
          <w:p>
            <w:r>
              <w:rPr>
                <w:b w:val="false"/>
                <w:bCs w:val="false"/>
                <w:sz w:val="20"/>
                <w:szCs w:val="20"/>
              </w:rPr>
              <w:t xml:space="preserve">drift</w:t>
            </w:r>
          </w:p>
        </w:tc>
        <w:tc>
          <w:tcPr>
            <w:tcW w:type="dxa" w:w="1900"/>
            <w:tcMar>
              <w:top w:type="dxa" w:w="60"/>
              <w:left w:type="dxa" w:w="100"/>
              <w:bottom w:type="dxa" w:w="60"/>
              <w:right w:type="dxa" w:w="100"/>
            </w:tcMar>
          </w:tcPr>
          <w:p>
            <w:r>
              <w:rPr>
                <w:b w:val="false"/>
                <w:bCs w:val="false"/>
                <w:sz w:val="20"/>
                <w:szCs w:val="20"/>
              </w:rPr>
              <w:t xml:space="preserve">11.216</w:t>
            </w:r>
          </w:p>
        </w:tc>
        <w:tc>
          <w:tcPr>
            <w:tcW w:type="dxa" w:w="2000"/>
            <w:tcMar>
              <w:top w:type="dxa" w:w="60"/>
              <w:left w:type="dxa" w:w="100"/>
              <w:bottom w:type="dxa" w:w="60"/>
              <w:right w:type="dxa" w:w="100"/>
            </w:tcMar>
          </w:tcPr>
          <w:p>
            <w:r>
              <w:rPr>
                <w:b w:val="false"/>
                <w:bCs w:val="false"/>
                <w:sz w:val="20"/>
                <w:szCs w:val="20"/>
              </w:rPr>
              <w:t xml:space="preserve">9.071</w:t>
            </w:r>
          </w:p>
        </w:tc>
      </w:tr>
      <w:tr>
        <w:tc>
          <w:tcPr>
            <w:tcW w:type="dxa" w:w="2900"/>
            <w:tcMar>
              <w:top w:type="dxa" w:w="60"/>
              <w:left w:type="dxa" w:w="100"/>
              <w:bottom w:type="dxa" w:w="60"/>
              <w:right w:type="dxa" w:w="100"/>
            </w:tcMar>
          </w:tcPr>
          <w:p>
            <w:r>
              <w:rPr>
                <w:b w:val="false"/>
                <w:bCs w:val="false"/>
                <w:sz w:val="20"/>
                <w:szCs w:val="20"/>
              </w:rPr>
              <w:t xml:space="preserve">previous_semester_score</w:t>
            </w:r>
          </w:p>
        </w:tc>
        <w:tc>
          <w:tcPr>
            <w:tcW w:type="dxa" w:w="1000"/>
            <w:tcMar>
              <w:top w:type="dxa" w:w="60"/>
              <w:left w:type="dxa" w:w="100"/>
              <w:bottom w:type="dxa" w:w="60"/>
              <w:right w:type="dxa" w:w="100"/>
            </w:tcMar>
          </w:tcPr>
          <w:p>
            <w:r>
              <w:rPr>
                <w:b w:val="false"/>
                <w:bCs w:val="false"/>
                <w:sz w:val="20"/>
                <w:szCs w:val="20"/>
              </w:rPr>
              <w:t xml:space="preserve">0.548</w:t>
            </w:r>
          </w:p>
        </w:tc>
        <w:tc>
          <w:tcPr>
            <w:tcW w:type="dxa" w:w="1200"/>
            <w:tcMar>
              <w:top w:type="dxa" w:w="60"/>
              <w:left w:type="dxa" w:w="100"/>
              <w:bottom w:type="dxa" w:w="60"/>
              <w:right w:type="dxa" w:w="100"/>
            </w:tcMar>
          </w:tcPr>
          <w:p>
            <w:r>
              <w:rPr>
                <w:b w:val="false"/>
                <w:bCs w:val="false"/>
                <w:sz w:val="20"/>
                <w:szCs w:val="20"/>
              </w:rPr>
              <w:t xml:space="preserve">drift</w:t>
            </w:r>
          </w:p>
        </w:tc>
        <w:tc>
          <w:tcPr>
            <w:tcW w:type="dxa" w:w="1900"/>
            <w:tcMar>
              <w:top w:type="dxa" w:w="60"/>
              <w:left w:type="dxa" w:w="100"/>
              <w:bottom w:type="dxa" w:w="60"/>
              <w:right w:type="dxa" w:w="100"/>
            </w:tcMar>
          </w:tcPr>
          <w:p>
            <w:r>
              <w:rPr>
                <w:b w:val="false"/>
                <w:bCs w:val="false"/>
                <w:sz w:val="20"/>
                <w:szCs w:val="20"/>
              </w:rPr>
              <w:t xml:space="preserve">11.258</w:t>
            </w:r>
          </w:p>
        </w:tc>
        <w:tc>
          <w:tcPr>
            <w:tcW w:type="dxa" w:w="2000"/>
            <w:tcMar>
              <w:top w:type="dxa" w:w="60"/>
              <w:left w:type="dxa" w:w="100"/>
              <w:bottom w:type="dxa" w:w="60"/>
              <w:right w:type="dxa" w:w="100"/>
            </w:tcMar>
          </w:tcPr>
          <w:p>
            <w:r>
              <w:rPr>
                <w:b w:val="false"/>
                <w:bCs w:val="false"/>
                <w:sz w:val="20"/>
                <w:szCs w:val="20"/>
              </w:rPr>
              <w:t xml:space="preserve">9.105</w:t>
            </w:r>
          </w:p>
        </w:tc>
      </w:tr>
    </w:tbl>
    <w:p>
      <w:pPr>
        <w:spacing w:after="120"/>
      </w:pPr>
      <w:r>
        <w:t xml:space="preserve"/>
      </w:r>
    </w:p>
    <w:p>
      <w:pPr>
        <w:spacing w:after="120"/>
      </w:pPr>
      <w:r>
        <w:t xml:space="preserve">As a sanity check in the other direction, an unshifted 300-row sample scores healthy in the unit tests. Because that sample is drawn from the training pool it shows the mechanism works, not how the model behaves in the field.</w:t>
      </w:r>
    </w:p>
    <w:p>
      <w:pPr>
        <w:pStyle w:val="Heading1"/>
        <w:spacing w:after="150" w:before="300"/>
      </w:pPr>
      <w:r>
        <w:t xml:space="preserve">9. Integration with the Data Pipeline</w:t>
      </w:r>
    </w:p>
    <w:p>
      <w:pPr>
        <w:spacing w:before="120"/>
        <w:jc w:val="center"/>
      </w:pPr>
      <w:r>
        <w:drawing>
          <wp:inline distT="0" distB="0" distL="0" distR="0">
            <wp:extent cx="314325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43250" cy="4105275"/>
                    </a:xfrm>
                    <a:prstGeom prst="rect">
                      <a:avLst/>
                    </a:prstGeom>
                  </pic:spPr>
                </pic:pic>
              </a:graphicData>
            </a:graphic>
          </wp:inline>
        </w:drawing>
      </w:r>
    </w:p>
    <w:p>
      <w:pPr>
        <w:spacing w:after="200"/>
        <w:jc w:val="center"/>
      </w:pPr>
      <w:r>
        <w:rPr>
          <w:i/>
          <w:iCs/>
          <w:sz w:val="18"/>
          <w:szCs w:val="18"/>
        </w:rPr>
        <w:t xml:space="preserve">Figure 7: Part 2 architecture, building on the Part 1 pipeline</w:t>
      </w:r>
    </w:p>
    <w:p>
      <w:pPr>
        <w:pStyle w:val="ListParagraph"/>
        <w:numPr>
          <w:ilvl w:val="0"/>
          <w:numId w:val="2"/>
        </w:numPr>
        <w:spacing w:after="60"/>
      </w:pPr>
      <w:r>
        <w:t xml:space="preserve">Airflow: dags/student_pipeline_dag.py now chains ingest, validate/clean, transform/load, build_ml_dataset, train_and_register_model and monitor_drift. As in Part 1, the DAG file is written and syntax-checked but not run in a live Airflow instance.</w:t>
      </w:r>
    </w:p>
    <w:p>
      <w:pPr>
        <w:pStyle w:val="ListParagraph"/>
        <w:numPr>
          <w:ilvl w:val="0"/>
          <w:numId w:val="2"/>
        </w:numPr>
        <w:spacing w:after="60"/>
      </w:pPr>
      <w:r>
        <w:t xml:space="preserve">One-command runner: scripts/run_mlops.py executes the same three Part 2 steps without Airflow and writes logs/mlops_run_log.txt.</w:t>
      </w:r>
    </w:p>
    <w:p>
      <w:pPr>
        <w:pStyle w:val="ListParagraph"/>
        <w:numPr>
          <w:ilvl w:val="0"/>
          <w:numId w:val="2"/>
        </w:numPr>
        <w:spacing w:after="60"/>
      </w:pPr>
      <w:r>
        <w:t xml:space="preserve">Dashboard: a sixth view shows the champion's metrics, predicted risk next to the Part 1 rule-based category, the model comparison and the drift reports. Views 1 to 5 are unchanged.</w:t>
      </w:r>
    </w:p>
    <w:p>
      <w:pPr>
        <w:pStyle w:val="ListParagraph"/>
        <w:numPr>
          <w:ilvl w:val="0"/>
          <w:numId w:val="2"/>
        </w:numPr>
        <w:spacing w:after="60"/>
      </w:pPr>
      <w:r>
        <w:t xml:space="preserve">Configuration: one feature contract (mlops/config.py) is imported by training, API, monitoring and dashboard, so a feature cannot exist in one component and be missing in another.</w:t>
      </w:r>
    </w:p>
    <w:p>
      <w:pPr>
        <w:spacing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18"/>
          <w:szCs w:val="18"/>
        </w:rPr>
        <w:t xml:space="preserve">Figure 8: Dashboard view 6, ML model predictions and monitoring</w:t>
      </w:r>
    </w:p>
    <w:p>
      <w:pPr>
        <w:pStyle w:val="Heading1"/>
        <w:spacing w:after="150" w:before="300"/>
      </w:pPr>
      <w:r>
        <w:t xml:space="preserve">10. Execution Evidence &amp; Testing</w:t>
      </w:r>
    </w:p>
    <w:p>
      <w:pPr>
        <w:pStyle w:val="ListParagraph"/>
        <w:numPr>
          <w:ilvl w:val="0"/>
          <w:numId w:val="2"/>
        </w:numPr>
        <w:spacing w:after="60"/>
      </w:pPr>
      <w:r>
        <w:t xml:space="preserve">python scripts/run_pipeline.py: Part 1 completes, 1,034 mart rows, 35 rejected rows, 15 flagged records (unchanged from Part 1).</w:t>
      </w:r>
    </w:p>
    <w:p>
      <w:pPr>
        <w:pStyle w:val="ListParagraph"/>
        <w:numPr>
          <w:ilvl w:val="0"/>
          <w:numId w:val="2"/>
        </w:numPr>
        <w:spacing w:after="60"/>
      </w:pPr>
      <w:r>
        <w:t xml:space="preserve">python scripts/run_mlops.py: dataset built, five models trained and compared in about 35 seconds, winner registered and promoted, serving bundle exported; logs in logs/mlops_run_log.txt.</w:t>
      </w:r>
    </w:p>
    <w:p>
      <w:pPr>
        <w:pStyle w:val="ListParagraph"/>
        <w:numPr>
          <w:ilvl w:val="0"/>
          <w:numId w:val="2"/>
        </w:numPr>
        <w:spacing w:after="60"/>
      </w:pPr>
      <w:r>
        <w:t xml:space="preserve">python -m pytest tests -q: 15 tests pass. They cover API validation and ordering, missing optional fields, batch scoring and logging, leakage guards, target definition, reproducibility, the champion bundle, and the PSI and drift logic.</w:t>
      </w:r>
    </w:p>
    <w:p>
      <w:pPr>
        <w:pStyle w:val="ListParagraph"/>
        <w:numPr>
          <w:ilvl w:val="0"/>
          <w:numId w:val="2"/>
        </w:numPr>
        <w:spacing w:after="60"/>
      </w:pPr>
      <w:r>
        <w:t xml:space="preserve">Live runs: the API, MLflow server and dashboard were started and exercised (screenshots in Sections 5, 6 and 9); the dashboard's six views render without errors in Streamlit's headless test runner.</w:t>
      </w:r>
    </w:p>
    <w:p>
      <w:pPr>
        <w:pStyle w:val="ListParagraph"/>
        <w:numPr>
          <w:ilvl w:val="0"/>
          <w:numId w:val="2"/>
        </w:numPr>
        <w:spacing w:after="60"/>
      </w:pPr>
      <w:r>
        <w:t xml:space="preserve">Docker: compose configuration validated. To be shown live at review: docker compose --profile train run --rm trainer, then docker compose up --build api, then a curl to /health and /predict.</w:t>
      </w:r>
    </w:p>
    <w:p>
      <w:pPr>
        <w:pStyle w:val="ListParagraph"/>
        <w:numPr>
          <w:ilvl w:val="0"/>
          <w:numId w:val="2"/>
        </w:numPr>
        <w:spacing w:after="60"/>
      </w:pPr>
      <w:r>
        <w:t xml:space="preserve">Airflow: DAG definition only; not executed in a live instance.</w:t>
      </w:r>
    </w:p>
    <w:p>
      <w:pPr>
        <w:pStyle w:val="Heading2"/>
        <w:spacing w:after="100" w:before="200"/>
      </w:pPr>
      <w:r>
        <w:t xml:space="preserve">10.1 Reproducing the results</w:t>
      </w:r>
    </w:p>
    <w:p>
      <w:pPr>
        <w:spacing w:after="40"/>
        <w:ind w:left="300"/>
      </w:pPr>
      <w:r>
        <w:rPr>
          <w:rFonts w:ascii="Courier New" w:cs="Courier New" w:eastAsia="Courier New" w:hAnsi="Courier New"/>
          <w:sz w:val="18"/>
          <w:szCs w:val="18"/>
        </w:rPr>
        <w:t xml:space="preserve">pip install -r requirements.txt</w:t>
      </w:r>
    </w:p>
    <w:p>
      <w:pPr>
        <w:spacing w:after="40"/>
        <w:ind w:left="300"/>
      </w:pPr>
      <w:r>
        <w:rPr>
          <w:rFonts w:ascii="Courier New" w:cs="Courier New" w:eastAsia="Courier New" w:hAnsi="Courier New"/>
          <w:sz w:val="18"/>
          <w:szCs w:val="18"/>
        </w:rPr>
        <w:t xml:space="preserve">python scripts/run_pipeline.py &amp;&amp; python scripts/run_mlops.py</w:t>
      </w:r>
    </w:p>
    <w:p>
      <w:pPr>
        <w:spacing w:after="40"/>
        <w:ind w:left="300"/>
      </w:pPr>
      <w:r>
        <w:rPr>
          <w:rFonts w:ascii="Courier New" w:cs="Courier New" w:eastAsia="Courier New" w:hAnsi="Courier New"/>
          <w:sz w:val="18"/>
          <w:szCs w:val="18"/>
        </w:rPr>
        <w:t xml:space="preserve">python -m pytest tests -q</w:t>
      </w:r>
    </w:p>
    <w:p>
      <w:pPr>
        <w:spacing w:after="120"/>
      </w:pPr>
      <w:r>
        <w:t xml:space="preserve">Seeds are fixed (42), so re-running gives the same split and metrics on the same library versions.</w:t>
      </w:r>
    </w:p>
    <w:p>
      <w:pPr>
        <w:pStyle w:val="Heading1"/>
        <w:spacing w:after="150" w:before="300"/>
      </w:pPr>
      <w:r>
        <w:t xml:space="preserve">11. Limitations &amp; Future Work</w:t>
      </w:r>
    </w:p>
    <w:p>
      <w:pPr>
        <w:pStyle w:val="ListParagraph"/>
        <w:numPr>
          <w:ilvl w:val="0"/>
          <w:numId w:val="2"/>
        </w:numPr>
        <w:spacing w:after="60"/>
      </w:pPr>
      <w:r>
        <w:t xml:space="preserve">The target is a proxy for dropout (failing the subject), not actual dropout, because the data has no such column.</w:t>
      </w:r>
    </w:p>
    <w:p>
      <w:pPr>
        <w:pStyle w:val="ListParagraph"/>
        <w:numPr>
          <w:ilvl w:val="0"/>
          <w:numId w:val="2"/>
        </w:numPr>
        <w:spacing w:after="60"/>
      </w:pPr>
      <w:r>
        <w:t xml:space="preserve">About one thousand rows from two schools; test metrics rest on 46 positive cases, so differences between models are within noise.</w:t>
      </w:r>
    </w:p>
    <w:p>
      <w:pPr>
        <w:pStyle w:val="ListParagraph"/>
        <w:numPr>
          <w:ilvl w:val="0"/>
          <w:numId w:val="2"/>
        </w:numPr>
        <w:spacing w:after="60"/>
      </w:pPr>
      <w:r>
        <w:t xml:space="preserve">The G2 rule is nearly as good in ROC-AUC. The value of the model is fewer false alarms and a probability with reasons, not a large jump in discrimination.</w:t>
      </w:r>
    </w:p>
    <w:p>
      <w:pPr>
        <w:pStyle w:val="ListParagraph"/>
        <w:numPr>
          <w:ilvl w:val="0"/>
          <w:numId w:val="2"/>
        </w:numPr>
        <w:spacing w:after="60"/>
      </w:pPr>
      <w:r>
        <w:t xml:space="preserve">The attendance, LMS and assignment sources are synthetic, so their small contribution says nothing about their value in a real college.</w:t>
      </w:r>
    </w:p>
    <w:p>
      <w:pPr>
        <w:pStyle w:val="ListParagraph"/>
        <w:numPr>
          <w:ilvl w:val="0"/>
          <w:numId w:val="2"/>
        </w:numPr>
        <w:spacing w:after="60"/>
      </w:pPr>
      <w:r>
        <w:t xml:space="preserve">Hyperparameters are not tuned and there is no probability calibration step or fairness audit; sex is an input feature and a real deployment would need a review of that choice.</w:t>
      </w:r>
    </w:p>
    <w:p>
      <w:pPr>
        <w:pStyle w:val="ListParagraph"/>
        <w:numPr>
          <w:ilvl w:val="0"/>
          <w:numId w:val="2"/>
        </w:numPr>
        <w:spacing w:after="60"/>
      </w:pPr>
      <w:r>
        <w:t xml:space="preserve">No alerting channel (email or Slack) and no scheduled monitoring outside the Airflow DAG; there is no real traffic yet, so drift detection has only been demonstrated on simulated data.</w:t>
      </w:r>
    </w:p>
    <w:p>
      <w:pPr>
        <w:pStyle w:val="ListParagraph"/>
        <w:numPr>
          <w:ilvl w:val="0"/>
          <w:numId w:val="2"/>
        </w:numPr>
        <w:spacing w:after="60"/>
      </w:pPr>
      <w:r>
        <w:t xml:space="preserve">Future work: tune with nested CV, add calibration and subgroup metrics, collect real outcomes to enable the performance-drift signal, add CI that runs the test suite and a scheduled monitor, and deploy the container to a managed host.</w:t>
      </w:r>
    </w:p>
    <w:p>
      <w:pPr>
        <w:pStyle w:val="Heading1"/>
        <w:spacing w:after="150" w:before="300"/>
      </w:pPr>
      <w:r>
        <w:t xml:space="preserve">12. Conclusion</w:t>
      </w:r>
    </w:p>
    <w:p>
      <w:pPr>
        <w:spacing w:after="120"/>
      </w:pPr>
      <w:r>
        <w:t xml:space="preserve">Part 2 turns the Part 1 pipeline into a small but complete MLOps loop: a leak-free dataset, tracked and comparable experiments, a registry with a promotion rule, a validated and logged prediction service, a containerized setup, and monitoring with written retraining criteria, all wired into the same orchestration and dashboard. The honest takeaway from the evaluation is as important as the machinery: on this data a simple G2 rule is already strong, so the model's contribution is precision and explanation, and the real test of the monitoring work will come when real traffic and outcomes exist.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Student Performance &amp; Dropout-Risk Prediction System -- Part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7cd0c385fc38ab301da0403c0eae847a13e8d5a.png"/><Relationship Id="rId10" Type="http://schemas.openxmlformats.org/officeDocument/2006/relationships/image" Target="media/8c28765c30ed875dbbbb8696b22914b3d7f647f0.png"/><Relationship Id="rId11" Type="http://schemas.openxmlformats.org/officeDocument/2006/relationships/image" Target="media/a31d55979de89ba849f25e3ab6c0cf37dbb5f7eb.png"/><Relationship Id="rId12" Type="http://schemas.openxmlformats.org/officeDocument/2006/relationships/image" Target="media/e009c2fb4831dd874ae33424b9f332124c50c16d.png"/><Relationship Id="rId13" Type="http://schemas.openxmlformats.org/officeDocument/2006/relationships/image" Target="media/bd1e63bb11632a47651abb9cb4dcc7a83dfe35e1.png"/><Relationship Id="rId14" Type="http://schemas.openxmlformats.org/officeDocument/2006/relationships/image" Target="media/c937bf690e5dfdd46c1d36e81567536a3c746f1c.png"/><Relationship Id="rId15" Type="http://schemas.openxmlformats.org/officeDocument/2006/relationships/image" Target="media/7b047a18421a2385137d25ac9d3fb29b0621755a.png"/><Relationship Id="rId16" Type="http://schemas.openxmlformats.org/officeDocument/2006/relationships/image" Target="media/2b303e407d7bd4092bd21be95daa5f356507369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2026-10-09T06:46:08.051Z</dcterms:created>
  <dcterms:modified xsi:type="dcterms:W3CDTF">2026-10-09T06:46:08.059Z</dcterms:modified>
</cp:coreProperties>
</file>

<file path=docProps/custom.xml><?xml version="1.0" encoding="utf-8"?>
<Properties xmlns="http://schemas.openxmlformats.org/officeDocument/2006/custom-properties" xmlns:vt="http://schemas.openxmlformats.org/officeDocument/2006/docPropsVTypes"/>
</file>