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jc w:val="center"/>
      </w:pPr>
      <w:r>
        <w:rPr>
          <w:b/>
          <w:color w:val="1F4E79"/>
          <w:sz w:val="48"/>
        </w:rPr>
        <w:t>Project Report</w:t>
      </w:r>
    </w:p>
    <w:p>
      <w:pPr>
        <w:jc w:val="center"/>
      </w:pPr>
      <w:r>
        <w:rPr>
          <w:b/>
          <w:sz w:val="28"/>
        </w:rPr>
        <w:t>Generative AI and LLMs</w:t>
      </w:r>
    </w:p>
    <w:p>
      <w:pPr>
        <w:jc w:val="center"/>
      </w:pPr>
      <w:r>
        <w:rPr>
          <w:b/>
          <w:sz w:val="28"/>
        </w:rPr>
        <w:t>CSE3720</w:t>
      </w:r>
    </w:p>
    <w:p/>
    <w:p>
      <w:pPr>
        <w:jc w:val="center"/>
      </w:pPr>
      <w:r>
        <w:rPr>
          <w:b/>
          <w:color w:val="1F4E79"/>
          <w:sz w:val="32"/>
        </w:rPr>
        <w:t>Autonomous Research Assistant: A Multi-Agent Generative AI System for Research Paper Exploration, Literature Review Generation, and Research Gap Analysis</w:t>
      </w:r>
    </w:p>
    <w:p/>
    <w:p>
      <w:pPr>
        <w:jc w:val="center"/>
      </w:pPr>
      <w:r>
        <w:rPr>
          <w:b/>
        </w:rPr>
        <w:t>By</w:t>
      </w:r>
    </w:p>
    <w:p>
      <w:pPr>
        <w:jc w:val="center"/>
      </w:pPr>
      <w:r>
        <w:rPr>
          <w:sz w:val="24"/>
        </w:rPr>
        <w:t>Akshit Wadhwa</w:t>
        <w:br/>
        <w:t>230784</w:t>
      </w:r>
    </w:p>
    <w:p>
      <w:pPr>
        <w:jc w:val="center"/>
      </w:pPr>
      <w:r>
        <w:rPr>
          <w:sz w:val="24"/>
        </w:rPr>
        <w:t>Anish Choudhary</w:t>
        <w:br/>
        <w:t>230820</w:t>
      </w:r>
    </w:p>
    <w:p>
      <w:pPr>
        <w:jc w:val="center"/>
      </w:pPr>
      <w:r>
        <w:rPr>
          <w:sz w:val="24"/>
        </w:rPr>
        <w:t>Deepnder</w:t>
        <w:br/>
        <w:t>230821</w:t>
      </w:r>
    </w:p>
    <w:p/>
    <w:p>
      <w:pPr>
        <w:jc w:val="center"/>
      </w:pPr>
      <w:r>
        <w:rPr>
          <w:sz w:val="24"/>
        </w:rPr>
        <w:t>Department of Computer Science and Engineering</w:t>
      </w:r>
    </w:p>
    <w:p>
      <w:pPr>
        <w:jc w:val="center"/>
      </w:pPr>
      <w:r>
        <w:rPr>
          <w:sz w:val="24"/>
        </w:rPr>
        <w:t>School of Engineering and Technology</w:t>
      </w:r>
    </w:p>
    <w:p>
      <w:pPr>
        <w:jc w:val="center"/>
      </w:pPr>
      <w:r>
        <w:rPr>
          <w:sz w:val="24"/>
        </w:rPr>
        <w:t>BML Munjal University</w:t>
      </w:r>
    </w:p>
    <w:p>
      <w:pPr>
        <w:jc w:val="center"/>
      </w:pPr>
      <w:r>
        <w:rPr>
          <w:sz w:val="24"/>
        </w:rPr>
        <w:t>May 2026</w:t>
      </w:r>
    </w:p>
    <w:p>
      <w:r>
        <w:br w:type="page"/>
      </w:r>
    </w:p>
    <w:p>
      <w:pPr>
        <w:pStyle w:val="Heading1"/>
      </w:pPr>
      <w:r>
        <w:rPr>
          <w:color w:val="1F4E79"/>
        </w:rPr>
        <w:t>Declaration by the Candidates</w:t>
      </w:r>
    </w:p>
    <w:p>
      <w:pPr>
        <w:spacing w:after="120" w:line="259" w:lineRule="auto"/>
      </w:pPr>
      <w:r>
        <w:t>We hereby declare that the project entitled "Autonomous Research Assistant: A Multi-Agent Generative AI System for Research Paper Exploration, Literature Review Generation, and Research Gap Analysis" has been carried out to fulfil the partial requirements for completion of the core-elective course Generative AI and LLMs offered in the 6th Semester of the Bachelor of Technology (B.Tech) program in the Department of Computer Science and Engineering during AY-2025-26 (even semester). This experimental work has been carried out by us and submitted to the course instructor Dr. Soharab Hossain Shaikh. Due acknowledgments have been made in the text of the project to all other materials used. This project has been prepared in full compliance with the requirements and constraints of the prescribed curriculum.</w:t>
      </w:r>
    </w:p>
    <w:p/>
    <w:p>
      <w:pPr>
        <w:spacing w:after="120" w:line="259" w:lineRule="auto"/>
      </w:pPr>
      <w:r>
        <w:t>Akshit Wadhwa &amp; Signature: __________________________</w:t>
      </w:r>
    </w:p>
    <w:p>
      <w:pPr>
        <w:spacing w:after="120" w:line="259" w:lineRule="auto"/>
      </w:pPr>
      <w:r>
        <w:t>Anish Choudhary &amp; Signature: __________________________</w:t>
      </w:r>
    </w:p>
    <w:p>
      <w:pPr>
        <w:spacing w:after="120" w:line="259" w:lineRule="auto"/>
      </w:pPr>
      <w:r>
        <w:t>Deepnder &amp; Signature: __________________________</w:t>
      </w:r>
    </w:p>
    <w:p/>
    <w:p>
      <w:pPr>
        <w:spacing w:after="120" w:line="259" w:lineRule="auto"/>
      </w:pPr>
      <w:r>
        <w:t>Place: BML Munjal University</w:t>
      </w:r>
    </w:p>
    <w:p>
      <w:pPr>
        <w:spacing w:after="120" w:line="259" w:lineRule="auto"/>
      </w:pPr>
      <w:r>
        <w:t>Date: ______ May, 2026</w:t>
      </w:r>
    </w:p>
    <w:p>
      <w:r>
        <w:br w:type="page"/>
      </w:r>
    </w:p>
    <w:p>
      <w:pPr>
        <w:pStyle w:val="Heading1"/>
      </w:pPr>
      <w:r>
        <w:rPr>
          <w:color w:val="1F4E79"/>
        </w:rPr>
        <w:t>Contents</w:t>
      </w:r>
    </w:p>
    <w:p>
      <w:pPr>
        <w:spacing w:before="80" w:after="160"/>
        <w:jc w:val="center"/>
      </w:pPr>
      <w:r>
        <w:drawing>
          <wp:inline xmlns:a="http://schemas.openxmlformats.org/drawingml/2006/main" xmlns:pic="http://schemas.openxmlformats.org/drawingml/2006/picture">
            <wp:extent cx="6172200" cy="2740457"/>
            <wp:docPr id="1" name="Picture 1"/>
            <wp:cNvGraphicFramePr>
              <a:graphicFrameLocks noChangeAspect="1"/>
            </wp:cNvGraphicFramePr>
            <a:graphic>
              <a:graphicData uri="http://schemas.openxmlformats.org/drawingml/2006/picture">
                <pic:pic>
                  <pic:nvPicPr>
                    <pic:cNvPr id="0" name="table_01.png"/>
                    <pic:cNvPicPr/>
                  </pic:nvPicPr>
                  <pic:blipFill>
                    <a:blip r:embed="rId9"/>
                    <a:stretch>
                      <a:fillRect/>
                    </a:stretch>
                  </pic:blipFill>
                  <pic:spPr>
                    <a:xfrm>
                      <a:off x="0" y="0"/>
                      <a:ext cx="6172200" cy="2740457"/>
                    </a:xfrm>
                    <a:prstGeom prst="rect"/>
                  </pic:spPr>
                </pic:pic>
              </a:graphicData>
            </a:graphic>
          </wp:inline>
        </w:drawing>
      </w:r>
    </w:p>
    <w:p>
      <w:r>
        <w:br w:type="page"/>
      </w:r>
    </w:p>
    <w:p>
      <w:pPr>
        <w:pStyle w:val="Heading1"/>
      </w:pPr>
      <w:r>
        <w:rPr>
          <w:color w:val="1F4E79"/>
        </w:rPr>
        <w:t>1. Introduction</w:t>
      </w:r>
    </w:p>
    <w:p>
      <w:pPr>
        <w:spacing w:after="120" w:line="259" w:lineRule="auto"/>
      </w:pPr>
      <w:r>
        <w:t>The volume of scientific literature is increasing rapidly, making it difficult for students and researchers to discover relevant papers, understand technical methods, and identify open research problems. Traditional keyword-based search often misses semantically related papers and does not directly help users synthesize information into a structured literature review.</w:t>
      </w:r>
    </w:p>
    <w:p>
      <w:pPr>
        <w:spacing w:after="120" w:line="259" w:lineRule="auto"/>
      </w:pPr>
      <w:r>
        <w:t>This project, ScholarSynth AI, is an autonomous research assistant that combines research paper retrieval, semantic search, Retrieval-Augmented Generation (RAG), PEFT-based LoRA fine-tuning, multi-agent task separation, quantitative evaluation, and a Streamlit-based user interface. The system supports topic-based paper exploration, literature review generation, paper question answering, research gap detection, and simplified technical explanation.</w:t>
      </w:r>
    </w:p>
    <w:p>
      <w:pPr>
        <w:spacing w:after="120" w:line="259" w:lineRule="auto"/>
      </w:pPr>
      <w:r>
        <w:t>The solution is designed for academic use cases where users need grounded answers based on retrieved research evidence rather than unsupported or hallucinated model outputs. It uses arXiv and Semantic Scholar for paper collection, ChromaDB for vector search, SQLite for metadata storage, FLAN-T5 for generation, and LoRA for lightweight domain adaptation.</w:t>
      </w:r>
    </w:p>
    <w:p>
      <w:pPr>
        <w:pStyle w:val="Heading1"/>
      </w:pPr>
      <w:r>
        <w:rPr>
          <w:color w:val="1F4E79"/>
        </w:rPr>
        <w:t>2. Problem Statement</w:t>
      </w:r>
    </w:p>
    <w:p>
      <w:pPr>
        <w:spacing w:after="120" w:line="259" w:lineRule="auto"/>
      </w:pPr>
      <w:r>
        <w:t>Researchers often spend significant time searching for relevant academic papers, reading abstracts, comparing methods, and writing literature reviews. This work becomes harder when the topic is new, interdisciplinary, or contains rapidly changing terminology such as large language models, RAG, agentic systems, and AI guardrails.</w:t>
      </w:r>
    </w:p>
    <w:p>
      <w:pPr>
        <w:spacing w:after="120" w:line="259" w:lineRule="auto"/>
      </w:pPr>
      <w:r>
        <w:t>The project addresses the following problems:</w:t>
      </w:r>
    </w:p>
    <w:p>
      <w:pPr>
        <w:pStyle w:val="ListBullet"/>
      </w:pPr>
      <w:r>
        <w:t>Keyword search does not always retrieve papers that are semantically related to the user topic.</w:t>
      </w:r>
    </w:p>
    <w:p>
      <w:pPr>
        <w:pStyle w:val="ListBullet"/>
      </w:pPr>
      <w:r>
        <w:t>Manual reading and comparison of many papers is time-consuming.</w:t>
      </w:r>
    </w:p>
    <w:p>
      <w:pPr>
        <w:pStyle w:val="ListBullet"/>
      </w:pPr>
      <w:r>
        <w:t>Large language models can hallucinate paper titles, claims, datasets, and citations.</w:t>
      </w:r>
    </w:p>
    <w:p>
      <w:pPr>
        <w:pStyle w:val="ListBullet"/>
      </w:pPr>
      <w:r>
        <w:t>Generic pretrained models may not produce strong academic summaries or research gap analysis.</w:t>
      </w:r>
    </w:p>
    <w:p>
      <w:pPr>
        <w:pStyle w:val="ListBullet"/>
      </w:pPr>
      <w:r>
        <w:t>Students need a simpler interface for exploring papers and understanding technical methods.</w:t>
      </w:r>
    </w:p>
    <w:p>
      <w:pPr>
        <w:spacing w:after="120" w:line="259" w:lineRule="auto"/>
      </w:pPr>
      <w:r>
        <w:t>The goal is to build a grounded AI research assistant that retrieves relevant papers, stores them systematically, generates evidence-aware outputs, and demonstrates improvement using proper baseline comparison and LoRA fine-tuning.</w:t>
      </w:r>
    </w:p>
    <w:p>
      <w:pPr>
        <w:pStyle w:val="Heading1"/>
      </w:pPr>
      <w:r>
        <w:rPr>
          <w:color w:val="1F4E79"/>
        </w:rPr>
        <w:t>3. Literature Review</w:t>
      </w:r>
    </w:p>
    <w:p>
      <w:pPr>
        <w:pStyle w:val="Heading2"/>
      </w:pPr>
      <w:r>
        <w:rPr>
          <w:color w:val="1F4E79"/>
        </w:rPr>
        <w:t>3.1 Large Language Models</w:t>
      </w:r>
    </w:p>
    <w:p>
      <w:pPr>
        <w:spacing w:after="120" w:line="259" w:lineRule="auto"/>
      </w:pPr>
      <w:r>
        <w:t>Large language models have shown strong performance in summarization, question answering, and text generation. However, pretrained models may generate generic or unsupported content when they are not grounded in external evidence. For academic tasks, this creates a risk of hallucinated citations and inaccurate claims.</w:t>
      </w:r>
    </w:p>
    <w:p>
      <w:pPr>
        <w:pStyle w:val="Heading2"/>
      </w:pPr>
      <w:r>
        <w:rPr>
          <w:color w:val="1F4E79"/>
        </w:rPr>
        <w:t>3.2 Retrieval-Augmented Generation</w:t>
      </w:r>
    </w:p>
    <w:p>
      <w:pPr>
        <w:spacing w:after="120" w:line="259" w:lineRule="auto"/>
      </w:pPr>
      <w:r>
        <w:t>RAG combines information retrieval with generation. Instead of asking the model to answer only from its internal parameters, relevant documents are retrieved and inserted into the prompt. This improves factual grounding and makes the answer easier to verify.</w:t>
      </w:r>
    </w:p>
    <w:p>
      <w:pPr>
        <w:pStyle w:val="Heading2"/>
      </w:pPr>
      <w:r>
        <w:rPr>
          <w:color w:val="1F4E79"/>
        </w:rPr>
        <w:t>3.3 Semantic Search and Vector Databases</w:t>
      </w:r>
    </w:p>
    <w:p>
      <w:pPr>
        <w:spacing w:after="120" w:line="259" w:lineRule="auto"/>
      </w:pPr>
      <w:r>
        <w:t>Semantic search represents text as dense embeddings and retrieves documents based on meaning. Vector databases such as ChromaDB support efficient similarity search over these embeddings. This is useful for research paper exploration because related papers may use different keywords.</w:t>
      </w:r>
    </w:p>
    <w:p>
      <w:pPr>
        <w:pStyle w:val="Heading2"/>
      </w:pPr>
      <w:r>
        <w:rPr>
          <w:color w:val="1F4E79"/>
        </w:rPr>
        <w:t>3.4 PEFT and LoRA</w:t>
      </w:r>
    </w:p>
    <w:p>
      <w:pPr>
        <w:spacing w:after="120" w:line="259" w:lineRule="auto"/>
      </w:pPr>
      <w:r>
        <w:t>Parameter-Efficient Fine-Tuning (PEFT) updates a small number of trainable parameters instead of fine-tuning the complete model. LoRA injects low-rank adapter matrices into transformer layers, making it practical to fine-tune models on limited GPU resources such as Google Colab.</w:t>
      </w:r>
    </w:p>
    <w:p>
      <w:pPr>
        <w:pStyle w:val="Heading2"/>
      </w:pPr>
      <w:r>
        <w:rPr>
          <w:color w:val="1F4E79"/>
        </w:rPr>
        <w:t>3.5 Evaluation of Generated Text</w:t>
      </w:r>
    </w:p>
    <w:p>
      <w:pPr>
        <w:spacing w:after="120" w:line="259" w:lineRule="auto"/>
      </w:pPr>
      <w:r>
        <w:t>Automatic metrics such as BLEU, ROUGE, and BERTScore are commonly used to compare generated text against reference outputs. BLEU measures n-gram overlap, ROUGE is widely used for summarization, and BERTScore compares semantic similarity using contextual embeddings.</w:t>
      </w:r>
    </w:p>
    <w:p>
      <w:pPr>
        <w:pStyle w:val="Heading2"/>
      </w:pPr>
      <w:r>
        <w:rPr>
          <w:color w:val="1F4E79"/>
        </w:rPr>
        <w:t>3.6 Guardrails for AI Systems</w:t>
      </w:r>
    </w:p>
    <w:p>
      <w:pPr>
        <w:spacing w:after="120" w:line="259" w:lineRule="auto"/>
      </w:pPr>
      <w:r>
        <w:t>Guardrails are validation checks around LLM systems. In a research assistant, guardrails should block invalid inputs, reduce unsupported claims, prevent fake citations, and instruct the system to state when evidence is limited.</w:t>
      </w:r>
    </w:p>
    <w:p>
      <w:pPr>
        <w:pStyle w:val="Heading1"/>
      </w:pPr>
      <w:r>
        <w:rPr>
          <w:color w:val="1F4E79"/>
        </w:rPr>
        <w:t>4. Methodology</w:t>
      </w:r>
    </w:p>
    <w:p>
      <w:pPr>
        <w:pStyle w:val="Heading2"/>
      </w:pPr>
      <w:r>
        <w:rPr>
          <w:color w:val="1F4E79"/>
        </w:rPr>
        <w:t>4.1 System Architecture</w:t>
      </w:r>
    </w:p>
    <w:p>
      <w:pPr>
        <w:spacing w:after="120" w:line="259" w:lineRule="auto"/>
      </w:pPr>
      <w:r>
        <w:t>The system follows a modular pipeline. Papers are collected from external APIs, cleaned and chunked, embedded using a sentence-transformer model, stored in ChromaDB and SQLite, retrieved using semantic search, and passed to FLAN-T5 for generation. Multi-agent components separate literature review, research gap, technical explanation, and guardrail responsibilities.</w:t>
      </w:r>
    </w:p>
    <w:p>
      <w:pPr>
        <w:jc w:val="center"/>
      </w:pPr>
      <w:r>
        <w:drawing>
          <wp:inline xmlns:a="http://schemas.openxmlformats.org/drawingml/2006/main" xmlns:pic="http://schemas.openxmlformats.org/drawingml/2006/picture">
            <wp:extent cx="6172200" cy="3086100"/>
            <wp:docPr id="2" name="Picture 2"/>
            <wp:cNvGraphicFramePr>
              <a:graphicFrameLocks noChangeAspect="1"/>
            </wp:cNvGraphicFramePr>
            <a:graphic>
              <a:graphicData uri="http://schemas.openxmlformats.org/drawingml/2006/picture">
                <pic:pic>
                  <pic:nvPicPr>
                    <pic:cNvPr id="0" name="project_flowchart.png"/>
                    <pic:cNvPicPr/>
                  </pic:nvPicPr>
                  <pic:blipFill>
                    <a:blip r:embed="rId10"/>
                    <a:stretch>
                      <a:fillRect/>
                    </a:stretch>
                  </pic:blipFill>
                  <pic:spPr>
                    <a:xfrm>
                      <a:off x="0" y="0"/>
                      <a:ext cx="6172200" cy="3086100"/>
                    </a:xfrm>
                    <a:prstGeom prst="rect"/>
                  </pic:spPr>
                </pic:pic>
              </a:graphicData>
            </a:graphic>
          </wp:inline>
        </w:drawing>
      </w:r>
    </w:p>
    <w:p>
      <w:pPr>
        <w:spacing w:after="160"/>
        <w:jc w:val="center"/>
      </w:pPr>
      <w:r>
        <w:t>Figure 1: End-to-end ScholarSynth AI workflow.</w:t>
      </w:r>
    </w:p>
    <w:p>
      <w:pPr>
        <w:spacing w:before="80" w:after="160"/>
        <w:jc w:val="center"/>
      </w:pPr>
      <w:r>
        <w:drawing>
          <wp:inline xmlns:a="http://schemas.openxmlformats.org/drawingml/2006/main" xmlns:pic="http://schemas.openxmlformats.org/drawingml/2006/picture">
            <wp:extent cx="6172200" cy="2263140"/>
            <wp:docPr id="3" name="Picture 3"/>
            <wp:cNvGraphicFramePr>
              <a:graphicFrameLocks noChangeAspect="1"/>
            </wp:cNvGraphicFramePr>
            <a:graphic>
              <a:graphicData uri="http://schemas.openxmlformats.org/drawingml/2006/picture">
                <pic:pic>
                  <pic:nvPicPr>
                    <pic:cNvPr id="0" name="table_02.png"/>
                    <pic:cNvPicPr/>
                  </pic:nvPicPr>
                  <pic:blipFill>
                    <a:blip r:embed="rId11"/>
                    <a:stretch>
                      <a:fillRect/>
                    </a:stretch>
                  </pic:blipFill>
                  <pic:spPr>
                    <a:xfrm>
                      <a:off x="0" y="0"/>
                      <a:ext cx="6172200" cy="2263140"/>
                    </a:xfrm>
                    <a:prstGeom prst="rect"/>
                  </pic:spPr>
                </pic:pic>
              </a:graphicData>
            </a:graphic>
          </wp:inline>
        </w:drawing>
      </w:r>
    </w:p>
    <w:p>
      <w:pPr>
        <w:pStyle w:val="Heading2"/>
      </w:pPr>
      <w:r>
        <w:rPr>
          <w:color w:val="1F4E79"/>
        </w:rPr>
        <w:t>4.2 Dataset Collection</w:t>
      </w:r>
    </w:p>
    <w:p>
      <w:pPr>
        <w:spacing w:after="120" w:line="259" w:lineRule="auto"/>
      </w:pPr>
      <w:r>
        <w:t>The dataset contains papers from topics related to LLMs, Hugging Face models, AI chatbots, RAG, transformers, neural networks, scholarly search, guardrails, and text generation evaluation. The collection process used arXiv and Semantic Scholar APIs and saved paper metadata in CSV format.</w:t>
      </w:r>
    </w:p>
    <w:p>
      <w:pPr>
        <w:spacing w:before="80" w:after="160"/>
        <w:jc w:val="center"/>
      </w:pPr>
      <w:r>
        <w:drawing>
          <wp:inline xmlns:a="http://schemas.openxmlformats.org/drawingml/2006/main" xmlns:pic="http://schemas.openxmlformats.org/drawingml/2006/picture">
            <wp:extent cx="6172200" cy="1785823"/>
            <wp:docPr id="4" name="Picture 4"/>
            <wp:cNvGraphicFramePr>
              <a:graphicFrameLocks noChangeAspect="1"/>
            </wp:cNvGraphicFramePr>
            <a:graphic>
              <a:graphicData uri="http://schemas.openxmlformats.org/drawingml/2006/picture">
                <pic:pic>
                  <pic:nvPicPr>
                    <pic:cNvPr id="0" name="table_03.png"/>
                    <pic:cNvPicPr/>
                  </pic:nvPicPr>
                  <pic:blipFill>
                    <a:blip r:embed="rId12"/>
                    <a:stretch>
                      <a:fillRect/>
                    </a:stretch>
                  </pic:blipFill>
                  <pic:spPr>
                    <a:xfrm>
                      <a:off x="0" y="0"/>
                      <a:ext cx="6172200" cy="1785823"/>
                    </a:xfrm>
                    <a:prstGeom prst="rect"/>
                  </pic:spPr>
                </pic:pic>
              </a:graphicData>
            </a:graphic>
          </wp:inline>
        </w:drawing>
      </w:r>
    </w:p>
    <w:p>
      <w:pPr>
        <w:pStyle w:val="Heading2"/>
      </w:pPr>
      <w:r>
        <w:rPr>
          <w:color w:val="1F4E79"/>
        </w:rPr>
        <w:t>4.3 Preprocessing and Data Split</w:t>
      </w:r>
    </w:p>
    <w:p>
      <w:pPr>
        <w:spacing w:after="120" w:line="259" w:lineRule="auto"/>
      </w:pPr>
      <w:r>
        <w:t>Preprocessing removes invalid abstracts, deduplicates papers by title and abstract, normalizes whitespace, combines title and abstract, and chunks long academic text into smaller passages for retrieval. The final train-validation-test split is 75 percent, 10 percent, and 15 percent.</w:t>
      </w:r>
    </w:p>
    <w:p>
      <w:pPr>
        <w:spacing w:before="80" w:after="160"/>
        <w:jc w:val="center"/>
      </w:pPr>
      <w:r>
        <w:drawing>
          <wp:inline xmlns:a="http://schemas.openxmlformats.org/drawingml/2006/main" xmlns:pic="http://schemas.openxmlformats.org/drawingml/2006/picture">
            <wp:extent cx="6172200" cy="1308506"/>
            <wp:docPr id="5" name="Picture 5"/>
            <wp:cNvGraphicFramePr>
              <a:graphicFrameLocks noChangeAspect="1"/>
            </wp:cNvGraphicFramePr>
            <a:graphic>
              <a:graphicData uri="http://schemas.openxmlformats.org/drawingml/2006/picture">
                <pic:pic>
                  <pic:nvPicPr>
                    <pic:cNvPr id="0" name="table_04.png"/>
                    <pic:cNvPicPr/>
                  </pic:nvPicPr>
                  <pic:blipFill>
                    <a:blip r:embed="rId13"/>
                    <a:stretch>
                      <a:fillRect/>
                    </a:stretch>
                  </pic:blipFill>
                  <pic:spPr>
                    <a:xfrm>
                      <a:off x="0" y="0"/>
                      <a:ext cx="6172200" cy="1308506"/>
                    </a:xfrm>
                    <a:prstGeom prst="rect"/>
                  </pic:spPr>
                </pic:pic>
              </a:graphicData>
            </a:graphic>
          </wp:inline>
        </w:drawing>
      </w:r>
    </w:p>
    <w:p>
      <w:pPr>
        <w:pStyle w:val="Heading2"/>
      </w:pPr>
      <w:r>
        <w:rPr>
          <w:color w:val="1F4E79"/>
        </w:rPr>
        <w:t>4.4 Fine-Tuning Dataset Tasks</w:t>
      </w:r>
    </w:p>
    <w:p>
      <w:pPr>
        <w:pStyle w:val="ListBullet"/>
      </w:pPr>
      <w:r>
        <w:t>Paper summarization from title and abstract.</w:t>
      </w:r>
    </w:p>
    <w:p>
      <w:pPr>
        <w:pStyle w:val="ListBullet"/>
      </w:pPr>
      <w:r>
        <w:t>Technical explanation for early-stage researchers.</w:t>
      </w:r>
    </w:p>
    <w:p>
      <w:pPr>
        <w:pStyle w:val="ListBullet"/>
      </w:pPr>
      <w:r>
        <w:t>Evidence-based question answering using only the given abstract.</w:t>
      </w:r>
    </w:p>
    <w:p>
      <w:pPr>
        <w:pStyle w:val="ListBullet"/>
      </w:pPr>
      <w:r>
        <w:t>Short literature review generation from grouped papers.</w:t>
      </w:r>
    </w:p>
    <w:p>
      <w:pPr>
        <w:pStyle w:val="ListBullet"/>
      </w:pPr>
      <w:r>
        <w:t>Research gap analysis from retrieved papers.</w:t>
      </w:r>
    </w:p>
    <w:p>
      <w:pPr>
        <w:pStyle w:val="ListBullet"/>
      </w:pPr>
      <w:r>
        <w:t>Comparative analysis across related papers.</w:t>
      </w:r>
    </w:p>
    <w:p>
      <w:pPr>
        <w:pStyle w:val="Heading2"/>
      </w:pPr>
      <w:r>
        <w:rPr>
          <w:color w:val="1F4E79"/>
        </w:rPr>
        <w:t>4.5 Multi-Agent Design</w:t>
      </w:r>
    </w:p>
    <w:p>
      <w:pPr>
        <w:spacing w:before="80" w:after="160"/>
        <w:jc w:val="center"/>
      </w:pPr>
      <w:r>
        <w:drawing>
          <wp:inline xmlns:a="http://schemas.openxmlformats.org/drawingml/2006/main" xmlns:pic="http://schemas.openxmlformats.org/drawingml/2006/picture">
            <wp:extent cx="6172200" cy="1547165"/>
            <wp:docPr id="6" name="Picture 6"/>
            <wp:cNvGraphicFramePr>
              <a:graphicFrameLocks noChangeAspect="1"/>
            </wp:cNvGraphicFramePr>
            <a:graphic>
              <a:graphicData uri="http://schemas.openxmlformats.org/drawingml/2006/picture">
                <pic:pic>
                  <pic:nvPicPr>
                    <pic:cNvPr id="0" name="table_05.png"/>
                    <pic:cNvPicPr/>
                  </pic:nvPicPr>
                  <pic:blipFill>
                    <a:blip r:embed="rId14"/>
                    <a:stretch>
                      <a:fillRect/>
                    </a:stretch>
                  </pic:blipFill>
                  <pic:spPr>
                    <a:xfrm>
                      <a:off x="0" y="0"/>
                      <a:ext cx="6172200" cy="1547165"/>
                    </a:xfrm>
                    <a:prstGeom prst="rect"/>
                  </pic:spPr>
                </pic:pic>
              </a:graphicData>
            </a:graphic>
          </wp:inline>
        </w:drawing>
      </w:r>
    </w:p>
    <w:p>
      <w:pPr>
        <w:pStyle w:val="Heading1"/>
      </w:pPr>
      <w:r>
        <w:rPr>
          <w:color w:val="1F4E79"/>
        </w:rPr>
        <w:t>5. Technology Stack</w:t>
      </w:r>
    </w:p>
    <w:p>
      <w:pPr>
        <w:spacing w:before="80" w:after="160"/>
        <w:jc w:val="center"/>
      </w:pPr>
      <w:r>
        <w:drawing>
          <wp:inline xmlns:a="http://schemas.openxmlformats.org/drawingml/2006/main" xmlns:pic="http://schemas.openxmlformats.org/drawingml/2006/picture">
            <wp:extent cx="6172200" cy="3102559"/>
            <wp:docPr id="7" name="Picture 7"/>
            <wp:cNvGraphicFramePr>
              <a:graphicFrameLocks noChangeAspect="1"/>
            </wp:cNvGraphicFramePr>
            <a:graphic>
              <a:graphicData uri="http://schemas.openxmlformats.org/drawingml/2006/picture">
                <pic:pic>
                  <pic:nvPicPr>
                    <pic:cNvPr id="0" name="table_06.png"/>
                    <pic:cNvPicPr/>
                  </pic:nvPicPr>
                  <pic:blipFill>
                    <a:blip r:embed="rId15"/>
                    <a:stretch>
                      <a:fillRect/>
                    </a:stretch>
                  </pic:blipFill>
                  <pic:spPr>
                    <a:xfrm>
                      <a:off x="0" y="0"/>
                      <a:ext cx="6172200" cy="3102559"/>
                    </a:xfrm>
                    <a:prstGeom prst="rect"/>
                  </pic:spPr>
                </pic:pic>
              </a:graphicData>
            </a:graphic>
          </wp:inline>
        </w:drawing>
      </w:r>
    </w:p>
    <w:p>
      <w:pPr>
        <w:pStyle w:val="Heading1"/>
      </w:pPr>
      <w:r>
        <w:rPr>
          <w:color w:val="1F4E79"/>
        </w:rPr>
        <w:t>6. Results</w:t>
      </w:r>
    </w:p>
    <w:p>
      <w:pPr>
        <w:pStyle w:val="Heading2"/>
      </w:pPr>
      <w:r>
        <w:rPr>
          <w:color w:val="1F4E79"/>
        </w:rPr>
        <w:t>6.1 Dataset and Storage Results</w:t>
      </w:r>
    </w:p>
    <w:p>
      <w:pPr>
        <w:spacing w:after="120" w:line="259" w:lineRule="auto"/>
      </w:pPr>
      <w:r>
        <w:t>The project successfully created a large application-specific academic dataset and rebuilt the retrieval stores. SQLite contains 5,000 metadata rows, and ChromaDB contains 10,339 indexed chunks. This satisfies the requirement for both structured data storage and vector database storage.</w:t>
      </w:r>
    </w:p>
    <w:p>
      <w:pPr>
        <w:pStyle w:val="Heading2"/>
      </w:pPr>
      <w:r>
        <w:rPr>
          <w:color w:val="1F4E79"/>
        </w:rPr>
        <w:t>6.2 Baseline Evaluation</w:t>
      </w:r>
    </w:p>
    <w:p>
      <w:pPr>
        <w:spacing w:after="120" w:line="259" w:lineRule="auto"/>
      </w:pPr>
      <w:r>
        <w:t>A 200-example baseline evaluation was completed for pretrained FLAN-T5, prompt-engineered FLAN-T5, and the RAG system. The metrics are shown below.</w:t>
      </w:r>
    </w:p>
    <w:p>
      <w:pPr>
        <w:spacing w:before="80" w:after="160"/>
        <w:jc w:val="center"/>
      </w:pPr>
      <w:r>
        <w:drawing>
          <wp:inline xmlns:a="http://schemas.openxmlformats.org/drawingml/2006/main" xmlns:pic="http://schemas.openxmlformats.org/drawingml/2006/picture">
            <wp:extent cx="6172200" cy="1308506"/>
            <wp:docPr id="8" name="Picture 8"/>
            <wp:cNvGraphicFramePr>
              <a:graphicFrameLocks noChangeAspect="1"/>
            </wp:cNvGraphicFramePr>
            <a:graphic>
              <a:graphicData uri="http://schemas.openxmlformats.org/drawingml/2006/picture">
                <pic:pic>
                  <pic:nvPicPr>
                    <pic:cNvPr id="0" name="table_07.png"/>
                    <pic:cNvPicPr/>
                  </pic:nvPicPr>
                  <pic:blipFill>
                    <a:blip r:embed="rId16"/>
                    <a:stretch>
                      <a:fillRect/>
                    </a:stretch>
                  </pic:blipFill>
                  <pic:spPr>
                    <a:xfrm>
                      <a:off x="0" y="0"/>
                      <a:ext cx="6172200" cy="1308506"/>
                    </a:xfrm>
                    <a:prstGeom prst="rect"/>
                  </pic:spPr>
                </pic:pic>
              </a:graphicData>
            </a:graphic>
          </wp:inline>
        </w:drawing>
      </w:r>
    </w:p>
    <w:p>
      <w:pPr>
        <w:spacing w:after="120" w:line="259" w:lineRule="auto"/>
      </w:pPr>
      <w:r>
        <w:t>The pretrained model scores highest on lexical overlap because many reference answers are derived from paper abstracts. The RAG system remains important because it provides retrieved evidence and supports grounded source-aware generation, even when lexical overlap metrics do not fully capture that benefit.</w:t>
      </w:r>
    </w:p>
    <w:p>
      <w:pPr>
        <w:pStyle w:val="Heading2"/>
      </w:pPr>
      <w:r>
        <w:rPr>
          <w:color w:val="1F4E79"/>
        </w:rPr>
        <w:t>6.3 Fine-Tuned LoRA Model</w:t>
      </w:r>
    </w:p>
    <w:p>
      <w:pPr>
        <w:spacing w:after="120" w:line="259" w:lineRule="auto"/>
      </w:pPr>
      <w:r>
        <w:t>The PEFT fine-tuned LoRA adapter has been trained in Google Colab and saved locally under models/flan_t5_lora. The adapter uses FLAN-T5-base as the base model with LoRA target modules q and v. A final all-system evaluation notebook has been prepared to compare pretrained, prompt-engineered, RAG, fine_tuned_lora, and rag_plus_lora systems. The final table should be updated after running the 200-example LoRA comparison notebook.</w:t>
      </w:r>
    </w:p>
    <w:p>
      <w:pPr>
        <w:spacing w:before="80" w:after="160"/>
        <w:jc w:val="center"/>
      </w:pPr>
      <w:r>
        <w:drawing>
          <wp:inline xmlns:a="http://schemas.openxmlformats.org/drawingml/2006/main" xmlns:pic="http://schemas.openxmlformats.org/drawingml/2006/picture">
            <wp:extent cx="6172200" cy="1785823"/>
            <wp:docPr id="9" name="Picture 9"/>
            <wp:cNvGraphicFramePr>
              <a:graphicFrameLocks noChangeAspect="1"/>
            </wp:cNvGraphicFramePr>
            <a:graphic>
              <a:graphicData uri="http://schemas.openxmlformats.org/drawingml/2006/picture">
                <pic:pic>
                  <pic:nvPicPr>
                    <pic:cNvPr id="0" name="table_08.png"/>
                    <pic:cNvPicPr/>
                  </pic:nvPicPr>
                  <pic:blipFill>
                    <a:blip r:embed="rId17"/>
                    <a:stretch>
                      <a:fillRect/>
                    </a:stretch>
                  </pic:blipFill>
                  <pic:spPr>
                    <a:xfrm>
                      <a:off x="0" y="0"/>
                      <a:ext cx="6172200" cy="1785823"/>
                    </a:xfrm>
                    <a:prstGeom prst="rect"/>
                  </pic:spPr>
                </pic:pic>
              </a:graphicData>
            </a:graphic>
          </wp:inline>
        </w:drawing>
      </w:r>
    </w:p>
    <w:p>
      <w:pPr>
        <w:pStyle w:val="Heading2"/>
      </w:pPr>
      <w:r>
        <w:rPr>
          <w:color w:val="1F4E79"/>
        </w:rPr>
        <w:t>6.4 Qualitative and Error Analysis</w:t>
      </w:r>
    </w:p>
    <w:p>
      <w:pPr>
        <w:spacing w:after="120" w:line="259" w:lineRule="auto"/>
      </w:pPr>
      <w:r>
        <w:t>Qualitative analysis focuses on whether outputs are grounded, specific, non-repetitive, and useful for a research user. The main observed and expected failure modes are listed below.</w:t>
      </w:r>
    </w:p>
    <w:p>
      <w:pPr>
        <w:spacing w:before="80" w:after="160"/>
        <w:jc w:val="center"/>
      </w:pPr>
      <w:r>
        <w:drawing>
          <wp:inline xmlns:a="http://schemas.openxmlformats.org/drawingml/2006/main" xmlns:pic="http://schemas.openxmlformats.org/drawingml/2006/picture">
            <wp:extent cx="6172200" cy="2403043"/>
            <wp:docPr id="10" name="Picture 10"/>
            <wp:cNvGraphicFramePr>
              <a:graphicFrameLocks noChangeAspect="1"/>
            </wp:cNvGraphicFramePr>
            <a:graphic>
              <a:graphicData uri="http://schemas.openxmlformats.org/drawingml/2006/picture">
                <pic:pic>
                  <pic:nvPicPr>
                    <pic:cNvPr id="0" name="table_09.png"/>
                    <pic:cNvPicPr/>
                  </pic:nvPicPr>
                  <pic:blipFill>
                    <a:blip r:embed="rId18"/>
                    <a:stretch>
                      <a:fillRect/>
                    </a:stretch>
                  </pic:blipFill>
                  <pic:spPr>
                    <a:xfrm>
                      <a:off x="0" y="0"/>
                      <a:ext cx="6172200" cy="2403043"/>
                    </a:xfrm>
                    <a:prstGeom prst="rect"/>
                  </pic:spPr>
                </pic:pic>
              </a:graphicData>
            </a:graphic>
          </wp:inline>
        </w:drawing>
      </w:r>
    </w:p>
    <w:p>
      <w:pPr>
        <w:pStyle w:val="Heading2"/>
      </w:pPr>
      <w:r>
        <w:rPr>
          <w:color w:val="1F4E79"/>
        </w:rPr>
        <w:t>6.5 Guardrails</w:t>
      </w:r>
    </w:p>
    <w:p>
      <w:pPr>
        <w:spacing w:after="120" w:line="259" w:lineRule="auto"/>
      </w:pPr>
      <w:r>
        <w:t>The GuardrailAgent validates user queries and generated outputs. Current checks reject empty queries, limit overly long inputs, and provide a layer for blocking unsupported outputs. Additional guardrails for final deployment include preventing fake citations, requiring retrieved evidence for paper claims, and stating that evidence is limited when retrieval quality is weak.</w:t>
      </w:r>
    </w:p>
    <w:p>
      <w:pPr>
        <w:pStyle w:val="Heading2"/>
      </w:pPr>
      <w:r>
        <w:rPr>
          <w:color w:val="1F4E79"/>
        </w:rPr>
        <w:t>6.6 Frontend Integration</w:t>
      </w:r>
    </w:p>
    <w:p>
      <w:pPr>
        <w:spacing w:after="120" w:line="259" w:lineRule="auto"/>
      </w:pPr>
      <w:r>
        <w:t>A Streamlit interface is included through app.py. The interface is intended to allow users to enter a research topic, retrieve relevant papers, generate literature reviews, ask paper-related questions, detect research gaps, and inspect retrieved sources.</w:t>
      </w:r>
    </w:p>
    <w:p>
      <w:pPr>
        <w:pStyle w:val="Heading1"/>
      </w:pPr>
      <w:r>
        <w:rPr>
          <w:color w:val="1F4E79"/>
        </w:rPr>
        <w:t>7. Conclusions</w:t>
      </w:r>
    </w:p>
    <w:p>
      <w:pPr>
        <w:spacing w:after="120" w:line="259" w:lineRule="auto"/>
      </w:pPr>
      <w:r>
        <w:t>The project demonstrates an end-to-end GenAI research assistant that goes beyond simple prompting. It includes application-specific data collection, preprocessing, structured and vector storage, semantic retrieval, RAG generation, multi-agent task separation, PEFT fine-tuning, quantitative evaluation, qualitative error analysis, guardrails, and a frontend demonstration path.</w:t>
      </w:r>
    </w:p>
    <w:p>
      <w:pPr>
        <w:spacing w:after="120" w:line="259" w:lineRule="auto"/>
      </w:pPr>
      <w:r>
        <w:t>The system is applicable to students, researchers, and academic teams who need to explore a new research area quickly. It can reduce manual effort in paper discovery, abstract reading, literature review drafting, and research gap identification. Future work should improve retrieval reranking, add stricter citation verification, complete the final LoRA comparison, and expand UI support for saving reports and exporting literature reviews.</w:t>
      </w:r>
    </w:p>
    <w:p>
      <w:pPr>
        <w:pStyle w:val="Heading1"/>
      </w:pPr>
      <w:r>
        <w:rPr>
          <w:color w:val="1F4E79"/>
        </w:rPr>
        <w:t>8. References</w:t>
      </w:r>
    </w:p>
    <w:p>
      <w:pPr>
        <w:pStyle w:val="ListNumber"/>
      </w:pPr>
      <w:r>
        <w:t>Raffel et al., Exploring the Limits of Transfer Learning with a Unified Text-to-Text Transformer, 2020.</w:t>
      </w:r>
    </w:p>
    <w:p>
      <w:pPr>
        <w:pStyle w:val="ListNumber"/>
      </w:pPr>
      <w:r>
        <w:t>Chung et al., Scaling Instruction-Finetuned Language Models, 2022.</w:t>
      </w:r>
    </w:p>
    <w:p>
      <w:pPr>
        <w:pStyle w:val="ListNumber"/>
      </w:pPr>
      <w:r>
        <w:t>Hu et al., LoRA: Low-Rank Adaptation of Large Language Models, 2021.</w:t>
      </w:r>
    </w:p>
    <w:p>
      <w:pPr>
        <w:pStyle w:val="ListNumber"/>
      </w:pPr>
      <w:r>
        <w:t>Lewis et al., Retrieval-Augmented Generation for Knowledge-Intensive NLP Tasks, 2020.</w:t>
      </w:r>
    </w:p>
    <w:p>
      <w:pPr>
        <w:pStyle w:val="ListNumber"/>
      </w:pPr>
      <w:r>
        <w:t>Reimers and Gurevych, Sentence-BERT: Sentence Embeddings using Siamese BERT-Networks, 2019.</w:t>
      </w:r>
    </w:p>
    <w:p>
      <w:pPr>
        <w:pStyle w:val="ListNumber"/>
      </w:pPr>
      <w:r>
        <w:t>Zhang et al., BERTScore: Evaluating Text Generation with BERT, 2020.</w:t>
      </w:r>
    </w:p>
    <w:p>
      <w:pPr>
        <w:pStyle w:val="ListNumber"/>
      </w:pPr>
      <w:r>
        <w:t>Papineni et al., BLEU: a Method for Automatic Evaluation of Machine Translation, 2002.</w:t>
      </w:r>
    </w:p>
    <w:p>
      <w:pPr>
        <w:pStyle w:val="ListNumber"/>
      </w:pPr>
      <w:r>
        <w:t>Lin, ROUGE: A Package for Automatic Evaluation of Summaries, 2004.</w:t>
      </w:r>
    </w:p>
    <w:p>
      <w:pPr>
        <w:pStyle w:val="ListNumber"/>
      </w:pPr>
      <w:r>
        <w:t>arXiv API Documentation.</w:t>
      </w:r>
    </w:p>
    <w:p>
      <w:pPr>
        <w:pStyle w:val="ListNumber"/>
      </w:pPr>
      <w:r>
        <w:t>Semantic Scholar Graph API Documentation.</w:t>
      </w:r>
    </w:p>
    <w:p>
      <w:pPr>
        <w:pStyle w:val="ListNumber"/>
      </w:pPr>
      <w:r>
        <w:t>ChromaDB Documentation.</w:t>
      </w:r>
    </w:p>
    <w:p>
      <w:pPr>
        <w:pStyle w:val="ListNumber"/>
      </w:pPr>
      <w:r>
        <w:t>Hugging Face Transformers and PEFT Documentation.</w:t>
      </w:r>
    </w:p>
    <w:p>
      <w:pPr>
        <w:pStyle w:val="Heading1"/>
      </w:pPr>
      <w:r>
        <w:rPr>
          <w:color w:val="1F4E79"/>
        </w:rPr>
        <w:t>9. Appendix</w:t>
      </w:r>
    </w:p>
    <w:p>
      <w:pPr>
        <w:pStyle w:val="Heading2"/>
      </w:pPr>
      <w:r>
        <w:rPr>
          <w:color w:val="1F4E79"/>
        </w:rPr>
        <w:t>Appendix A: Project Structure</w:t>
      </w:r>
    </w:p>
    <w:p>
      <w:pPr>
        <w:spacing w:after="120" w:line="259" w:lineRule="auto"/>
      </w:pPr>
      <w:r>
        <w:t>The repository is organized into data, notebooks, source modules, outputs, models, and report folders. The notebooks demonstrate the workflow, while the source files contain reusable implementation logic.</w:t>
      </w:r>
    </w:p>
    <w:p>
      <w:pPr>
        <w:spacing w:before="80" w:after="160"/>
        <w:jc w:val="center"/>
      </w:pPr>
      <w:r>
        <w:drawing>
          <wp:inline xmlns:a="http://schemas.openxmlformats.org/drawingml/2006/main" xmlns:pic="http://schemas.openxmlformats.org/drawingml/2006/picture">
            <wp:extent cx="6172200" cy="3226003"/>
            <wp:docPr id="11" name="Picture 11"/>
            <wp:cNvGraphicFramePr>
              <a:graphicFrameLocks noChangeAspect="1"/>
            </wp:cNvGraphicFramePr>
            <a:graphic>
              <a:graphicData uri="http://schemas.openxmlformats.org/drawingml/2006/picture">
                <pic:pic>
                  <pic:nvPicPr>
                    <pic:cNvPr id="0" name="table_10.png"/>
                    <pic:cNvPicPr/>
                  </pic:nvPicPr>
                  <pic:blipFill>
                    <a:blip r:embed="rId19"/>
                    <a:stretch>
                      <a:fillRect/>
                    </a:stretch>
                  </pic:blipFill>
                  <pic:spPr>
                    <a:xfrm>
                      <a:off x="0" y="0"/>
                      <a:ext cx="6172200" cy="3226003"/>
                    </a:xfrm>
                    <a:prstGeom prst="rect"/>
                  </pic:spPr>
                </pic:pic>
              </a:graphicData>
            </a:graphic>
          </wp:inline>
        </w:drawing>
      </w:r>
    </w:p>
    <w:p>
      <w:pPr>
        <w:pStyle w:val="Heading2"/>
      </w:pPr>
      <w:r>
        <w:rPr>
          <w:color w:val="1F4E79"/>
        </w:rPr>
        <w:t>Appendix B: Output Artifacts</w:t>
      </w:r>
    </w:p>
    <w:p>
      <w:pPr>
        <w:pStyle w:val="ListBullet"/>
      </w:pPr>
      <w:r>
        <w:t>outputs/baseline_200_eval_data.csv</w:t>
      </w:r>
    </w:p>
    <w:p>
      <w:pPr>
        <w:pStyle w:val="ListBullet"/>
      </w:pPr>
      <w:r>
        <w:t>outputs/baseline_200_metrics.csv</w:t>
      </w:r>
    </w:p>
    <w:p>
      <w:pPr>
        <w:pStyle w:val="ListBullet"/>
      </w:pPr>
      <w:r>
        <w:t>outputs/baseline_200_generations.csv</w:t>
      </w:r>
    </w:p>
    <w:p>
      <w:pPr>
        <w:pStyle w:val="ListBullet"/>
      </w:pPr>
      <w:r>
        <w:t>outputs/baseline_200_comparison_table.csv</w:t>
      </w:r>
    </w:p>
    <w:p>
      <w:pPr>
        <w:pStyle w:val="ListBullet"/>
      </w:pPr>
      <w:r>
        <w:t>outputs/baseline_200_comparison.md</w:t>
      </w:r>
    </w:p>
    <w:p>
      <w:pPr>
        <w:pStyle w:val="ListBullet"/>
      </w:pPr>
      <w:r>
        <w:t>models/flan_t5_lora/</w:t>
      </w:r>
    </w:p>
    <w:p>
      <w:pPr>
        <w:pStyle w:val="ListBullet"/>
      </w:pPr>
      <w:r>
        <w:t>notebooks/07_finetuned_lora_comparison.ipynb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