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0"/>
        <w:rPr/>
      </w:pPr>
      <w:r>
        <w:rPr/>
      </w:r>
    </w:p>
    <w:p>
      <w:pPr>
        <w:pStyle w:val="Normal"/>
        <w:spacing w:before="0" w:after="100"/>
        <w:jc w:val="center"/>
        <w:rPr/>
      </w:pPr>
      <w:r>
        <w:rPr>
          <w:rFonts w:eastAsia="Arial" w:cs="Arial"/>
          <w:color w:val="606060"/>
          <w:sz w:val="22"/>
          <w:szCs w:val="22"/>
        </w:rPr>
        <w:t>CID — Conseil Ingénierie et Développement</w:t>
      </w:r>
    </w:p>
    <w:p>
      <w:pPr>
        <w:pStyle w:val="Normal"/>
        <w:spacing w:before="0" w:after="100"/>
        <w:jc w:val="center"/>
        <w:rPr/>
      </w:pPr>
      <w:r>
        <w:rPr>
          <w:rFonts w:eastAsia="Arial" w:cs="Arial"/>
          <w:color w:val="606060"/>
          <w:sz w:val="22"/>
          <w:szCs w:val="22"/>
        </w:rPr>
        <w:t>ISMAGI — Projet de Fin d'Études  |  Février–Août 2026</w:t>
      </w:r>
    </w:p>
    <w:p>
      <w:pPr>
        <w:pStyle w:val="Normal"/>
        <w:spacing w:before="0" w:after="320"/>
        <w:rPr/>
      </w:pPr>
      <w:r>
        <w:rPr/>
      </w:r>
    </w:p>
    <w:p>
      <w:pPr>
        <w:pStyle w:val="Normal"/>
        <w:pBdr>
          <w:top w:val="single" w:sz="12" w:space="1" w:color="2E75B6"/>
          <w:bottom w:val="single" w:sz="12" w:space="1" w:color="2E75B6"/>
        </w:pBdr>
        <w:spacing w:before="200" w:after="200"/>
        <w:jc w:val="center"/>
        <w:rPr/>
      </w:pPr>
      <w:r>
        <w:rPr>
          <w:rFonts w:eastAsia="Arial" w:cs="Arial"/>
          <w:b/>
          <w:bCs/>
          <w:color w:val="1F4E79"/>
          <w:sz w:val="40"/>
          <w:szCs w:val="40"/>
        </w:rPr>
        <w:t>RÉSUMÉ D'AVANCEMENT DU STAGE</w:t>
      </w:r>
    </w:p>
    <w:p>
      <w:pPr>
        <w:pStyle w:val="Normal"/>
        <w:spacing w:before="140" w:after="400"/>
        <w:jc w:val="center"/>
        <w:rPr/>
      </w:pPr>
      <w:r>
        <w:rPr>
          <w:rFonts w:eastAsia="Arial" w:cs="Arial"/>
          <w:color w:val="303030"/>
          <w:sz w:val="26"/>
          <w:szCs w:val="26"/>
        </w:rPr>
        <w:t>Génération automatique de commentaires d'inspection d'ouvrages d'art par IA</w:t>
      </w:r>
    </w:p>
    <w:p>
      <w:pPr>
        <w:pStyle w:val="Normal"/>
        <w:spacing w:before="0" w:after="400"/>
        <w:rPr/>
      </w:pPr>
      <w:r>
        <w:rPr/>
      </w:r>
    </w:p>
    <w:p>
      <w:pPr>
        <w:pStyle w:val="Normal"/>
        <w:spacing w:before="0" w:after="100"/>
        <w:jc w:val="center"/>
        <w:rPr/>
      </w:pPr>
      <w:r>
        <w:rPr>
          <w:rFonts w:eastAsia="Arial" w:cs="Arial"/>
          <w:color w:val="404040"/>
          <w:sz w:val="22"/>
          <w:szCs w:val="22"/>
        </w:rPr>
        <w:t>Stagiaire : Youssef Elhardouzi</w:t>
      </w:r>
    </w:p>
    <w:p>
      <w:pPr>
        <w:pStyle w:val="Normal"/>
        <w:spacing w:before="0" w:after="100"/>
        <w:jc w:val="center"/>
        <w:rPr>
          <w:rFonts w:ascii="Arial" w:hAnsi="Arial" w:eastAsia="Arial" w:cs="Arial"/>
          <w:color w:val="404040"/>
          <w:sz w:val="22"/>
          <w:szCs w:val="22"/>
        </w:rPr>
      </w:pPr>
      <w:r>
        <w:rPr>
          <w:rFonts w:eastAsia="Arial" w:cs="Arial"/>
          <w:color w:val="404040"/>
          <w:sz w:val="22"/>
          <w:szCs w:val="22"/>
        </w:rPr>
        <w:t>Encadrant CID : Ismail Oubah</w:t>
      </w:r>
    </w:p>
    <w:p>
      <w:pPr>
        <w:pStyle w:val="Normal"/>
        <w:spacing w:before="0" w:after="100"/>
        <w:jc w:val="center"/>
        <w:rPr>
          <w:rFonts w:ascii="Arial" w:hAnsi="Arial" w:eastAsia="Arial" w:cs="Arial"/>
          <w:color w:val="404040"/>
          <w:sz w:val="22"/>
          <w:szCs w:val="22"/>
        </w:rPr>
      </w:pPr>
      <w:r>
        <w:rPr>
          <w:rFonts w:eastAsia="Arial" w:cs="Arial"/>
          <w:color w:val="404040"/>
          <w:sz w:val="22"/>
          <w:szCs w:val="22"/>
        </w:rPr>
        <w:t>Encadrant ISMAGI : Abdillah Moussa</w:t>
      </w:r>
    </w:p>
    <w:p>
      <w:pPr>
        <w:pStyle w:val="Normal"/>
        <w:spacing w:before="0" w:after="100"/>
        <w:jc w:val="center"/>
        <w:rPr/>
      </w:pPr>
      <w:r>
        <w:rPr>
          <w:rFonts w:eastAsia="Arial" w:cs="Arial"/>
          <w:color w:val="404040"/>
          <w:sz w:val="22"/>
          <w:szCs w:val="22"/>
        </w:rPr>
        <w:t>Période : Février – Avril 2026</w:t>
      </w:r>
    </w:p>
    <w:p>
      <w:pPr>
        <w:pStyle w:val="Normal"/>
        <w:spacing w:before="0" w:after="100"/>
        <w:jc w:val="center"/>
        <w:rPr/>
      </w:pPr>
      <w:r>
        <w:rPr>
          <w:rFonts w:eastAsia="Arial" w:cs="Arial"/>
          <w:i/>
          <w:iCs/>
          <w:color w:val="606060"/>
          <w:sz w:val="22"/>
          <w:szCs w:val="22"/>
        </w:rPr>
        <w:t>Date du document : Avril 2026</w:t>
      </w:r>
    </w:p>
    <w:p>
      <w:pPr>
        <w:pStyle w:val="Normal"/>
        <w:rPr/>
      </w:pPr>
      <w:r>
        <w:rPr/>
      </w:r>
      <w:r>
        <w:br w:type="page"/>
      </w:r>
    </w:p>
    <w:p>
      <w:pPr>
        <w:pStyle w:val="Heading1"/>
        <w:pBdr>
          <w:bottom w:val="single" w:sz="6" w:space="1" w:color="2E75B6"/>
        </w:pBdr>
        <w:spacing w:before="0" w:after="140"/>
        <w:rPr/>
      </w:pPr>
      <w:r>
        <w:rPr>
          <w:rFonts w:eastAsia="Arial" w:cs="Arial" w:ascii="Arial" w:hAnsi="Arial"/>
          <w:b/>
          <w:bCs/>
          <w:color w:val="1F4E79"/>
          <w:sz w:val="30"/>
          <w:szCs w:val="30"/>
        </w:rPr>
        <w:t>1. Contexte du Stage</w:t>
      </w:r>
    </w:p>
    <w:p>
      <w:pPr>
        <w:pStyle w:val="Normal"/>
        <w:spacing w:before="80" w:after="100"/>
        <w:jc w:val="both"/>
        <w:rPr/>
      </w:pPr>
      <w:r>
        <w:rPr>
          <w:rFonts w:eastAsia="Arial" w:cs="Arial"/>
          <w:b w:val="false"/>
          <w:bCs w:val="false"/>
          <w:i w:val="false"/>
          <w:iCs w:val="false"/>
          <w:color w:val="000000"/>
          <w:sz w:val="22"/>
          <w:szCs w:val="22"/>
        </w:rPr>
        <w:t>Ce stage de fin d'études se déroule au sein de CID (Conseil Ingénierie et Développement), une entreprise marocaine spécialisée dans l'ingénierie des infrastructures civiles, notamment l'inspection et la surveillance des ouvrages d'art (ponts, viaducs, tunnels).</w:t>
      </w:r>
    </w:p>
    <w:p>
      <w:pPr>
        <w:pStyle w:val="Normal"/>
        <w:spacing w:before="0" w:after="80"/>
        <w:rPr/>
      </w:pPr>
      <w:r>
        <w:rPr/>
      </w:r>
    </w:p>
    <w:p>
      <w:pPr>
        <w:pStyle w:val="Normal"/>
        <w:spacing w:before="80" w:after="100"/>
        <w:jc w:val="both"/>
        <w:rPr/>
      </w:pPr>
      <w:r>
        <w:rPr>
          <w:rFonts w:eastAsia="Arial" w:cs="Arial"/>
          <w:b w:val="false"/>
          <w:bCs w:val="false"/>
          <w:i w:val="false"/>
          <w:iCs w:val="false"/>
          <w:color w:val="000000"/>
          <w:sz w:val="22"/>
          <w:szCs w:val="22"/>
        </w:rPr>
        <w:t>Dans le cadre de ses missions, CID réalise des inspections d'ouvrages selon le référentiel ITSEOA (Inspection Technique des Structures et des Équipements des Ouvrages d'Art). Ces inspections produisent des commentaires techniques structurés, rédigés manuellement par des ingénieurs qualifiés, décrivant :</w:t>
      </w:r>
    </w:p>
    <w:p>
      <w:pPr>
        <w:pStyle w:val="ListParagraph"/>
        <w:numPr>
          <w:ilvl w:val="0"/>
          <w:numId w:val="3"/>
        </w:numPr>
        <w:spacing w:before="50" w:after="50"/>
        <w:rPr/>
      </w:pPr>
      <w:r>
        <w:rPr>
          <w:rFonts w:eastAsia="Arial" w:cs="Arial"/>
          <w:b w:val="false"/>
          <w:bCs w:val="false"/>
          <w:color w:val="000000"/>
          <w:sz w:val="22"/>
          <w:szCs w:val="22"/>
        </w:rPr>
        <w:t>Les causes probables d'un désordre observé sur l'ouvrage</w:t>
      </w:r>
    </w:p>
    <w:p>
      <w:pPr>
        <w:pStyle w:val="ListParagraph"/>
        <w:numPr>
          <w:ilvl w:val="0"/>
          <w:numId w:val="1"/>
        </w:numPr>
        <w:spacing w:before="50" w:after="50"/>
        <w:rPr/>
      </w:pPr>
      <w:r>
        <w:rPr>
          <w:rFonts w:eastAsia="Arial" w:cs="Arial"/>
          <w:b w:val="false"/>
          <w:bCs w:val="false"/>
          <w:color w:val="000000"/>
          <w:sz w:val="22"/>
          <w:szCs w:val="22"/>
        </w:rPr>
        <w:t>La gravité du désordre (de léger à critique)</w:t>
      </w:r>
    </w:p>
    <w:p>
      <w:pPr>
        <w:pStyle w:val="ListParagraph"/>
        <w:numPr>
          <w:ilvl w:val="0"/>
          <w:numId w:val="1"/>
        </w:numPr>
        <w:spacing w:before="50" w:after="50"/>
        <w:rPr/>
      </w:pPr>
      <w:r>
        <w:rPr>
          <w:rFonts w:eastAsia="Arial" w:cs="Arial"/>
          <w:b w:val="false"/>
          <w:bCs w:val="false"/>
          <w:color w:val="000000"/>
          <w:sz w:val="22"/>
          <w:szCs w:val="22"/>
        </w:rPr>
        <w:t>Les suites à donner : intervention, surveillance, ou réparation</w:t>
      </w:r>
    </w:p>
    <w:p>
      <w:pPr>
        <w:pStyle w:val="Normal"/>
        <w:spacing w:before="0" w:after="80"/>
        <w:rPr/>
      </w:pPr>
      <w:r>
        <w:rPr/>
      </w:r>
    </w:p>
    <w:p>
      <w:pPr>
        <w:pStyle w:val="Normal"/>
        <w:spacing w:before="80" w:after="100"/>
        <w:jc w:val="both"/>
        <w:rPr/>
      </w:pPr>
      <w:r>
        <w:rPr>
          <w:rFonts w:eastAsia="Arial" w:cs="Arial"/>
          <w:b w:val="false"/>
          <w:bCs w:val="false"/>
          <w:i w:val="false"/>
          <w:iCs w:val="false"/>
          <w:color w:val="000000"/>
          <w:sz w:val="22"/>
          <w:szCs w:val="22"/>
        </w:rPr>
        <w:t>La rédaction manuelle de ces commentaires est longue et requiert une expertise spécialisée. L'objectif de ce projet de fin d'études est de développer un système d'intelligence artificielle capable de générer automatiquement ces commentaires à partir d'une simple photographie de l'ouvrage inspecté.</w:t>
      </w:r>
    </w:p>
    <w:p>
      <w:pPr>
        <w:pStyle w:val="Normal"/>
        <w:spacing w:before="0" w:after="140"/>
        <w:rPr/>
      </w:pPr>
      <w:r>
        <w:rPr/>
      </w:r>
    </w:p>
    <w:p>
      <w:pPr>
        <w:pStyle w:val="Heading2"/>
        <w:spacing w:before="200" w:after="100"/>
        <w:rPr/>
      </w:pPr>
      <w:r>
        <w:rPr>
          <w:rFonts w:eastAsia="Arial" w:cs="Arial" w:ascii="Arial" w:hAnsi="Arial"/>
          <w:b/>
          <w:bCs/>
          <w:color w:val="2E75B6"/>
          <w:sz w:val="24"/>
          <w:szCs w:val="24"/>
        </w:rPr>
        <w:t>1.1 Technologie utilisée : les modèles de vision-langage (VLM)</w:t>
      </w:r>
    </w:p>
    <w:p>
      <w:pPr>
        <w:pStyle w:val="Normal"/>
        <w:spacing w:before="80" w:after="100"/>
        <w:jc w:val="both"/>
        <w:rPr/>
      </w:pPr>
      <w:r>
        <w:rPr>
          <w:rFonts w:eastAsia="Arial" w:cs="Arial"/>
          <w:b w:val="false"/>
          <w:bCs w:val="false"/>
          <w:i w:val="false"/>
          <w:iCs w:val="false"/>
          <w:color w:val="000000"/>
          <w:sz w:val="22"/>
          <w:szCs w:val="22"/>
        </w:rPr>
        <w:t>Pour résoudre ce problème, j'utilise des modèles de vision-langage (VLM — Vision Language Models). Il s'agit de modèles d'intelligence artificielle capables d'analyser simultanément une image et du texte pour produire une réponse en langage naturel.</w:t>
      </w:r>
    </w:p>
    <w:p>
      <w:pPr>
        <w:pStyle w:val="Normal"/>
        <w:spacing w:before="0" w:after="80"/>
        <w:rPr/>
      </w:pPr>
      <w:r>
        <w:rPr/>
      </w:r>
    </w:p>
    <w:tbl>
      <w:tblPr>
        <w:tblW w:w="9360" w:type="dxa"/>
        <w:jc w:val="start"/>
        <w:tblInd w:w="0" w:type="dxa"/>
        <w:tblLayout w:type="fixed"/>
        <w:tblCellMar>
          <w:top w:w="120" w:type="dxa"/>
          <w:start w:w="240" w:type="dxa"/>
          <w:bottom w:w="120" w:type="dxa"/>
          <w:end w:w="240" w:type="dxa"/>
        </w:tblCellMar>
      </w:tblPr>
      <w:tblGrid>
        <w:gridCol w:w="9360"/>
      </w:tblGrid>
      <w:tr>
        <w:trPr/>
        <w:tc>
          <w:tcPr>
            <w:tcW w:w="9360" w:type="dxa"/>
            <w:tcBorders>
              <w:top w:val="single" w:sz="4" w:space="0" w:color="2E75B6"/>
              <w:start w:val="single" w:sz="12" w:space="0" w:color="2E75B6"/>
              <w:bottom w:val="single" w:sz="4" w:space="0" w:color="2E75B6"/>
              <w:end w:val="single" w:sz="4" w:space="0" w:color="2E75B6"/>
            </w:tcBorders>
            <w:shd w:fill="D6E4F0" w:val="clear"/>
          </w:tcPr>
          <w:p>
            <w:pPr>
              <w:pStyle w:val="Normal"/>
              <w:spacing w:before="40" w:after="40"/>
              <w:rPr/>
            </w:pPr>
            <w:r>
              <w:rPr>
                <w:rFonts w:eastAsia="Arial" w:cs="Arial"/>
                <w:color w:val="1A1A1A"/>
                <w:sz w:val="21"/>
                <w:szCs w:val="21"/>
              </w:rPr>
              <w:t>Exemple simplifié de ce que fait un VLM dans notre projet :</w:t>
            </w:r>
          </w:p>
          <w:p>
            <w:pPr>
              <w:pStyle w:val="Normal"/>
              <w:spacing w:before="40" w:after="40"/>
              <w:rPr/>
            </w:pPr>
            <w:r>
              <w:rPr/>
            </w:r>
          </w:p>
          <w:p>
            <w:pPr>
              <w:pStyle w:val="Normal"/>
              <w:spacing w:before="40" w:after="40"/>
              <w:rPr/>
            </w:pPr>
            <w:r>
              <w:rPr>
                <w:rFonts w:eastAsia="Arial" w:cs="Arial"/>
                <w:color w:val="1A1A1A"/>
                <w:sz w:val="21"/>
                <w:szCs w:val="21"/>
              </w:rPr>
              <w:t xml:space="preserve">  </w:t>
            </w:r>
            <w:r>
              <w:rPr>
                <w:rFonts w:eastAsia="Arial" w:cs="Arial"/>
                <w:color w:val="1A1A1A"/>
                <w:sz w:val="21"/>
                <w:szCs w:val="21"/>
              </w:rPr>
              <w:t>Entrée :  [Photo d'un pont fissuré] + « Décris le désordre observé »</w:t>
            </w:r>
          </w:p>
          <w:p>
            <w:pPr>
              <w:pStyle w:val="Normal"/>
              <w:spacing w:before="40" w:after="40"/>
              <w:rPr/>
            </w:pPr>
            <w:r>
              <w:rPr>
                <w:rFonts w:eastAsia="Arial" w:cs="Arial"/>
                <w:color w:val="1A1A1A"/>
                <w:sz w:val="21"/>
                <w:szCs w:val="21"/>
              </w:rPr>
              <w:t xml:space="preserve">  </w:t>
            </w:r>
            <w:r>
              <w:rPr>
                <w:rFonts w:eastAsia="Arial" w:cs="Arial"/>
                <w:color w:val="1A1A1A"/>
                <w:sz w:val="21"/>
                <w:szCs w:val="21"/>
              </w:rPr>
              <w:t>Sortie :  « Des fissures de flexion sont visibles sur la poutre principale.</w:t>
            </w:r>
          </w:p>
          <w:p>
            <w:pPr>
              <w:pStyle w:val="Normal"/>
              <w:spacing w:before="40" w:after="40"/>
              <w:rPr/>
            </w:pPr>
            <w:r>
              <w:rPr>
                <w:rFonts w:eastAsia="Arial" w:cs="Arial"/>
                <w:color w:val="1A1A1A"/>
                <w:sz w:val="21"/>
                <w:szCs w:val="21"/>
              </w:rPr>
              <w:t xml:space="preserve">             </w:t>
            </w:r>
            <w:r>
              <w:rPr>
                <w:rFonts w:eastAsia="Arial" w:cs="Arial"/>
                <w:color w:val="1A1A1A"/>
                <w:sz w:val="21"/>
                <w:szCs w:val="21"/>
              </w:rPr>
              <w:t>Causes probables : surcharge ou tassement différentiel.</w:t>
            </w:r>
          </w:p>
          <w:p>
            <w:pPr>
              <w:pStyle w:val="Normal"/>
              <w:spacing w:before="40" w:after="40"/>
              <w:rPr/>
            </w:pPr>
            <w:r>
              <w:rPr>
                <w:rFonts w:eastAsia="Arial" w:cs="Arial"/>
                <w:color w:val="1A1A1A"/>
                <w:sz w:val="21"/>
                <w:szCs w:val="21"/>
              </w:rPr>
              <w:t xml:space="preserve">             </w:t>
            </w:r>
            <w:r>
              <w:rPr>
                <w:rFonts w:eastAsia="Arial" w:cs="Arial"/>
                <w:color w:val="1A1A1A"/>
                <w:sz w:val="21"/>
                <w:szCs w:val="21"/>
              </w:rPr>
              <w:t>Gravité : modérée. Suites : surveillance rapprochée recommandée. »</w:t>
            </w:r>
          </w:p>
        </w:tc>
      </w:tr>
    </w:tbl>
    <w:p>
      <w:pPr>
        <w:pStyle w:val="Normal"/>
        <w:spacing w:before="0" w:after="80"/>
        <w:rPr/>
      </w:pPr>
      <w:r>
        <w:rPr/>
      </w:r>
    </w:p>
    <w:p>
      <w:pPr>
        <w:pStyle w:val="Normal"/>
        <w:spacing w:before="80" w:after="100"/>
        <w:jc w:val="both"/>
        <w:rPr/>
      </w:pPr>
      <w:r>
        <w:rPr>
          <w:rFonts w:eastAsia="Arial" w:cs="Arial"/>
          <w:b w:val="false"/>
          <w:bCs w:val="false"/>
          <w:i w:val="false"/>
          <w:iCs w:val="false"/>
          <w:color w:val="000000"/>
          <w:sz w:val="22"/>
          <w:szCs w:val="22"/>
        </w:rPr>
        <w:t>Le défi principal est que les VLMs disponibles sont entraînés sur des données généralistes et ne connaissent pas le format ITSEOA spécifique à CID. Il est donc nécessaire de les adapter (fine-tuner) sur le corpus de données d'inspection de CID.</w:t>
      </w:r>
    </w:p>
    <w:p>
      <w:pPr>
        <w:pStyle w:val="Normal"/>
        <w:spacing w:before="0" w:after="140"/>
        <w:rPr/>
      </w:pPr>
      <w:r>
        <w:rPr/>
      </w:r>
    </w:p>
    <w:p>
      <w:pPr>
        <w:pStyle w:val="Heading2"/>
        <w:spacing w:before="200" w:after="100"/>
        <w:rPr/>
      </w:pPr>
      <w:r>
        <w:rPr>
          <w:rFonts w:eastAsia="Arial" w:cs="Arial" w:ascii="Arial" w:hAnsi="Arial"/>
          <w:b/>
          <w:bCs/>
          <w:color w:val="2E75B6"/>
          <w:sz w:val="24"/>
          <w:szCs w:val="24"/>
        </w:rPr>
        <w:t>1.2 Structure du projet</w:t>
      </w:r>
    </w:p>
    <w:p>
      <w:pPr>
        <w:pStyle w:val="Normal"/>
        <w:spacing w:before="80" w:after="100"/>
        <w:jc w:val="start"/>
        <w:rPr/>
      </w:pPr>
      <w:r>
        <w:rPr>
          <w:rFonts w:eastAsia="Arial" w:cs="Arial"/>
          <w:b w:val="false"/>
          <w:bCs w:val="false"/>
          <w:i w:val="false"/>
          <w:iCs w:val="false"/>
          <w:color w:val="000000"/>
          <w:sz w:val="22"/>
          <w:szCs w:val="22"/>
        </w:rPr>
        <w:t>Le projet est organisé en trois phases successives :</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400"/>
        <w:gridCol w:w="2600"/>
        <w:gridCol w:w="3199"/>
        <w:gridCol w:w="2161"/>
      </w:tblGrid>
      <w:tr>
        <w:trPr/>
        <w:tc>
          <w:tcPr>
            <w:tcW w:w="140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Phase</w:t>
            </w:r>
          </w:p>
        </w:tc>
        <w:tc>
          <w:tcPr>
            <w:tcW w:w="260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Intitulé</w:t>
            </w:r>
          </w:p>
        </w:tc>
        <w:tc>
          <w:tcPr>
            <w:tcW w:w="3199"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Objectif</w:t>
            </w:r>
          </w:p>
        </w:tc>
        <w:tc>
          <w:tcPr>
            <w:tcW w:w="2161"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Statut</w:t>
            </w:r>
          </w:p>
        </w:tc>
      </w:tr>
      <w:tr>
        <w:trPr/>
        <w:tc>
          <w:tcPr>
            <w:tcW w:w="1400"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bCs/>
                <w:i w:val="false"/>
                <w:iCs w:val="false"/>
                <w:color w:val="000000"/>
                <w:sz w:val="20"/>
                <w:szCs w:val="20"/>
              </w:rPr>
              <w:t>Phase 0</w:t>
            </w:r>
          </w:p>
        </w:tc>
        <w:tc>
          <w:tcPr>
            <w:tcW w:w="26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Sélection du modèle</w:t>
            </w:r>
          </w:p>
        </w:tc>
        <w:tc>
          <w:tcPr>
            <w:tcW w:w="3199"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Choisir le meilleur VLM parmi les candidats disponibles</w:t>
            </w:r>
          </w:p>
        </w:tc>
        <w:tc>
          <w:tcPr>
            <w:tcW w:w="2161"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bCs/>
                <w:i w:val="false"/>
                <w:iCs w:val="false"/>
                <w:color w:val="2E7D32"/>
                <w:sz w:val="20"/>
                <w:szCs w:val="20"/>
              </w:rPr>
              <w:t xml:space="preserve">✓ </w:t>
            </w:r>
            <w:r>
              <w:rPr>
                <w:rFonts w:eastAsia="Arial" w:cs="Arial"/>
                <w:b/>
                <w:bCs/>
                <w:i w:val="false"/>
                <w:iCs w:val="false"/>
                <w:color w:val="2E7D32"/>
                <w:sz w:val="20"/>
                <w:szCs w:val="20"/>
              </w:rPr>
              <w:t>Terminée</w:t>
            </w:r>
          </w:p>
        </w:tc>
      </w:tr>
      <w:tr>
        <w:trPr/>
        <w:tc>
          <w:tcPr>
            <w:tcW w:w="14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bCs/>
                <w:i w:val="false"/>
                <w:iCs w:val="false"/>
                <w:color w:val="000000"/>
                <w:sz w:val="20"/>
                <w:szCs w:val="20"/>
              </w:rPr>
              <w:t>Phase 1</w:t>
            </w:r>
          </w:p>
        </w:tc>
        <w:tc>
          <w:tcPr>
            <w:tcW w:w="260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Fine-tuning du modèle</w:t>
            </w:r>
          </w:p>
        </w:tc>
        <w:tc>
          <w:tcPr>
            <w:tcW w:w="3199"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Adapter le modèle au format ITSEOA par apprentissage</w:t>
            </w:r>
          </w:p>
        </w:tc>
        <w:tc>
          <w:tcPr>
            <w:tcW w:w="2161"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color w:val="2A6099"/>
              </w:rPr>
            </w:pPr>
            <w:r>
              <w:rPr>
                <w:rFonts w:eastAsia="Arial" w:cs="Arial"/>
                <w:b/>
                <w:bCs/>
                <w:i w:val="false"/>
                <w:iCs w:val="false"/>
                <w:color w:val="2A6099"/>
                <w:sz w:val="20"/>
                <w:szCs w:val="20"/>
              </w:rPr>
              <w:t>E</w:t>
            </w:r>
            <w:r>
              <w:rPr>
                <w:rFonts w:eastAsia="Arial" w:cs="Arial"/>
                <w:b/>
                <w:bCs/>
                <w:i w:val="false"/>
                <w:iCs w:val="false"/>
                <w:color w:val="2A6099"/>
                <w:sz w:val="20"/>
                <w:szCs w:val="20"/>
              </w:rPr>
              <w:t xml:space="preserve">n </w:t>
            </w:r>
            <w:r>
              <w:rPr>
                <w:rFonts w:eastAsia="Arial" w:cs="Arial"/>
                <w:b/>
                <w:bCs/>
                <w:i w:val="false"/>
                <w:iCs w:val="false"/>
                <w:color w:val="2A6099"/>
                <w:sz w:val="20"/>
                <w:szCs w:val="20"/>
              </w:rPr>
              <w:t>c</w:t>
            </w:r>
            <w:r>
              <w:rPr>
                <w:rFonts w:eastAsia="Arial" w:cs="Arial"/>
                <w:b/>
                <w:bCs/>
                <w:i w:val="false"/>
                <w:iCs w:val="false"/>
                <w:color w:val="2A6099"/>
                <w:sz w:val="20"/>
                <w:szCs w:val="20"/>
              </w:rPr>
              <w:t>o</w:t>
            </w:r>
            <w:r>
              <w:rPr>
                <w:rFonts w:eastAsia="Arial" w:cs="Arial"/>
                <w:b/>
                <w:bCs/>
                <w:i w:val="false"/>
                <w:iCs w:val="false"/>
                <w:color w:val="2A6099"/>
                <w:sz w:val="20"/>
                <w:szCs w:val="20"/>
              </w:rPr>
              <w:t>u</w:t>
            </w:r>
            <w:r>
              <w:rPr>
                <w:rFonts w:eastAsia="Arial" w:cs="Arial"/>
                <w:b/>
                <w:bCs/>
                <w:i w:val="false"/>
                <w:iCs w:val="false"/>
                <w:color w:val="2A6099"/>
                <w:sz w:val="20"/>
                <w:szCs w:val="20"/>
              </w:rPr>
              <w:t>r</w:t>
            </w:r>
            <w:r>
              <w:rPr>
                <w:rFonts w:eastAsia="Arial" w:cs="Arial"/>
                <w:b/>
                <w:bCs/>
                <w:i w:val="false"/>
                <w:iCs w:val="false"/>
                <w:color w:val="2A6099"/>
                <w:sz w:val="20"/>
                <w:szCs w:val="20"/>
              </w:rPr>
              <w:t>s</w:t>
            </w:r>
          </w:p>
        </w:tc>
      </w:tr>
      <w:tr>
        <w:trPr/>
        <w:tc>
          <w:tcPr>
            <w:tcW w:w="1400"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bCs/>
                <w:i w:val="false"/>
                <w:iCs w:val="false"/>
                <w:color w:val="000000"/>
                <w:sz w:val="20"/>
                <w:szCs w:val="20"/>
              </w:rPr>
              <w:t>Phase 2</w:t>
            </w:r>
          </w:p>
        </w:tc>
        <w:tc>
          <w:tcPr>
            <w:tcW w:w="26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Agent conversationnel</w:t>
            </w:r>
          </w:p>
        </w:tc>
        <w:tc>
          <w:tcPr>
            <w:tcW w:w="3199"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Développer un agent IA orchestrant le pipeline complet</w:t>
            </w:r>
          </w:p>
        </w:tc>
        <w:tc>
          <w:tcPr>
            <w:tcW w:w="2161"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E65100"/>
                <w:sz w:val="20"/>
                <w:szCs w:val="20"/>
              </w:rPr>
              <w:t>À venir</w:t>
            </w:r>
          </w:p>
        </w:tc>
      </w:tr>
    </w:tbl>
    <w:p>
      <w:pPr>
        <w:pStyle w:val="Normal"/>
        <w:spacing w:before="0" w:after="80"/>
        <w:rPr/>
      </w:pPr>
      <w:r>
        <w:rPr/>
      </w:r>
    </w:p>
    <w:p>
      <w:pPr>
        <w:pStyle w:val="Normal"/>
        <w:spacing w:before="80" w:after="100"/>
        <w:jc w:val="start"/>
        <w:rPr/>
      </w:pPr>
      <w:r>
        <w:rPr>
          <w:rFonts w:eastAsia="Arial" w:cs="Arial"/>
          <w:b w:val="false"/>
          <w:bCs w:val="false"/>
          <w:i/>
          <w:iCs/>
          <w:color w:val="000000"/>
          <w:sz w:val="22"/>
          <w:szCs w:val="22"/>
        </w:rPr>
        <w:t>Une tâche secondaire parallèle a également été réalisée : la migration des données du système SGOAM (Système de Gestion des Ouvrages d'Art au Maroc).</w:t>
      </w:r>
    </w:p>
    <w:p>
      <w:pPr>
        <w:pStyle w:val="Normal"/>
        <w:spacing w:before="0" w:after="140"/>
        <w:rPr/>
      </w:pPr>
      <w:r>
        <w:rPr/>
      </w:r>
    </w:p>
    <w:p>
      <w:pPr>
        <w:pStyle w:val="Heading1"/>
        <w:pBdr>
          <w:bottom w:val="single" w:sz="6" w:space="1" w:color="2E75B6"/>
        </w:pBdr>
        <w:spacing w:before="280" w:after="140"/>
        <w:rPr/>
      </w:pPr>
      <w:r>
        <w:rPr>
          <w:rFonts w:eastAsia="Arial" w:cs="Arial" w:ascii="Arial" w:hAnsi="Arial"/>
          <w:b/>
          <w:bCs/>
          <w:color w:val="1F4E79"/>
          <w:sz w:val="30"/>
          <w:szCs w:val="30"/>
        </w:rPr>
        <w:t>2. Tâche Secondaire — Migration SGOAM</w:t>
      </w:r>
    </w:p>
    <w:p>
      <w:pPr>
        <w:pStyle w:val="Normal"/>
        <w:pBdr>
          <w:top w:val="single" w:sz="6" w:space="4" w:color="2E7D32"/>
          <w:left w:val="single" w:sz="6" w:space="4" w:color="2E7D32"/>
          <w:bottom w:val="single" w:sz="6" w:space="4" w:color="2E7D32"/>
          <w:right w:val="single" w:sz="6" w:space="4" w:color="2E7D32"/>
        </w:pBdr>
        <w:shd w:val="clear" w:fill="E8F5E9"/>
        <w:spacing w:before="80" w:after="80"/>
        <w:ind w:start="240" w:end="240"/>
        <w:rPr/>
      </w:pPr>
      <w:r>
        <w:rPr>
          <w:rFonts w:eastAsia="Arial" w:cs="Arial"/>
          <w:b/>
          <w:bCs/>
          <w:color w:val="2E7D32"/>
          <w:sz w:val="22"/>
          <w:szCs w:val="22"/>
        </w:rPr>
        <w:t xml:space="preserve">✓  </w:t>
      </w:r>
      <w:r>
        <w:rPr>
          <w:rFonts w:eastAsia="Arial" w:cs="Arial"/>
          <w:b/>
          <w:bCs/>
          <w:color w:val="2E7D32"/>
          <w:sz w:val="22"/>
          <w:szCs w:val="22"/>
        </w:rPr>
        <w:t>Tâche complétée</w:t>
      </w:r>
    </w:p>
    <w:p>
      <w:pPr>
        <w:pStyle w:val="Normal"/>
        <w:spacing w:before="0" w:after="80"/>
        <w:rPr/>
      </w:pPr>
      <w:r>
        <w:rPr/>
      </w:r>
    </w:p>
    <w:p>
      <w:pPr>
        <w:pStyle w:val="Heading2"/>
        <w:spacing w:before="200" w:after="100"/>
        <w:rPr/>
      </w:pPr>
      <w:r>
        <w:rPr>
          <w:rFonts w:eastAsia="Arial" w:cs="Arial" w:ascii="Arial" w:hAnsi="Arial"/>
          <w:b/>
          <w:bCs/>
          <w:color w:val="2E75B6"/>
          <w:sz w:val="24"/>
          <w:szCs w:val="24"/>
        </w:rPr>
        <w:t>2.1 Contexte</w:t>
      </w:r>
    </w:p>
    <w:p>
      <w:pPr>
        <w:pStyle w:val="Normal"/>
        <w:spacing w:before="80" w:after="100"/>
        <w:jc w:val="both"/>
        <w:rPr/>
      </w:pPr>
      <w:r>
        <w:rPr>
          <w:rFonts w:eastAsia="Arial" w:cs="Arial"/>
          <w:b w:val="false"/>
          <w:bCs w:val="false"/>
          <w:i w:val="false"/>
          <w:iCs w:val="false"/>
          <w:color w:val="000000"/>
          <w:sz w:val="22"/>
          <w:szCs w:val="22"/>
        </w:rPr>
        <w:t>En parallèle du projet principal, j'ai réalisé une tâche de migration de données pour le système SGOAM (Système de Gestion des Ouvrages d'Art au Maroc). Ce système est utilisé par CID pour gérer l'ensemble des données techniques relatives aux ouvrages d'art marocains.</w:t>
      </w:r>
    </w:p>
    <w:p>
      <w:pPr>
        <w:pStyle w:val="Normal"/>
        <w:spacing w:before="0" w:after="80"/>
        <w:rPr/>
      </w:pPr>
      <w:r>
        <w:rPr/>
      </w:r>
    </w:p>
    <w:p>
      <w:pPr>
        <w:pStyle w:val="Normal"/>
        <w:spacing w:before="80" w:after="100"/>
        <w:jc w:val="both"/>
        <w:rPr/>
      </w:pPr>
      <w:r>
        <w:rPr>
          <w:rFonts w:eastAsia="Arial" w:cs="Arial"/>
          <w:b w:val="false"/>
          <w:bCs w:val="false"/>
          <w:i w:val="false"/>
          <w:iCs w:val="false"/>
          <w:color w:val="000000"/>
          <w:sz w:val="22"/>
          <w:szCs w:val="22"/>
        </w:rPr>
        <w:t>L'objectif était de mapper (faire correspondre) les champs affichés dans les tableaux de bord de l'interface SGOAM avec les colonnes correspondantes dans la base de données Oracle sous-jacente (schéma SGOAM2), afin de préparer une future migration vers une nouvelle version du système.</w:t>
      </w:r>
    </w:p>
    <w:p>
      <w:pPr>
        <w:pStyle w:val="Normal"/>
        <w:spacing w:before="0" w:after="140"/>
        <w:rPr/>
      </w:pPr>
      <w:r>
        <w:rPr/>
      </w:r>
    </w:p>
    <w:p>
      <w:pPr>
        <w:pStyle w:val="Heading2"/>
        <w:spacing w:before="200" w:after="100"/>
        <w:rPr/>
      </w:pPr>
      <w:r>
        <w:rPr>
          <w:rFonts w:eastAsia="Arial" w:cs="Arial" w:ascii="Arial" w:hAnsi="Arial"/>
          <w:b/>
          <w:bCs/>
          <w:color w:val="2E75B6"/>
          <w:sz w:val="24"/>
          <w:szCs w:val="24"/>
        </w:rPr>
        <w:t>2.2 Ce qui a été fait</w:t>
      </w:r>
    </w:p>
    <w:p>
      <w:pPr>
        <w:pStyle w:val="ListParagraph"/>
        <w:numPr>
          <w:ilvl w:val="0"/>
          <w:numId w:val="1"/>
        </w:numPr>
        <w:spacing w:before="50" w:after="50"/>
        <w:rPr/>
      </w:pPr>
      <w:r>
        <w:rPr>
          <w:rFonts w:eastAsia="Arial" w:cs="Arial"/>
          <w:b w:val="false"/>
          <w:bCs w:val="false"/>
          <w:color w:val="000000"/>
          <w:sz w:val="22"/>
          <w:szCs w:val="22"/>
        </w:rPr>
        <w:t>Analyse de 3 écrans du tableau de bord SGOAM : Franchissement, Détails Ouvrage, Visite</w:t>
      </w:r>
    </w:p>
    <w:p>
      <w:pPr>
        <w:pStyle w:val="ListParagraph"/>
        <w:numPr>
          <w:ilvl w:val="0"/>
          <w:numId w:val="1"/>
        </w:numPr>
        <w:spacing w:before="50" w:after="50"/>
        <w:rPr/>
      </w:pPr>
      <w:r>
        <w:rPr>
          <w:rFonts w:eastAsia="Arial" w:cs="Arial"/>
          <w:b w:val="false"/>
          <w:bCs w:val="false"/>
          <w:color w:val="000000"/>
          <w:sz w:val="22"/>
          <w:szCs w:val="22"/>
        </w:rPr>
        <w:t>Mapping de 137 champs d'interface vers leurs colonnes dans la base Oracle (223 tables, 155 clés étrangères déclarées)</w:t>
      </w:r>
    </w:p>
    <w:p>
      <w:pPr>
        <w:pStyle w:val="ListParagraph"/>
        <w:numPr>
          <w:ilvl w:val="0"/>
          <w:numId w:val="1"/>
        </w:numPr>
        <w:spacing w:before="50" w:after="50"/>
        <w:rPr/>
      </w:pPr>
      <w:r>
        <w:rPr>
          <w:rFonts w:eastAsia="Arial" w:cs="Arial"/>
          <w:b w:val="false"/>
          <w:bCs w:val="false"/>
          <w:color w:val="000000"/>
          <w:sz w:val="22"/>
          <w:szCs w:val="22"/>
        </w:rPr>
        <w:t>Développement d'un outil interactif HTML (mapper5.html) pour visualiser et exporter les mappings</w:t>
      </w:r>
    </w:p>
    <w:p>
      <w:pPr>
        <w:pStyle w:val="ListParagraph"/>
        <w:numPr>
          <w:ilvl w:val="0"/>
          <w:numId w:val="1"/>
        </w:numPr>
        <w:spacing w:before="50" w:after="50"/>
        <w:rPr/>
      </w:pPr>
      <w:r>
        <w:rPr>
          <w:rFonts w:eastAsia="Arial" w:cs="Arial"/>
          <w:b w:val="false"/>
          <w:bCs w:val="false"/>
          <w:color w:val="000000"/>
          <w:sz w:val="22"/>
          <w:szCs w:val="22"/>
        </w:rPr>
        <w:t>Identification de 4 anomalies dans le schéma de base de données</w:t>
      </w:r>
    </w:p>
    <w:p>
      <w:pPr>
        <w:pStyle w:val="ListParagraph"/>
        <w:numPr>
          <w:ilvl w:val="0"/>
          <w:numId w:val="1"/>
        </w:numPr>
        <w:spacing w:before="50" w:after="50"/>
        <w:rPr/>
      </w:pPr>
      <w:r>
        <w:rPr>
          <w:rFonts w:eastAsia="Arial" w:cs="Arial"/>
          <w:b w:val="false"/>
          <w:bCs w:val="false"/>
          <w:color w:val="000000"/>
          <w:sz w:val="22"/>
          <w:szCs w:val="22"/>
        </w:rPr>
        <w:t>Génération de rapports bilingues (français et anglais) documentant l'ensemble des mappings</w:t>
      </w:r>
    </w:p>
    <w:p>
      <w:pPr>
        <w:pStyle w:val="Normal"/>
        <w:spacing w:before="0" w:after="140"/>
        <w:rPr/>
      </w:pPr>
      <w:r>
        <w:rPr/>
      </w:r>
    </w:p>
    <w:p>
      <w:pPr>
        <w:pStyle w:val="Heading2"/>
        <w:spacing w:before="200" w:after="100"/>
        <w:rPr/>
      </w:pPr>
      <w:r>
        <w:rPr>
          <w:rFonts w:eastAsia="Arial" w:cs="Arial" w:ascii="Arial" w:hAnsi="Arial"/>
          <w:b/>
          <w:bCs/>
          <w:color w:val="2E75B6"/>
          <w:sz w:val="24"/>
          <w:szCs w:val="24"/>
        </w:rPr>
        <w:t>2.3 Anomalies identifiées</w:t>
      </w:r>
    </w:p>
    <w:p>
      <w:pPr>
        <w:pStyle w:val="Normal"/>
        <w:spacing w:before="80" w:after="100"/>
        <w:jc w:val="start"/>
        <w:rPr/>
      </w:pPr>
      <w:r>
        <w:rPr>
          <w:rFonts w:eastAsia="Arial" w:cs="Arial"/>
          <w:b w:val="false"/>
          <w:bCs w:val="false"/>
          <w:i w:val="false"/>
          <w:iCs w:val="false"/>
          <w:color w:val="000000"/>
          <w:sz w:val="22"/>
          <w:szCs w:val="22"/>
        </w:rPr>
        <w:t>L'analyse du schéma a révélé 4 problèmes notables :</w:t>
      </w:r>
    </w:p>
    <w:p>
      <w:pPr>
        <w:pStyle w:val="Normal"/>
        <w:spacing w:before="0" w:after="60"/>
        <w:rPr/>
      </w:pPr>
      <w:r>
        <w:rPr/>
      </w:r>
    </w:p>
    <w:tbl>
      <w:tblPr>
        <w:tblW w:w="9360" w:type="dxa"/>
        <w:jc w:val="start"/>
        <w:tblInd w:w="0" w:type="dxa"/>
        <w:tblLayout w:type="fixed"/>
        <w:tblCellMar>
          <w:top w:w="80" w:type="dxa"/>
          <w:start w:w="120" w:type="dxa"/>
          <w:bottom w:w="80" w:type="dxa"/>
          <w:end w:w="120" w:type="dxa"/>
        </w:tblCellMar>
      </w:tblPr>
      <w:tblGrid>
        <w:gridCol w:w="4000"/>
        <w:gridCol w:w="5360"/>
      </w:tblGrid>
      <w:tr>
        <w:trPr/>
        <w:tc>
          <w:tcPr>
            <w:tcW w:w="400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Table / Champ</w:t>
            </w:r>
          </w:p>
        </w:tc>
        <w:tc>
          <w:tcPr>
            <w:tcW w:w="536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Anomalie</w:t>
            </w:r>
          </w:p>
        </w:tc>
      </w:tr>
      <w:tr>
        <w:trPr/>
        <w:tc>
          <w:tcPr>
            <w:tcW w:w="40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T_FRAN_VFT</w:t>
            </w:r>
          </w:p>
        </w:tc>
        <w:tc>
          <w:tcPr>
            <w:tcW w:w="536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Index unique manquant</w:t>
            </w:r>
          </w:p>
        </w:tc>
      </w:tr>
      <w:tr>
        <w:trPr/>
        <w:tc>
          <w:tcPr>
            <w:tcW w:w="400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HIST_OUV</w:t>
            </w:r>
          </w:p>
        </w:tc>
        <w:tc>
          <w:tcPr>
            <w:tcW w:w="536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Contraintes de clés étrangères manquantes</w:t>
            </w:r>
          </w:p>
        </w:tc>
      </w:tr>
      <w:tr>
        <w:trPr/>
        <w:tc>
          <w:tcPr>
            <w:tcW w:w="40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T_ACTIONS_PREVUES.EXECUTANT</w:t>
            </w:r>
          </w:p>
        </w:tc>
        <w:tc>
          <w:tcPr>
            <w:tcW w:w="536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Champ texte libre sans table de référence associée</w:t>
            </w:r>
          </w:p>
        </w:tc>
      </w:tr>
      <w:tr>
        <w:trPr/>
        <w:tc>
          <w:tcPr>
            <w:tcW w:w="400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T_SYNTHESE_OA.EVOLUTION_MANIFESTE</w:t>
            </w:r>
          </w:p>
        </w:tc>
        <w:tc>
          <w:tcPr>
            <w:tcW w:w="536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Champ texte libre sans table de référence associée</w:t>
            </w:r>
          </w:p>
        </w:tc>
      </w:tr>
    </w:tbl>
    <w:p>
      <w:pPr>
        <w:pStyle w:val="Normal"/>
        <w:spacing w:before="0" w:after="80"/>
        <w:rPr/>
      </w:pPr>
      <w:r>
        <w:rPr/>
      </w:r>
    </w:p>
    <w:p>
      <w:pPr>
        <w:pStyle w:val="Normal"/>
        <w:spacing w:before="80" w:after="100"/>
        <w:jc w:val="start"/>
        <w:rPr/>
      </w:pPr>
      <w:r>
        <w:rPr>
          <w:rFonts w:eastAsia="Arial" w:cs="Arial"/>
          <w:b w:val="false"/>
          <w:bCs w:val="false"/>
          <w:i/>
          <w:iCs/>
          <w:color w:val="000000"/>
          <w:sz w:val="22"/>
          <w:szCs w:val="22"/>
        </w:rPr>
        <w:t>Livrables produits : rapport_mapping_sgoam_FR.docx, rapport_mapping_sgoam_EN.docx, mapper5.html, sgoam_progress_v5_corrected.json.</w:t>
      </w:r>
    </w:p>
    <w:p>
      <w:pPr>
        <w:pStyle w:val="Normal"/>
        <w:spacing w:before="0" w:after="140"/>
        <w:rPr/>
      </w:pPr>
      <w:r>
        <w:rPr/>
      </w:r>
    </w:p>
    <w:p>
      <w:pPr>
        <w:pStyle w:val="Heading1"/>
        <w:pBdr>
          <w:bottom w:val="single" w:sz="6" w:space="1" w:color="2E75B6"/>
        </w:pBdr>
        <w:spacing w:before="280" w:after="140"/>
        <w:rPr/>
      </w:pPr>
      <w:r>
        <w:rPr>
          <w:rFonts w:eastAsia="Arial" w:cs="Arial" w:ascii="Arial" w:hAnsi="Arial"/>
          <w:b/>
          <w:bCs/>
          <w:color w:val="1F4E79"/>
          <w:sz w:val="30"/>
          <w:szCs w:val="30"/>
        </w:rPr>
        <w:t>3. Phase 0 — Sélection du Modèle VLM</w:t>
      </w:r>
    </w:p>
    <w:p>
      <w:pPr>
        <w:pStyle w:val="Normal"/>
        <w:pBdr>
          <w:top w:val="single" w:sz="6" w:space="4" w:color="2E7D32"/>
          <w:left w:val="single" w:sz="6" w:space="4" w:color="2E7D32"/>
          <w:bottom w:val="single" w:sz="6" w:space="4" w:color="2E7D32"/>
          <w:right w:val="single" w:sz="6" w:space="4" w:color="2E7D32"/>
        </w:pBdr>
        <w:shd w:val="clear" w:fill="E8F5E9"/>
        <w:spacing w:before="80" w:after="80"/>
        <w:ind w:start="240" w:end="240"/>
        <w:rPr/>
      </w:pPr>
      <w:r>
        <w:rPr>
          <w:rFonts w:eastAsia="Arial" w:cs="Arial"/>
          <w:b/>
          <w:bCs/>
          <w:color w:val="2E7D32"/>
          <w:sz w:val="22"/>
          <w:szCs w:val="22"/>
        </w:rPr>
        <w:t xml:space="preserve">✓  </w:t>
      </w:r>
      <w:r>
        <w:rPr>
          <w:rFonts w:eastAsia="Arial" w:cs="Arial"/>
          <w:b/>
          <w:bCs/>
          <w:color w:val="2E7D32"/>
          <w:sz w:val="22"/>
          <w:szCs w:val="22"/>
        </w:rPr>
        <w:t>Phase complétée — Modèle sélectionné : Qwen3-VL-2B-Instruct</w:t>
      </w:r>
    </w:p>
    <w:p>
      <w:pPr>
        <w:pStyle w:val="Normal"/>
        <w:spacing w:before="0" w:after="80"/>
        <w:rPr/>
      </w:pPr>
      <w:r>
        <w:rPr/>
      </w:r>
    </w:p>
    <w:p>
      <w:pPr>
        <w:pStyle w:val="Heading2"/>
        <w:spacing w:before="200" w:after="100"/>
        <w:rPr/>
      </w:pPr>
      <w:r>
        <w:rPr>
          <w:rFonts w:eastAsia="Arial" w:cs="Arial" w:ascii="Arial" w:hAnsi="Arial"/>
          <w:b/>
          <w:bCs/>
          <w:color w:val="2E75B6"/>
          <w:sz w:val="24"/>
          <w:szCs w:val="24"/>
        </w:rPr>
        <w:t>3.1 Objectif</w:t>
      </w:r>
    </w:p>
    <w:p>
      <w:pPr>
        <w:pStyle w:val="Normal"/>
        <w:spacing w:before="80" w:after="100"/>
        <w:jc w:val="both"/>
        <w:rPr/>
      </w:pPr>
      <w:r>
        <w:rPr>
          <w:rFonts w:eastAsia="Arial" w:cs="Arial"/>
          <w:b w:val="false"/>
          <w:bCs w:val="false"/>
          <w:i w:val="false"/>
          <w:iCs w:val="false"/>
          <w:color w:val="000000"/>
          <w:sz w:val="22"/>
          <w:szCs w:val="22"/>
        </w:rPr>
        <w:t>Avant d'entraîner un modèle d'IA, il faut choisir le bon modèle de départ. Il existe des dizaines de VLMs open-source disponibles en ligne. L'objectif de la Phase 0 était de les évaluer et de sélectionner celui qui convient le mieux au projet CID.</w:t>
      </w:r>
    </w:p>
    <w:p>
      <w:pPr>
        <w:pStyle w:val="Normal"/>
        <w:spacing w:before="0" w:after="140"/>
        <w:rPr/>
      </w:pPr>
      <w:r>
        <w:rPr/>
      </w:r>
    </w:p>
    <w:p>
      <w:pPr>
        <w:pStyle w:val="Heading2"/>
        <w:spacing w:before="200" w:after="100"/>
        <w:rPr/>
      </w:pPr>
      <w:r>
        <w:rPr>
          <w:rFonts w:eastAsia="Arial" w:cs="Arial" w:ascii="Arial" w:hAnsi="Arial"/>
          <w:b/>
          <w:bCs/>
          <w:color w:val="2E75B6"/>
          <w:sz w:val="24"/>
          <w:szCs w:val="24"/>
        </w:rPr>
        <w:t>3.2 Critères de sélection</w:t>
      </w:r>
    </w:p>
    <w:p>
      <w:pPr>
        <w:pStyle w:val="Normal"/>
        <w:spacing w:before="80" w:after="100"/>
        <w:jc w:val="start"/>
        <w:rPr/>
      </w:pPr>
      <w:r>
        <w:rPr>
          <w:rFonts w:eastAsia="Arial" w:cs="Arial"/>
          <w:b w:val="false"/>
          <w:bCs w:val="false"/>
          <w:i w:val="false"/>
          <w:iCs w:val="false"/>
          <w:color w:val="000000"/>
          <w:sz w:val="22"/>
          <w:szCs w:val="22"/>
        </w:rPr>
        <w:t>Cinq critères ont guidé la sélection :</w:t>
      </w:r>
    </w:p>
    <w:p>
      <w:pPr>
        <w:pStyle w:val="ListParagraph"/>
        <w:numPr>
          <w:ilvl w:val="0"/>
          <w:numId w:val="1"/>
        </w:numPr>
        <w:spacing w:before="50" w:after="50"/>
        <w:rPr/>
      </w:pPr>
      <w:r>
        <w:rPr>
          <w:rFonts w:eastAsia="Arial" w:cs="Arial"/>
          <w:b w:val="false"/>
          <w:bCs w:val="false"/>
          <w:color w:val="000000"/>
          <w:sz w:val="22"/>
          <w:szCs w:val="22"/>
        </w:rPr>
        <w:t>Taille ≤ 4 milliards de paramètres — pour tenir dans la mémoire GPU disponible</w:t>
      </w:r>
    </w:p>
    <w:p>
      <w:pPr>
        <w:pStyle w:val="ListParagraph"/>
        <w:numPr>
          <w:ilvl w:val="0"/>
          <w:numId w:val="1"/>
        </w:numPr>
        <w:spacing w:before="50" w:after="50"/>
        <w:rPr/>
      </w:pPr>
      <w:r>
        <w:rPr>
          <w:rFonts w:eastAsia="Arial" w:cs="Arial"/>
          <w:b w:val="false"/>
          <w:bCs w:val="false"/>
          <w:color w:val="000000"/>
          <w:sz w:val="22"/>
          <w:szCs w:val="22"/>
        </w:rPr>
        <w:t>Disponible gratuitement en ligne (HuggingFace Hub)</w:t>
      </w:r>
    </w:p>
    <w:p>
      <w:pPr>
        <w:pStyle w:val="ListParagraph"/>
        <w:numPr>
          <w:ilvl w:val="0"/>
          <w:numId w:val="1"/>
        </w:numPr>
        <w:spacing w:before="50" w:after="50"/>
        <w:rPr/>
      </w:pPr>
      <w:r>
        <w:rPr>
          <w:rFonts w:eastAsia="Arial" w:cs="Arial"/>
          <w:b w:val="false"/>
          <w:bCs w:val="false"/>
          <w:color w:val="000000"/>
          <w:sz w:val="22"/>
          <w:szCs w:val="22"/>
        </w:rPr>
        <w:t>Compatible avec LLaMA-Factory — le framework utilisé pour l'entraînement</w:t>
      </w:r>
    </w:p>
    <w:p>
      <w:pPr>
        <w:pStyle w:val="ListParagraph"/>
        <w:numPr>
          <w:ilvl w:val="0"/>
          <w:numId w:val="1"/>
        </w:numPr>
        <w:spacing w:before="50" w:after="50"/>
        <w:rPr/>
      </w:pPr>
      <w:r>
        <w:rPr>
          <w:rFonts w:eastAsia="Arial" w:cs="Arial"/>
          <w:b w:val="false"/>
          <w:bCs w:val="false"/>
          <w:color w:val="000000"/>
          <w:sz w:val="22"/>
          <w:szCs w:val="22"/>
        </w:rPr>
        <w:t>Licence commerciale libre (Apache 2.0 ou MIT)</w:t>
      </w:r>
    </w:p>
    <w:p>
      <w:pPr>
        <w:pStyle w:val="ListParagraph"/>
        <w:numPr>
          <w:ilvl w:val="0"/>
          <w:numId w:val="1"/>
        </w:numPr>
        <w:spacing w:before="50" w:after="50"/>
        <w:rPr/>
      </w:pPr>
      <w:r>
        <w:rPr>
          <w:rFonts w:eastAsia="Arial" w:cs="Arial"/>
          <w:b w:val="false"/>
          <w:bCs w:val="false"/>
          <w:color w:val="000000"/>
          <w:sz w:val="22"/>
          <w:szCs w:val="22"/>
        </w:rPr>
        <w:t>Performances reconnues sur des benchmarks visuels publiés</w:t>
      </w:r>
    </w:p>
    <w:p>
      <w:pPr>
        <w:pStyle w:val="Normal"/>
        <w:spacing w:before="0" w:after="140"/>
        <w:rPr/>
      </w:pPr>
      <w:r>
        <w:rPr/>
      </w:r>
    </w:p>
    <w:p>
      <w:pPr>
        <w:pStyle w:val="Heading2"/>
        <w:spacing w:before="200" w:after="100"/>
        <w:rPr/>
      </w:pPr>
      <w:r>
        <w:rPr>
          <w:rFonts w:eastAsia="Arial" w:cs="Arial" w:ascii="Arial" w:hAnsi="Arial"/>
          <w:b/>
          <w:bCs/>
          <w:color w:val="2E75B6"/>
          <w:sz w:val="24"/>
          <w:szCs w:val="24"/>
        </w:rPr>
        <w:t>3.3 Candidats évalués</w:t>
      </w:r>
    </w:p>
    <w:p>
      <w:pPr>
        <w:pStyle w:val="Normal"/>
        <w:spacing w:before="80" w:after="100"/>
        <w:jc w:val="start"/>
        <w:rPr/>
      </w:pPr>
      <w:r>
        <w:rPr>
          <w:rFonts w:eastAsia="Arial" w:cs="Arial"/>
          <w:b w:val="false"/>
          <w:bCs w:val="false"/>
          <w:i w:val="false"/>
          <w:iCs w:val="false"/>
          <w:color w:val="000000"/>
          <w:sz w:val="22"/>
          <w:szCs w:val="22"/>
        </w:rPr>
        <w:t>Après vérification des critères, 4 modèles ont été retenus pour évaluation :</w:t>
      </w:r>
    </w:p>
    <w:p>
      <w:pPr>
        <w:pStyle w:val="Normal"/>
        <w:spacing w:before="0" w:after="60"/>
        <w:rPr/>
      </w:pPr>
      <w:r>
        <w:rPr/>
      </w:r>
    </w:p>
    <w:tbl>
      <w:tblPr>
        <w:tblW w:w="9360" w:type="dxa"/>
        <w:jc w:val="start"/>
        <w:tblInd w:w="0" w:type="dxa"/>
        <w:tblLayout w:type="fixed"/>
        <w:tblCellMar>
          <w:top w:w="80" w:type="dxa"/>
          <w:start w:w="120" w:type="dxa"/>
          <w:bottom w:w="80" w:type="dxa"/>
          <w:end w:w="120" w:type="dxa"/>
        </w:tblCellMar>
      </w:tblPr>
      <w:tblGrid>
        <w:gridCol w:w="2399"/>
        <w:gridCol w:w="1200"/>
        <w:gridCol w:w="2001"/>
        <w:gridCol w:w="3760"/>
      </w:tblGrid>
      <w:tr>
        <w:trPr/>
        <w:tc>
          <w:tcPr>
            <w:tcW w:w="2399"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Modèle</w:t>
            </w:r>
          </w:p>
        </w:tc>
        <w:tc>
          <w:tcPr>
            <w:tcW w:w="120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Taille</w:t>
            </w:r>
          </w:p>
        </w:tc>
        <w:tc>
          <w:tcPr>
            <w:tcW w:w="2001"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Licence</w:t>
            </w:r>
          </w:p>
        </w:tc>
        <w:tc>
          <w:tcPr>
            <w:tcW w:w="376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Source de sélection</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InternVL3-2B</w:t>
            </w:r>
          </w:p>
        </w:tc>
        <w:tc>
          <w:tcPr>
            <w:tcW w:w="1200"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i w:val="false"/>
                <w:iCs w:val="false"/>
                <w:color w:val="000000"/>
                <w:sz w:val="20"/>
                <w:szCs w:val="20"/>
              </w:rPr>
              <w:t>2B</w:t>
            </w:r>
          </w:p>
        </w:tc>
        <w:tc>
          <w:tcPr>
            <w:tcW w:w="2001"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MIT</w:t>
            </w:r>
          </w:p>
        </w:tc>
        <w:tc>
          <w:tcPr>
            <w:tcW w:w="376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Classement OpenVLM (rang #10)</w:t>
            </w:r>
          </w:p>
        </w:tc>
      </w:tr>
      <w:tr>
        <w:trPr/>
        <w:tc>
          <w:tcPr>
            <w:tcW w:w="2399"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Qwen2.5-VL-3B</w:t>
            </w:r>
          </w:p>
        </w:tc>
        <w:tc>
          <w:tcPr>
            <w:tcW w:w="12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i w:val="false"/>
                <w:iCs w:val="false"/>
                <w:color w:val="000000"/>
                <w:sz w:val="20"/>
                <w:szCs w:val="20"/>
              </w:rPr>
              <w:t>3B</w:t>
            </w:r>
          </w:p>
        </w:tc>
        <w:tc>
          <w:tcPr>
            <w:tcW w:w="2001"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Apache 2.0</w:t>
            </w:r>
          </w:p>
        </w:tc>
        <w:tc>
          <w:tcPr>
            <w:tcW w:w="376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Classement OpenVLM (rang #11)</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Qwen3-VL-2B</w:t>
            </w:r>
          </w:p>
        </w:tc>
        <w:tc>
          <w:tcPr>
            <w:tcW w:w="1200"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i w:val="false"/>
                <w:iCs w:val="false"/>
                <w:color w:val="000000"/>
                <w:sz w:val="20"/>
                <w:szCs w:val="20"/>
              </w:rPr>
              <w:t>2B</w:t>
            </w:r>
          </w:p>
        </w:tc>
        <w:tc>
          <w:tcPr>
            <w:tcW w:w="2001"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Apache 2.0</w:t>
            </w:r>
          </w:p>
        </w:tc>
        <w:tc>
          <w:tcPr>
            <w:tcW w:w="376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Sortie récente (arXiv:2505.09388)</w:t>
            </w:r>
          </w:p>
        </w:tc>
      </w:tr>
      <w:tr>
        <w:trPr/>
        <w:tc>
          <w:tcPr>
            <w:tcW w:w="2399"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InternVL3.5-2B</w:t>
            </w:r>
          </w:p>
        </w:tc>
        <w:tc>
          <w:tcPr>
            <w:tcW w:w="12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i w:val="false"/>
                <w:iCs w:val="false"/>
                <w:color w:val="000000"/>
                <w:sz w:val="20"/>
                <w:szCs w:val="20"/>
              </w:rPr>
              <w:t>2.35B</w:t>
            </w:r>
          </w:p>
        </w:tc>
        <w:tc>
          <w:tcPr>
            <w:tcW w:w="2001"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Apache 2.0</w:t>
            </w:r>
          </w:p>
        </w:tc>
        <w:tc>
          <w:tcPr>
            <w:tcW w:w="376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Sortie récente (arXiv:2508.18265)</w:t>
            </w:r>
          </w:p>
        </w:tc>
      </w:tr>
    </w:tbl>
    <w:p>
      <w:pPr>
        <w:pStyle w:val="Normal"/>
        <w:spacing w:before="0" w:after="80"/>
        <w:rPr/>
      </w:pPr>
      <w:r>
        <w:rPr/>
      </w:r>
    </w:p>
    <w:p>
      <w:pPr>
        <w:pStyle w:val="Normal"/>
        <w:spacing w:before="80" w:after="100"/>
        <w:jc w:val="start"/>
        <w:rPr/>
      </w:pPr>
      <w:r>
        <w:rPr>
          <w:rFonts w:eastAsia="Arial" w:cs="Arial"/>
          <w:b w:val="false"/>
          <w:bCs w:val="false"/>
          <w:i/>
          <w:iCs/>
          <w:color w:val="000000"/>
          <w:sz w:val="22"/>
          <w:szCs w:val="22"/>
        </w:rPr>
        <w:t>Note : 5 autres modèles initialement identifiés ont été exclus pour des raisons de licence restrictive, de taille excessive, ou d'absence de support dans LLaMA-Factory.</w:t>
      </w:r>
    </w:p>
    <w:p>
      <w:pPr>
        <w:pStyle w:val="Normal"/>
        <w:spacing w:before="0" w:after="140"/>
        <w:rPr/>
      </w:pPr>
      <w:r>
        <w:rPr/>
      </w:r>
    </w:p>
    <w:p>
      <w:pPr>
        <w:pStyle w:val="Heading2"/>
        <w:spacing w:before="200" w:after="100"/>
        <w:rPr/>
      </w:pPr>
      <w:r>
        <w:rPr>
          <w:rFonts w:eastAsia="Arial" w:cs="Arial" w:ascii="Arial" w:hAnsi="Arial"/>
          <w:b/>
          <w:bCs/>
          <w:color w:val="2E75B6"/>
          <w:sz w:val="24"/>
          <w:szCs w:val="24"/>
        </w:rPr>
        <w:t>3.4 Protocole d'évaluation</w:t>
      </w:r>
    </w:p>
    <w:p>
      <w:pPr>
        <w:pStyle w:val="Normal"/>
        <w:spacing w:before="80" w:after="100"/>
        <w:jc w:val="both"/>
        <w:rPr/>
      </w:pPr>
      <w:r>
        <w:rPr>
          <w:rFonts w:eastAsia="Arial" w:cs="Arial"/>
          <w:b w:val="false"/>
          <w:bCs w:val="false"/>
          <w:i w:val="false"/>
          <w:iCs w:val="false"/>
          <w:color w:val="000000"/>
          <w:sz w:val="22"/>
          <w:szCs w:val="22"/>
        </w:rPr>
        <w:t>Chaque modèle a été testé en mode zero-shot (sans entraînement préalable) sur 10 images d'inspection ITSEOA, couvrant 5 familles de désordres différentes (béton armé, maçonnerie, métallique, infiltration d'eau, biologique). Les sorties ont été comparées aux commentaires experts de référence grâce à un score appelé ROUGE-L, qui mesure la similarité lexicale entre le texte généré et le texte de référence.</w:t>
      </w:r>
    </w:p>
    <w:p>
      <w:pPr>
        <w:pStyle w:val="Normal"/>
        <w:spacing w:before="0" w:after="80"/>
        <w:rPr/>
      </w:pPr>
      <w:r>
        <w:rPr/>
      </w:r>
    </w:p>
    <w:tbl>
      <w:tblPr>
        <w:tblW w:w="9360" w:type="dxa"/>
        <w:jc w:val="start"/>
        <w:tblInd w:w="0" w:type="dxa"/>
        <w:tblLayout w:type="fixed"/>
        <w:tblCellMar>
          <w:top w:w="120" w:type="dxa"/>
          <w:start w:w="240" w:type="dxa"/>
          <w:bottom w:w="120" w:type="dxa"/>
          <w:end w:w="240" w:type="dxa"/>
        </w:tblCellMar>
      </w:tblPr>
      <w:tblGrid>
        <w:gridCol w:w="9360"/>
      </w:tblGrid>
      <w:tr>
        <w:trPr/>
        <w:tc>
          <w:tcPr>
            <w:tcW w:w="9360" w:type="dxa"/>
            <w:tcBorders>
              <w:top w:val="single" w:sz="4" w:space="0" w:color="F9A825"/>
              <w:start w:val="single" w:sz="12" w:space="0" w:color="F9A825"/>
              <w:bottom w:val="single" w:sz="4" w:space="0" w:color="F9A825"/>
              <w:end w:val="single" w:sz="4" w:space="0" w:color="F9A825"/>
            </w:tcBorders>
            <w:shd w:fill="FFF9C4" w:val="clear"/>
          </w:tcPr>
          <w:p>
            <w:pPr>
              <w:pStyle w:val="Normal"/>
              <w:spacing w:before="40" w:after="40"/>
              <w:rPr/>
            </w:pPr>
            <w:r>
              <w:rPr>
                <w:rFonts w:eastAsia="Arial" w:cs="Arial"/>
                <w:color w:val="1A1A1A"/>
                <w:sz w:val="21"/>
                <w:szCs w:val="21"/>
              </w:rPr>
              <w:t>Qu'est-ce que le ROUGE-L ?</w:t>
            </w:r>
          </w:p>
          <w:p>
            <w:pPr>
              <w:pStyle w:val="Normal"/>
              <w:spacing w:before="40" w:after="40"/>
              <w:rPr/>
            </w:pPr>
            <w:r>
              <w:rPr/>
            </w:r>
          </w:p>
          <w:p>
            <w:pPr>
              <w:pStyle w:val="Normal"/>
              <w:spacing w:before="40" w:after="40"/>
              <w:rPr/>
            </w:pPr>
            <w:r>
              <w:rPr>
                <w:rFonts w:eastAsia="Arial" w:cs="Arial"/>
                <w:color w:val="1A1A1A"/>
                <w:sz w:val="21"/>
                <w:szCs w:val="21"/>
              </w:rPr>
              <w:t xml:space="preserve">  </w:t>
            </w:r>
            <w:r>
              <w:rPr>
                <w:rFonts w:eastAsia="Arial" w:cs="Arial"/>
                <w:color w:val="1A1A1A"/>
                <w:sz w:val="21"/>
                <w:szCs w:val="21"/>
              </w:rPr>
              <w:t>C'est une mesure qui compare deux textes mot par mot.</w:t>
            </w:r>
          </w:p>
          <w:p>
            <w:pPr>
              <w:pStyle w:val="Normal"/>
              <w:spacing w:before="40" w:after="40"/>
              <w:rPr/>
            </w:pPr>
            <w:r>
              <w:rPr>
                <w:rFonts w:eastAsia="Arial" w:cs="Arial"/>
                <w:color w:val="1A1A1A"/>
                <w:sz w:val="21"/>
                <w:szCs w:val="21"/>
              </w:rPr>
              <w:t xml:space="preserve">  </w:t>
            </w:r>
            <w:r>
              <w:rPr>
                <w:rFonts w:eastAsia="Arial" w:cs="Arial"/>
                <w:color w:val="1A1A1A"/>
                <w:sz w:val="21"/>
                <w:szCs w:val="21"/>
              </w:rPr>
              <w:t>Un score de 0 signifie aucune similarité, un score de 1 signifie identique.</w:t>
            </w:r>
          </w:p>
          <w:p>
            <w:pPr>
              <w:pStyle w:val="Normal"/>
              <w:spacing w:before="40" w:after="40"/>
              <w:rPr/>
            </w:pPr>
            <w:r>
              <w:rPr>
                <w:rFonts w:eastAsia="Arial" w:cs="Arial"/>
                <w:color w:val="1A1A1A"/>
                <w:sz w:val="21"/>
                <w:szCs w:val="21"/>
              </w:rPr>
              <w:t xml:space="preserve">  </w:t>
            </w:r>
            <w:r>
              <w:rPr>
                <w:rFonts w:eastAsia="Arial" w:cs="Arial"/>
                <w:color w:val="1A1A1A"/>
                <w:sz w:val="21"/>
                <w:szCs w:val="21"/>
              </w:rPr>
              <w:t>En mode zero-shot (sans entraînement), on s'attend à des scores entre 0.10 et 0.20.</w:t>
            </w:r>
          </w:p>
          <w:p>
            <w:pPr>
              <w:pStyle w:val="Normal"/>
              <w:spacing w:before="40" w:after="40"/>
              <w:rPr/>
            </w:pPr>
            <w:r>
              <w:rPr>
                <w:rFonts w:eastAsia="Arial" w:cs="Arial"/>
                <w:color w:val="1A1A1A"/>
                <w:sz w:val="21"/>
                <w:szCs w:val="21"/>
              </w:rPr>
              <w:t xml:space="preserve">  </w:t>
            </w:r>
            <w:r>
              <w:rPr>
                <w:rFonts w:eastAsia="Arial" w:cs="Arial"/>
                <w:color w:val="1A1A1A"/>
                <w:sz w:val="21"/>
                <w:szCs w:val="21"/>
              </w:rPr>
              <w:t>Ces scores servent uniquement à comparer les modèles entre eux, pas en valeur absolue.</w:t>
            </w:r>
          </w:p>
        </w:tc>
      </w:tr>
    </w:tbl>
    <w:p>
      <w:pPr>
        <w:pStyle w:val="Normal"/>
        <w:spacing w:before="0" w:after="140"/>
        <w:rPr/>
      </w:pPr>
      <w:r>
        <w:rPr/>
      </w:r>
    </w:p>
    <w:p>
      <w:pPr>
        <w:pStyle w:val="Heading2"/>
        <w:spacing w:before="200" w:after="100"/>
        <w:rPr/>
      </w:pPr>
      <w:r>
        <w:rPr>
          <w:rFonts w:eastAsia="Arial" w:cs="Arial" w:ascii="Arial" w:hAnsi="Arial"/>
          <w:b/>
          <w:bCs/>
          <w:color w:val="2E75B6"/>
          <w:sz w:val="24"/>
          <w:szCs w:val="24"/>
        </w:rPr>
        <w:t>3.5 Résultats et décision</w:t>
      </w:r>
    </w:p>
    <w:p>
      <w:pPr>
        <w:pStyle w:val="Normal"/>
        <w:spacing w:before="0" w:after="60"/>
        <w:rPr/>
      </w:pPr>
      <w:r>
        <w:rPr/>
      </w:r>
    </w:p>
    <w:tbl>
      <w:tblPr>
        <w:tblW w:w="9360" w:type="dxa"/>
        <w:jc w:val="start"/>
        <w:tblInd w:w="0" w:type="dxa"/>
        <w:tblLayout w:type="fixed"/>
        <w:tblCellMar>
          <w:top w:w="80" w:type="dxa"/>
          <w:start w:w="120" w:type="dxa"/>
          <w:bottom w:w="80" w:type="dxa"/>
          <w:end w:w="120" w:type="dxa"/>
        </w:tblCellMar>
      </w:tblPr>
      <w:tblGrid>
        <w:gridCol w:w="2399"/>
        <w:gridCol w:w="2001"/>
        <w:gridCol w:w="2160"/>
        <w:gridCol w:w="2800"/>
      </w:tblGrid>
      <w:tr>
        <w:trPr/>
        <w:tc>
          <w:tcPr>
            <w:tcW w:w="2399"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Modèle</w:t>
            </w:r>
          </w:p>
        </w:tc>
        <w:tc>
          <w:tcPr>
            <w:tcW w:w="2001"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ROUGE-L moyen</w:t>
            </w:r>
          </w:p>
        </w:tc>
        <w:tc>
          <w:tcPr>
            <w:tcW w:w="216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VRAM utilisée</w:t>
            </w:r>
          </w:p>
        </w:tc>
        <w:tc>
          <w:tcPr>
            <w:tcW w:w="280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Score pondéré /100</w:t>
            </w:r>
          </w:p>
        </w:tc>
      </w:tr>
      <w:tr>
        <w:trPr/>
        <w:tc>
          <w:tcPr>
            <w:tcW w:w="2399" w:type="dxa"/>
            <w:tcBorders>
              <w:top w:val="single" w:sz="2" w:space="0" w:color="CCCCCC"/>
              <w:start w:val="single" w:sz="2" w:space="0" w:color="CCCCCC"/>
              <w:bottom w:val="single" w:sz="2" w:space="0" w:color="CCCCCC"/>
              <w:end w:val="single" w:sz="2" w:space="0" w:color="CCCCCC"/>
            </w:tcBorders>
            <w:shd w:fill="D6E4F0" w:val="clear"/>
          </w:tcPr>
          <w:p>
            <w:pPr>
              <w:pStyle w:val="Normal"/>
              <w:jc w:val="start"/>
              <w:rPr/>
            </w:pPr>
            <w:r>
              <w:rPr>
                <w:rFonts w:eastAsia="Arial" w:cs="Arial"/>
                <w:b/>
                <w:bCs/>
                <w:i w:val="false"/>
                <w:iCs w:val="false"/>
                <w:color w:val="000000"/>
                <w:sz w:val="20"/>
                <w:szCs w:val="20"/>
              </w:rPr>
              <w:t>Qwen3-VL-2B</w:t>
            </w:r>
          </w:p>
        </w:tc>
        <w:tc>
          <w:tcPr>
            <w:tcW w:w="2001" w:type="dxa"/>
            <w:tcBorders>
              <w:top w:val="single" w:sz="2" w:space="0" w:color="CCCCCC"/>
              <w:start w:val="single" w:sz="2" w:space="0" w:color="CCCCCC"/>
              <w:bottom w:val="single" w:sz="2" w:space="0" w:color="CCCCCC"/>
              <w:end w:val="single" w:sz="2" w:space="0" w:color="CCCCCC"/>
            </w:tcBorders>
            <w:shd w:fill="D6E4F0" w:val="clear"/>
          </w:tcPr>
          <w:p>
            <w:pPr>
              <w:pStyle w:val="Normal"/>
              <w:jc w:val="center"/>
              <w:rPr/>
            </w:pPr>
            <w:r>
              <w:rPr>
                <w:rFonts w:eastAsia="Arial" w:cs="Arial"/>
                <w:b w:val="false"/>
                <w:bCs w:val="false"/>
                <w:i w:val="false"/>
                <w:iCs w:val="false"/>
                <w:color w:val="000000"/>
                <w:sz w:val="20"/>
                <w:szCs w:val="20"/>
              </w:rPr>
              <w:t>0.1542</w:t>
            </w:r>
          </w:p>
        </w:tc>
        <w:tc>
          <w:tcPr>
            <w:tcW w:w="2160" w:type="dxa"/>
            <w:tcBorders>
              <w:top w:val="single" w:sz="2" w:space="0" w:color="CCCCCC"/>
              <w:start w:val="single" w:sz="2" w:space="0" w:color="CCCCCC"/>
              <w:bottom w:val="single" w:sz="2" w:space="0" w:color="CCCCCC"/>
              <w:end w:val="single" w:sz="2" w:space="0" w:color="CCCCCC"/>
            </w:tcBorders>
            <w:shd w:fill="D6E4F0" w:val="clear"/>
          </w:tcPr>
          <w:p>
            <w:pPr>
              <w:pStyle w:val="Normal"/>
              <w:jc w:val="center"/>
              <w:rPr/>
            </w:pPr>
            <w:r>
              <w:rPr>
                <w:rFonts w:eastAsia="Arial" w:cs="Arial"/>
                <w:b w:val="false"/>
                <w:bCs w:val="false"/>
                <w:i w:val="false"/>
                <w:iCs w:val="false"/>
                <w:color w:val="000000"/>
                <w:sz w:val="20"/>
                <w:szCs w:val="20"/>
              </w:rPr>
              <w:t>1.58 GB</w:t>
            </w:r>
          </w:p>
        </w:tc>
        <w:tc>
          <w:tcPr>
            <w:tcW w:w="2800" w:type="dxa"/>
            <w:tcBorders>
              <w:top w:val="single" w:sz="2" w:space="0" w:color="CCCCCC"/>
              <w:start w:val="single" w:sz="2" w:space="0" w:color="CCCCCC"/>
              <w:bottom w:val="single" w:sz="2" w:space="0" w:color="CCCCCC"/>
              <w:end w:val="single" w:sz="2" w:space="0" w:color="CCCCCC"/>
            </w:tcBorders>
            <w:shd w:fill="D6E4F0" w:val="clear"/>
          </w:tcPr>
          <w:p>
            <w:pPr>
              <w:pStyle w:val="Normal"/>
              <w:jc w:val="start"/>
              <w:rPr/>
            </w:pPr>
            <w:r>
              <w:rPr>
                <w:rFonts w:eastAsia="Arial" w:cs="Arial"/>
                <w:b/>
                <w:bCs/>
                <w:i w:val="false"/>
                <w:iCs w:val="false"/>
                <w:color w:val="2E7D32"/>
                <w:sz w:val="20"/>
                <w:szCs w:val="20"/>
              </w:rPr>
              <w:t>73.9 / 100  ← retenu</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InternVL3-2B</w:t>
            </w:r>
          </w:p>
        </w:tc>
        <w:tc>
          <w:tcPr>
            <w:tcW w:w="2001"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i w:val="false"/>
                <w:iCs w:val="false"/>
                <w:color w:val="000000"/>
                <w:sz w:val="20"/>
                <w:szCs w:val="20"/>
              </w:rPr>
              <w:t>0.1483</w:t>
            </w:r>
          </w:p>
        </w:tc>
        <w:tc>
          <w:tcPr>
            <w:tcW w:w="2160"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i w:val="false"/>
                <w:iCs w:val="false"/>
                <w:color w:val="000000"/>
                <w:sz w:val="20"/>
                <w:szCs w:val="20"/>
              </w:rPr>
              <w:t>1.81 GB</w:t>
            </w:r>
          </w:p>
        </w:tc>
        <w:tc>
          <w:tcPr>
            <w:tcW w:w="28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70.0 / 100</w:t>
            </w:r>
          </w:p>
        </w:tc>
      </w:tr>
      <w:tr>
        <w:trPr/>
        <w:tc>
          <w:tcPr>
            <w:tcW w:w="2399"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InternVL3.5-2B</w:t>
            </w:r>
          </w:p>
        </w:tc>
        <w:tc>
          <w:tcPr>
            <w:tcW w:w="200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i w:val="false"/>
                <w:iCs w:val="false"/>
                <w:color w:val="000000"/>
                <w:sz w:val="20"/>
                <w:szCs w:val="20"/>
              </w:rPr>
              <w:t>0.1553</w:t>
            </w:r>
          </w:p>
        </w:tc>
        <w:tc>
          <w:tcPr>
            <w:tcW w:w="216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i w:val="false"/>
                <w:iCs w:val="false"/>
                <w:color w:val="000000"/>
                <w:sz w:val="20"/>
                <w:szCs w:val="20"/>
              </w:rPr>
              <w:t>2.14 GB</w:t>
            </w:r>
          </w:p>
        </w:tc>
        <w:tc>
          <w:tcPr>
            <w:tcW w:w="280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69.3 / 100</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Qwen2.5-VL-3B</w:t>
            </w:r>
          </w:p>
        </w:tc>
        <w:tc>
          <w:tcPr>
            <w:tcW w:w="2001"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i w:val="false"/>
                <w:iCs w:val="false"/>
                <w:color w:val="000000"/>
                <w:sz w:val="20"/>
                <w:szCs w:val="20"/>
              </w:rPr>
              <w:t>0.1404</w:t>
            </w:r>
          </w:p>
        </w:tc>
        <w:tc>
          <w:tcPr>
            <w:tcW w:w="2160"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i w:val="false"/>
                <w:iCs w:val="false"/>
                <w:color w:val="000000"/>
                <w:sz w:val="20"/>
                <w:szCs w:val="20"/>
              </w:rPr>
              <w:t>2.43 GB</w:t>
            </w:r>
          </w:p>
        </w:tc>
        <w:tc>
          <w:tcPr>
            <w:tcW w:w="28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69.0 / 100</w:t>
            </w:r>
          </w:p>
        </w:tc>
      </w:tr>
    </w:tbl>
    <w:p>
      <w:pPr>
        <w:pStyle w:val="Normal"/>
        <w:spacing w:before="0" w:after="80"/>
        <w:rPr/>
      </w:pPr>
      <w:r>
        <w:rPr/>
      </w:r>
    </w:p>
    <w:p>
      <w:pPr>
        <w:pStyle w:val="Normal"/>
        <w:spacing w:before="80" w:after="100"/>
        <w:jc w:val="both"/>
        <w:rPr/>
      </w:pPr>
      <w:r>
        <w:rPr>
          <w:rFonts w:eastAsia="Arial" w:cs="Arial"/>
          <w:b w:val="false"/>
          <w:bCs w:val="false"/>
          <w:i w:val="false"/>
          <w:iCs w:val="false"/>
          <w:color w:val="000000"/>
          <w:sz w:val="22"/>
          <w:szCs w:val="22"/>
        </w:rPr>
        <w:t>Le modèle Qwen3-VL-2B a été sélectionné pour la Phase 1 grâce à son meilleur score composite (ROUGE-L compétitif, empreinte mémoire la plus faible, licence Apache 2.0). Une observation importante : aucun des modèles ne produit spontanément la structure ITSEOA (Causes / Gravité / Suites) sans entraînement préalable, ce qui confirme la nécessité du fine-tuning.</w:t>
      </w:r>
    </w:p>
    <w:p>
      <w:pPr>
        <w:pStyle w:val="Normal"/>
        <w:spacing w:before="0" w:after="140"/>
        <w:rPr/>
      </w:pPr>
      <w:r>
        <w:rPr/>
      </w:r>
    </w:p>
    <w:p>
      <w:pPr>
        <w:pStyle w:val="Heading1"/>
        <w:pBdr>
          <w:bottom w:val="single" w:sz="6" w:space="1" w:color="2E75B6"/>
        </w:pBdr>
        <w:spacing w:before="280" w:after="140"/>
        <w:rPr/>
      </w:pPr>
      <w:r>
        <w:rPr>
          <w:rFonts w:eastAsia="Arial" w:cs="Arial" w:ascii="Arial" w:hAnsi="Arial"/>
          <w:b/>
          <w:bCs/>
          <w:color w:val="1F4E79"/>
          <w:sz w:val="30"/>
          <w:szCs w:val="30"/>
        </w:rPr>
        <w:t>4. Phase 1 — Fine-tuning du Modèle</w:t>
      </w:r>
    </w:p>
    <w:p>
      <w:pPr>
        <w:pStyle w:val="Normal"/>
        <w:pBdr>
          <w:top w:val="single" w:sz="6" w:space="4" w:color="2E7D32"/>
          <w:left w:val="single" w:sz="6" w:space="4" w:color="2E7D32"/>
          <w:bottom w:val="single" w:sz="6" w:space="4" w:color="2E7D32"/>
          <w:right w:val="single" w:sz="6" w:space="4" w:color="2E7D32"/>
        </w:pBdr>
        <w:shd w:val="clear" w:fill="E8F5E9"/>
        <w:spacing w:before="80" w:after="80"/>
        <w:ind w:start="240" w:end="240"/>
        <w:rPr>
          <w:color w:val="2A6099"/>
        </w:rPr>
      </w:pPr>
      <w:r>
        <w:rPr>
          <w:rFonts w:eastAsia="Arial" w:cs="Arial"/>
          <w:b/>
          <w:bCs/>
          <w:color w:val="2A6099"/>
          <w:sz w:val="22"/>
          <w:szCs w:val="22"/>
        </w:rPr>
        <w:t xml:space="preserve">✓  </w:t>
      </w:r>
      <w:r>
        <w:rPr>
          <w:rFonts w:eastAsia="Arial" w:cs="Arial"/>
          <w:b/>
          <w:bCs/>
          <w:color w:val="2A6099"/>
          <w:sz w:val="22"/>
          <w:szCs w:val="22"/>
        </w:rPr>
        <w:t xml:space="preserve">Phase </w:t>
      </w:r>
      <w:r>
        <w:rPr>
          <w:rFonts w:eastAsia="Arial" w:cs="Arial"/>
          <w:b/>
          <w:bCs/>
          <w:color w:val="2A6099"/>
          <w:sz w:val="22"/>
          <w:szCs w:val="22"/>
        </w:rPr>
        <w:t>en cours</w:t>
      </w:r>
      <w:r>
        <w:rPr>
          <w:rFonts w:eastAsia="Arial" w:cs="Arial"/>
          <w:b/>
          <w:bCs/>
          <w:color w:val="2A6099"/>
          <w:sz w:val="22"/>
          <w:szCs w:val="22"/>
        </w:rPr>
        <w:t xml:space="preserve"> (entraînement initial) — Retrain avec Qwen3-VL-2B prévu</w:t>
      </w:r>
    </w:p>
    <w:p>
      <w:pPr>
        <w:pStyle w:val="Normal"/>
        <w:spacing w:before="0" w:after="80"/>
        <w:rPr/>
      </w:pPr>
      <w:r>
        <w:rPr/>
      </w:r>
    </w:p>
    <w:p>
      <w:pPr>
        <w:pStyle w:val="Heading2"/>
        <w:spacing w:before="200" w:after="100"/>
        <w:rPr/>
      </w:pPr>
      <w:r>
        <w:rPr>
          <w:rFonts w:eastAsia="Arial" w:cs="Arial" w:ascii="Arial" w:hAnsi="Arial"/>
          <w:b/>
          <w:bCs/>
          <w:color w:val="2E75B6"/>
          <w:sz w:val="24"/>
          <w:szCs w:val="24"/>
        </w:rPr>
        <w:t>4.1 Objectif</w:t>
      </w:r>
    </w:p>
    <w:p>
      <w:pPr>
        <w:pStyle w:val="Normal"/>
        <w:spacing w:before="80" w:after="100"/>
        <w:jc w:val="both"/>
        <w:rPr/>
      </w:pPr>
      <w:r>
        <w:rPr>
          <w:rFonts w:eastAsia="Arial" w:cs="Arial"/>
          <w:b w:val="false"/>
          <w:bCs w:val="false"/>
          <w:i w:val="false"/>
          <w:iCs w:val="false"/>
          <w:color w:val="000000"/>
          <w:sz w:val="22"/>
          <w:szCs w:val="22"/>
        </w:rPr>
        <w:t>La Phase 0 a montré qu'aucun modèle ne génère spontanément des commentaires au format ITSEOA. La Phase 1 consiste à adapter (fine-tuner) un modèle sur le corpus de données de CID pour lui apprendre ce format spécifique.</w:t>
      </w:r>
    </w:p>
    <w:p>
      <w:pPr>
        <w:pStyle w:val="Normal"/>
        <w:spacing w:before="0" w:after="140"/>
        <w:rPr/>
      </w:pPr>
      <w:r>
        <w:rPr/>
      </w:r>
    </w:p>
    <w:p>
      <w:pPr>
        <w:pStyle w:val="Heading2"/>
        <w:spacing w:before="200" w:after="100"/>
        <w:rPr/>
      </w:pPr>
      <w:r>
        <w:rPr>
          <w:rFonts w:eastAsia="Arial" w:cs="Arial" w:ascii="Arial" w:hAnsi="Arial"/>
          <w:b/>
          <w:bCs/>
          <w:color w:val="2E75B6"/>
          <w:sz w:val="24"/>
          <w:szCs w:val="24"/>
        </w:rPr>
        <w:t>4.2 Qu'est-ce que le fine-tuning ?</w:t>
      </w:r>
    </w:p>
    <w:p>
      <w:pPr>
        <w:pStyle w:val="Normal"/>
        <w:spacing w:before="80" w:after="100"/>
        <w:jc w:val="both"/>
        <w:rPr/>
      </w:pPr>
      <w:r>
        <w:rPr>
          <w:rFonts w:eastAsia="Arial" w:cs="Arial"/>
          <w:b w:val="false"/>
          <w:bCs w:val="false"/>
          <w:i w:val="false"/>
          <w:iCs w:val="false"/>
          <w:color w:val="000000"/>
          <w:sz w:val="22"/>
          <w:szCs w:val="22"/>
        </w:rPr>
        <w:t>Le fine-tuning est un processus d'apprentissage spécialisé. Plutôt que d'entraîner un modèle depuis zéro (ce qui nécessiterait des mois de calcul et des millions de données), on part d'un modèle déjà capable de comprendre des images et du texte, et on lui montre des exemples spécifiques à notre domaine pour qu'il apprenne le style et le format attendus.</w:t>
      </w:r>
    </w:p>
    <w:p>
      <w:pPr>
        <w:pStyle w:val="Normal"/>
        <w:spacing w:before="0" w:after="80"/>
        <w:rPr/>
      </w:pPr>
      <w:r>
        <w:rPr/>
      </w:r>
    </w:p>
    <w:tbl>
      <w:tblPr>
        <w:tblW w:w="9360" w:type="dxa"/>
        <w:jc w:val="start"/>
        <w:tblInd w:w="0" w:type="dxa"/>
        <w:tblLayout w:type="fixed"/>
        <w:tblCellMar>
          <w:top w:w="120" w:type="dxa"/>
          <w:start w:w="240" w:type="dxa"/>
          <w:bottom w:w="120" w:type="dxa"/>
          <w:end w:w="240" w:type="dxa"/>
        </w:tblCellMar>
      </w:tblPr>
      <w:tblGrid>
        <w:gridCol w:w="9360"/>
      </w:tblGrid>
      <w:tr>
        <w:trPr/>
        <w:tc>
          <w:tcPr>
            <w:tcW w:w="9360" w:type="dxa"/>
            <w:tcBorders>
              <w:top w:val="single" w:sz="4" w:space="0" w:color="F9A825"/>
              <w:start w:val="single" w:sz="12" w:space="0" w:color="F9A825"/>
              <w:bottom w:val="single" w:sz="4" w:space="0" w:color="F9A825"/>
              <w:end w:val="single" w:sz="4" w:space="0" w:color="F9A825"/>
            </w:tcBorders>
            <w:shd w:fill="FFF9C4" w:val="clear"/>
          </w:tcPr>
          <w:p>
            <w:pPr>
              <w:pStyle w:val="Normal"/>
              <w:spacing w:before="40" w:after="40"/>
              <w:rPr/>
            </w:pPr>
            <w:r>
              <w:rPr>
                <w:rFonts w:eastAsia="Arial" w:cs="Arial"/>
                <w:color w:val="1A1A1A"/>
                <w:sz w:val="21"/>
                <w:szCs w:val="21"/>
              </w:rPr>
              <w:t>Analogie : le fine-tuning, c'est comme former un médecin généraliste à devenir spécialiste.</w:t>
            </w:r>
          </w:p>
          <w:p>
            <w:pPr>
              <w:pStyle w:val="Normal"/>
              <w:spacing w:before="40" w:after="40"/>
              <w:rPr/>
            </w:pPr>
            <w:r>
              <w:rPr>
                <w:rFonts w:eastAsia="Arial" w:cs="Arial"/>
                <w:color w:val="1A1A1A"/>
                <w:sz w:val="21"/>
                <w:szCs w:val="21"/>
              </w:rPr>
              <w:t>Il sait déjà ce qu'est la médecine (le modèle pré-entraîné).</w:t>
            </w:r>
          </w:p>
          <w:p>
            <w:pPr>
              <w:pStyle w:val="Normal"/>
              <w:spacing w:before="40" w:after="40"/>
              <w:rPr/>
            </w:pPr>
            <w:r>
              <w:rPr>
                <w:rFonts w:eastAsia="Arial" w:cs="Arial"/>
                <w:color w:val="1A1A1A"/>
                <w:sz w:val="21"/>
                <w:szCs w:val="21"/>
              </w:rPr>
              <w:t>On lui apprend les spécificités de la cardiologie (le corpus ITSEOA de CID).</w:t>
            </w:r>
          </w:p>
          <w:p>
            <w:pPr>
              <w:pStyle w:val="Normal"/>
              <w:spacing w:before="40" w:after="40"/>
              <w:rPr/>
            </w:pPr>
            <w:r>
              <w:rPr>
                <w:rFonts w:eastAsia="Arial" w:cs="Arial"/>
                <w:color w:val="1A1A1A"/>
                <w:sz w:val="21"/>
                <w:szCs w:val="21"/>
              </w:rPr>
              <w:t>Résultat : il devient compétent dans ce domaine précis sans repartir de zéro.</w:t>
            </w:r>
          </w:p>
        </w:tc>
      </w:tr>
    </w:tbl>
    <w:p>
      <w:pPr>
        <w:pStyle w:val="Normal"/>
        <w:spacing w:before="0" w:after="140"/>
        <w:rPr/>
      </w:pPr>
      <w:r>
        <w:rPr/>
      </w:r>
    </w:p>
    <w:p>
      <w:pPr>
        <w:pStyle w:val="Heading2"/>
        <w:spacing w:before="200" w:after="100"/>
        <w:rPr/>
      </w:pPr>
      <w:r>
        <w:rPr>
          <w:rFonts w:eastAsia="Arial" w:cs="Arial" w:ascii="Arial" w:hAnsi="Arial"/>
          <w:b/>
          <w:bCs/>
          <w:color w:val="2E75B6"/>
          <w:sz w:val="24"/>
          <w:szCs w:val="24"/>
        </w:rPr>
        <w:t>4.3 Technique utilisée : QLoRA</w:t>
      </w:r>
    </w:p>
    <w:p>
      <w:pPr>
        <w:pStyle w:val="Normal"/>
        <w:spacing w:before="80" w:after="100"/>
        <w:jc w:val="both"/>
        <w:rPr/>
      </w:pPr>
      <w:r>
        <w:rPr>
          <w:rFonts w:eastAsia="Arial" w:cs="Arial"/>
          <w:b w:val="false"/>
          <w:bCs w:val="false"/>
          <w:i w:val="false"/>
          <w:iCs w:val="false"/>
          <w:color w:val="000000"/>
          <w:sz w:val="22"/>
          <w:szCs w:val="22"/>
        </w:rPr>
        <w:t>Pour que le fine-tuning soit réalisable avec les ressources disponibles (GPU T4 de Google Colab), j'utilise une technique appelée QLoRA (Quantized Low-Rank Adaptation). Cette technique permet d'entraîner un modèle de grande taille en utilisant très peu de mémoire GPU, en ne modifiant qu'une petite partie des paramètres du modèle au lieu de la totalité.</w:t>
      </w:r>
    </w:p>
    <w:p>
      <w:pPr>
        <w:pStyle w:val="Normal"/>
        <w:spacing w:before="0" w:after="140"/>
        <w:rPr/>
      </w:pPr>
      <w:r>
        <w:rPr/>
      </w:r>
    </w:p>
    <w:p>
      <w:pPr>
        <w:pStyle w:val="Heading2"/>
        <w:spacing w:before="200" w:after="100"/>
        <w:rPr/>
      </w:pPr>
      <w:r>
        <w:rPr>
          <w:rFonts w:eastAsia="Arial" w:cs="Arial" w:ascii="Arial" w:hAnsi="Arial"/>
          <w:b/>
          <w:bCs/>
          <w:color w:val="2E75B6"/>
          <w:sz w:val="24"/>
          <w:szCs w:val="24"/>
        </w:rPr>
        <w:t>4.4 Entraînement réalisé</w:t>
      </w:r>
    </w:p>
    <w:p>
      <w:pPr>
        <w:pStyle w:val="Normal"/>
        <w:spacing w:before="80" w:after="100"/>
        <w:jc w:val="start"/>
        <w:rPr/>
      </w:pPr>
      <w:r>
        <w:rPr>
          <w:rFonts w:eastAsia="Arial" w:cs="Arial"/>
          <w:b w:val="false"/>
          <w:bCs w:val="false"/>
          <w:i w:val="false"/>
          <w:iCs w:val="false"/>
          <w:color w:val="000000"/>
          <w:sz w:val="22"/>
          <w:szCs w:val="22"/>
        </w:rPr>
        <w:t>Un premier entraînement a été réalisé avec le modèle Qwen2.5-VL-3B-Instruct (disponible au moment du démarrage de la Phase 1, avant la finalisation de la Phase 0 addendum). Les paramètres d'entraînement sont les suivants :</w:t>
      </w:r>
    </w:p>
    <w:p>
      <w:pPr>
        <w:pStyle w:val="Normal"/>
        <w:spacing w:before="0" w:after="60"/>
        <w:rPr/>
      </w:pPr>
      <w:r>
        <w:rPr/>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Paramètre</w:t>
            </w:r>
          </w:p>
        </w:tc>
        <w:tc>
          <w:tcPr>
            <w:tcW w:w="616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Valeur</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Modèle de base</w:t>
            </w:r>
          </w:p>
        </w:tc>
        <w:tc>
          <w:tcPr>
            <w:tcW w:w="616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Qwen2.5-VL-3B-Instruct</w:t>
            </w:r>
          </w:p>
        </w:tc>
      </w:tr>
      <w:tr>
        <w:trPr/>
        <w:tc>
          <w:tcPr>
            <w:tcW w:w="320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Framework</w:t>
            </w:r>
          </w:p>
        </w:tc>
        <w:tc>
          <w:tcPr>
            <w:tcW w:w="616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LLaMA-Factory v0.9.4</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Méthode</w:t>
            </w:r>
          </w:p>
        </w:tc>
        <w:tc>
          <w:tcPr>
            <w:tcW w:w="616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QLoRA — rang 16, quantisation NF4 4-bit</w:t>
            </w:r>
          </w:p>
        </w:tc>
      </w:tr>
      <w:tr>
        <w:trPr/>
        <w:tc>
          <w:tcPr>
            <w:tcW w:w="320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Dataset</w:t>
            </w:r>
          </w:p>
        </w:tc>
        <w:tc>
          <w:tcPr>
            <w:tcW w:w="616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214 paires image–commentaire ITSEOA (192 entraînement / 22 validation)</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Durée d'entraînement</w:t>
            </w:r>
          </w:p>
        </w:tc>
        <w:tc>
          <w:tcPr>
            <w:tcW w:w="616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51 minutes sur GPU T4 (Google Colab)</w:t>
            </w:r>
          </w:p>
        </w:tc>
      </w:tr>
      <w:tr>
        <w:trPr/>
        <w:tc>
          <w:tcPr>
            <w:tcW w:w="320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Nombre d'époques</w:t>
            </w:r>
          </w:p>
        </w:tc>
        <w:tc>
          <w:tcPr>
            <w:tcW w:w="616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3 époques, 36 étapes</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Évolution de la perte</w:t>
            </w:r>
          </w:p>
        </w:tc>
        <w:tc>
          <w:tcPr>
            <w:tcW w:w="616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2.25 → 1.55 (diminution confirmant un apprentissage effectif)</w:t>
            </w:r>
          </w:p>
        </w:tc>
      </w:tr>
    </w:tbl>
    <w:p>
      <w:pPr>
        <w:pStyle w:val="Normal"/>
        <w:spacing w:before="0" w:after="80"/>
        <w:rPr/>
      </w:pPr>
      <w:r>
        <w:rPr/>
      </w:r>
    </w:p>
    <w:p>
      <w:pPr>
        <w:pStyle w:val="Normal"/>
        <w:spacing w:before="80" w:after="100"/>
        <w:jc w:val="start"/>
        <w:rPr/>
      </w:pPr>
      <w:r>
        <w:rPr>
          <w:rFonts w:eastAsia="Arial" w:cs="Arial"/>
          <w:b w:val="false"/>
          <w:bCs w:val="false"/>
          <w:i/>
          <w:iCs/>
          <w:color w:val="000000"/>
          <w:sz w:val="22"/>
          <w:szCs w:val="22"/>
        </w:rPr>
        <w:t>L'adaptateur entraîné (checkpoint-36) a été sauvegardé sur Google Drive dans le répertoire CID/phase1/output/.</w:t>
      </w:r>
    </w:p>
    <w:p>
      <w:pPr>
        <w:pStyle w:val="Normal"/>
        <w:spacing w:before="0" w:after="140"/>
        <w:rPr/>
      </w:pPr>
      <w:r>
        <w:rPr/>
      </w:r>
    </w:p>
    <w:p>
      <w:pPr>
        <w:pStyle w:val="Heading2"/>
        <w:spacing w:before="200" w:after="100"/>
        <w:rPr/>
      </w:pPr>
      <w:r>
        <w:rPr>
          <w:rFonts w:eastAsia="Arial" w:cs="Arial" w:ascii="Arial" w:hAnsi="Arial"/>
          <w:b/>
          <w:bCs/>
          <w:color w:val="2E75B6"/>
          <w:sz w:val="24"/>
          <w:szCs w:val="24"/>
        </w:rPr>
        <w:t>4.5 Observation qualitative</w:t>
      </w:r>
    </w:p>
    <w:p>
      <w:pPr>
        <w:pStyle w:val="Normal"/>
        <w:spacing w:before="80" w:after="100"/>
        <w:jc w:val="both"/>
        <w:rPr/>
      </w:pPr>
      <w:r>
        <w:rPr>
          <w:rFonts w:eastAsia="Arial" w:cs="Arial"/>
          <w:b w:val="false"/>
          <w:bCs w:val="false"/>
          <w:i w:val="false"/>
          <w:iCs w:val="false"/>
          <w:color w:val="000000"/>
          <w:sz w:val="22"/>
          <w:szCs w:val="22"/>
        </w:rPr>
        <w:t>L'analyse des sorties du modèle fine-tuné montre que celui-ci a appris la structure en trois parties du format ITSEOA (Causes / Gravité / Suites à donner), ce qui n'était pas le cas avant l'entraînement. Cependant, avec seulement 214 exemples d'entraînement, la précision dans l'identification visuelle des désordres spécifiques reste limitée.</w:t>
      </w:r>
    </w:p>
    <w:p>
      <w:pPr>
        <w:pStyle w:val="Normal"/>
        <w:spacing w:before="0" w:after="140"/>
        <w:rPr/>
      </w:pPr>
      <w:r>
        <w:rPr/>
      </w:r>
    </w:p>
    <w:p>
      <w:pPr>
        <w:pStyle w:val="Heading2"/>
        <w:spacing w:before="200" w:after="100"/>
        <w:rPr/>
      </w:pPr>
      <w:r>
        <w:rPr>
          <w:rFonts w:eastAsia="Arial" w:cs="Arial" w:ascii="Arial" w:hAnsi="Arial"/>
          <w:b/>
          <w:bCs/>
          <w:color w:val="2E75B6"/>
          <w:sz w:val="24"/>
          <w:szCs w:val="24"/>
        </w:rPr>
        <w:t>4.6 Prochain entraînement</w:t>
      </w:r>
    </w:p>
    <w:p>
      <w:pPr>
        <w:pStyle w:val="Normal"/>
        <w:spacing w:before="80" w:after="100"/>
        <w:jc w:val="both"/>
        <w:rPr/>
      </w:pPr>
      <w:r>
        <w:rPr>
          <w:rFonts w:eastAsia="Arial" w:cs="Arial"/>
          <w:b w:val="false"/>
          <w:bCs w:val="false"/>
          <w:i w:val="false"/>
          <w:iCs w:val="false"/>
          <w:color w:val="000000"/>
          <w:sz w:val="22"/>
          <w:szCs w:val="22"/>
        </w:rPr>
        <w:t>Suite à la finalisation de la Phase 0 qui a identifié Qwen3-VL-2B comme modèle optimal, un deuxième entraînement est prévu avec ce modèle. L'objectif est de combiner la structure ITSEOA apprise en Phase 1 avec les meilleures performances intrinsèques de Qwen3-VL-2B.</w:t>
      </w:r>
    </w:p>
    <w:p>
      <w:pPr>
        <w:pStyle w:val="Normal"/>
        <w:spacing w:before="0" w:after="140"/>
        <w:rPr/>
      </w:pPr>
      <w:r>
        <w:rPr/>
      </w:r>
    </w:p>
    <w:p>
      <w:pPr>
        <w:pStyle w:val="Heading1"/>
        <w:pBdr>
          <w:bottom w:val="single" w:sz="6" w:space="1" w:color="2E75B6"/>
        </w:pBdr>
        <w:spacing w:before="280" w:after="140"/>
        <w:rPr/>
      </w:pPr>
      <w:r>
        <w:rPr>
          <w:rFonts w:eastAsia="Arial" w:cs="Arial" w:ascii="Arial" w:hAnsi="Arial"/>
          <w:b/>
          <w:bCs/>
          <w:color w:val="1F4E79"/>
          <w:sz w:val="30"/>
          <w:szCs w:val="30"/>
        </w:rPr>
        <w:t>5. État d'Avancement et Suite du Projet</w:t>
      </w:r>
    </w:p>
    <w:p>
      <w:pPr>
        <w:pStyle w:val="Heading2"/>
        <w:spacing w:before="200" w:after="100"/>
        <w:rPr/>
      </w:pPr>
      <w:r>
        <w:rPr>
          <w:rFonts w:eastAsia="Arial" w:cs="Arial" w:ascii="Arial" w:hAnsi="Arial"/>
          <w:b/>
          <w:bCs/>
          <w:color w:val="2E75B6"/>
          <w:sz w:val="24"/>
          <w:szCs w:val="24"/>
        </w:rPr>
        <w:t>5.1 Récapitulatif</w:t>
      </w:r>
    </w:p>
    <w:p>
      <w:pPr>
        <w:pStyle w:val="Normal"/>
        <w:spacing w:before="0" w:after="60"/>
        <w:rPr/>
      </w:pPr>
      <w:r>
        <w:rPr/>
      </w:r>
    </w:p>
    <w:tbl>
      <w:tblPr>
        <w:tblW w:w="9360" w:type="dxa"/>
        <w:jc w:val="start"/>
        <w:tblInd w:w="0" w:type="dxa"/>
        <w:tblLayout w:type="fixed"/>
        <w:tblCellMar>
          <w:top w:w="80" w:type="dxa"/>
          <w:start w:w="120" w:type="dxa"/>
          <w:bottom w:w="80" w:type="dxa"/>
          <w:end w:w="120" w:type="dxa"/>
        </w:tblCellMar>
      </w:tblPr>
      <w:tblGrid>
        <w:gridCol w:w="3200"/>
        <w:gridCol w:w="2400"/>
        <w:gridCol w:w="3760"/>
      </w:tblGrid>
      <w:tr>
        <w:trPr/>
        <w:tc>
          <w:tcPr>
            <w:tcW w:w="320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Tâche</w:t>
            </w:r>
          </w:p>
        </w:tc>
        <w:tc>
          <w:tcPr>
            <w:tcW w:w="240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Statut</w:t>
            </w:r>
          </w:p>
        </w:tc>
        <w:tc>
          <w:tcPr>
            <w:tcW w:w="376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Livrable principal</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Tâche secondaire SGOAM</w:t>
            </w:r>
          </w:p>
        </w:tc>
        <w:tc>
          <w:tcPr>
            <w:tcW w:w="24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bCs/>
                <w:i w:val="false"/>
                <w:iCs w:val="false"/>
                <w:color w:val="2E7D32"/>
                <w:sz w:val="20"/>
                <w:szCs w:val="20"/>
              </w:rPr>
              <w:t xml:space="preserve">✓ </w:t>
            </w:r>
            <w:r>
              <w:rPr>
                <w:rFonts w:eastAsia="Arial" w:cs="Arial"/>
                <w:b/>
                <w:bCs/>
                <w:i w:val="false"/>
                <w:iCs w:val="false"/>
                <w:color w:val="2E7D32"/>
                <w:sz w:val="20"/>
                <w:szCs w:val="20"/>
              </w:rPr>
              <w:t>Terminée</w:t>
            </w:r>
          </w:p>
        </w:tc>
        <w:tc>
          <w:tcPr>
            <w:tcW w:w="376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2 rapports Word (FR + EN), outil HTML</w:t>
            </w:r>
          </w:p>
        </w:tc>
      </w:tr>
      <w:tr>
        <w:trPr/>
        <w:tc>
          <w:tcPr>
            <w:tcW w:w="320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Phase 0 — Sélection du modèle</w:t>
            </w:r>
          </w:p>
        </w:tc>
        <w:tc>
          <w:tcPr>
            <w:tcW w:w="240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bCs/>
                <w:i w:val="false"/>
                <w:iCs w:val="false"/>
                <w:color w:val="2E7D32"/>
                <w:sz w:val="20"/>
                <w:szCs w:val="20"/>
              </w:rPr>
              <w:t xml:space="preserve">✓ </w:t>
            </w:r>
            <w:r>
              <w:rPr>
                <w:rFonts w:eastAsia="Arial" w:cs="Arial"/>
                <w:b/>
                <w:bCs/>
                <w:i w:val="false"/>
                <w:iCs w:val="false"/>
                <w:color w:val="2E7D32"/>
                <w:sz w:val="20"/>
                <w:szCs w:val="20"/>
              </w:rPr>
              <w:t>Terminée</w:t>
            </w:r>
          </w:p>
        </w:tc>
        <w:tc>
          <w:tcPr>
            <w:tcW w:w="376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Notebook v4, 2 rapports Word (FR + EN)</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Phase 1 — Fine-tuning initial (Qwen2.5)</w:t>
            </w:r>
          </w:p>
        </w:tc>
        <w:tc>
          <w:tcPr>
            <w:tcW w:w="24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bCs/>
                <w:i w:val="false"/>
                <w:iCs w:val="false"/>
                <w:color w:val="2E7D32"/>
                <w:sz w:val="20"/>
                <w:szCs w:val="20"/>
              </w:rPr>
              <w:t xml:space="preserve">✓ </w:t>
            </w:r>
            <w:r>
              <w:rPr>
                <w:rFonts w:eastAsia="Arial" w:cs="Arial"/>
                <w:b/>
                <w:bCs/>
                <w:i w:val="false"/>
                <w:iCs w:val="false"/>
                <w:color w:val="2E7D32"/>
                <w:sz w:val="20"/>
                <w:szCs w:val="20"/>
              </w:rPr>
              <w:t>Terminée</w:t>
            </w:r>
          </w:p>
        </w:tc>
        <w:tc>
          <w:tcPr>
            <w:tcW w:w="376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Adaptateur QLoRA sauvegardé sur Drive</w:t>
            </w:r>
          </w:p>
        </w:tc>
      </w:tr>
      <w:tr>
        <w:trPr/>
        <w:tc>
          <w:tcPr>
            <w:tcW w:w="320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Phase 1 — Retrain (Qwen3-VL-2B)</w:t>
            </w:r>
          </w:p>
        </w:tc>
        <w:tc>
          <w:tcPr>
            <w:tcW w:w="240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E65100"/>
                <w:sz w:val="20"/>
                <w:szCs w:val="20"/>
              </w:rPr>
              <w:t>En préparation</w:t>
            </w:r>
          </w:p>
        </w:tc>
        <w:tc>
          <w:tcPr>
            <w:tcW w:w="376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À lancer après vérification du template LF</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Phase 2 — Agent LangGraph</w:t>
            </w:r>
          </w:p>
        </w:tc>
        <w:tc>
          <w:tcPr>
            <w:tcW w:w="24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606060"/>
                <w:sz w:val="20"/>
                <w:szCs w:val="20"/>
              </w:rPr>
              <w:t>À venir</w:t>
            </w:r>
          </w:p>
        </w:tc>
        <w:tc>
          <w:tcPr>
            <w:tcW w:w="376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Pipeline complet image → commentaire ITSEOA</w:t>
            </w:r>
          </w:p>
        </w:tc>
      </w:tr>
    </w:tbl>
    <w:p>
      <w:pPr>
        <w:pStyle w:val="Normal"/>
        <w:spacing w:before="0" w:after="140"/>
        <w:rPr/>
      </w:pPr>
      <w:r>
        <w:rPr/>
      </w:r>
    </w:p>
    <w:p>
      <w:pPr>
        <w:pStyle w:val="Heading2"/>
        <w:spacing w:before="200" w:after="100"/>
        <w:rPr/>
      </w:pPr>
      <w:r>
        <w:rPr>
          <w:rFonts w:eastAsia="Arial" w:cs="Arial" w:ascii="Arial" w:hAnsi="Arial"/>
          <w:b/>
          <w:bCs/>
          <w:color w:val="2E75B6"/>
          <w:sz w:val="24"/>
          <w:szCs w:val="24"/>
        </w:rPr>
        <w:t>5.2 Prochaines étapes</w:t>
      </w:r>
    </w:p>
    <w:p>
      <w:pPr>
        <w:pStyle w:val="ListParagraph"/>
        <w:numPr>
          <w:ilvl w:val="0"/>
          <w:numId w:val="1"/>
        </w:numPr>
        <w:spacing w:before="50" w:after="50"/>
        <w:rPr/>
      </w:pPr>
      <w:r>
        <w:rPr>
          <w:rFonts w:eastAsia="Arial" w:cs="Arial"/>
          <w:b w:val="false"/>
          <w:bCs w:val="false"/>
          <w:color w:val="000000"/>
          <w:sz w:val="22"/>
          <w:szCs w:val="22"/>
        </w:rPr>
        <w:t>Vérifier la disponibilité du template qwen3_vl dans LLaMA-Factory installé</w:t>
      </w:r>
    </w:p>
    <w:p>
      <w:pPr>
        <w:pStyle w:val="ListParagraph"/>
        <w:numPr>
          <w:ilvl w:val="0"/>
          <w:numId w:val="1"/>
        </w:numPr>
        <w:spacing w:before="50" w:after="50"/>
        <w:rPr/>
      </w:pPr>
      <w:r>
        <w:rPr>
          <w:rFonts w:eastAsia="Arial" w:cs="Arial"/>
          <w:b w:val="false"/>
          <w:bCs w:val="false"/>
          <w:color w:val="000000"/>
          <w:sz w:val="22"/>
          <w:szCs w:val="22"/>
        </w:rPr>
        <w:t>Lancer le retrain Phase 1 avec Qwen3-VL-2B sur le même dataset ITSEOA</w:t>
      </w:r>
    </w:p>
    <w:p>
      <w:pPr>
        <w:pStyle w:val="ListParagraph"/>
        <w:numPr>
          <w:ilvl w:val="0"/>
          <w:numId w:val="1"/>
        </w:numPr>
        <w:spacing w:before="50" w:after="50"/>
        <w:rPr/>
      </w:pPr>
      <w:r>
        <w:rPr>
          <w:rFonts w:eastAsia="Arial" w:cs="Arial"/>
          <w:b w:val="false"/>
          <w:bCs w:val="false"/>
          <w:color w:val="000000"/>
          <w:sz w:val="22"/>
          <w:szCs w:val="22"/>
        </w:rPr>
        <w:t>Évaluer et comparer les résultats avec l'entraînement initial</w:t>
      </w:r>
    </w:p>
    <w:p>
      <w:pPr>
        <w:pStyle w:val="ListParagraph"/>
        <w:numPr>
          <w:ilvl w:val="0"/>
          <w:numId w:val="1"/>
        </w:numPr>
        <w:spacing w:before="50" w:after="50"/>
        <w:rPr/>
      </w:pPr>
      <w:r>
        <w:rPr>
          <w:rFonts w:eastAsia="Arial" w:cs="Arial"/>
          <w:b w:val="false"/>
          <w:bCs w:val="false"/>
          <w:color w:val="000000"/>
          <w:sz w:val="22"/>
          <w:szCs w:val="22"/>
        </w:rPr>
        <w:t>Mettre à jour les rapports Phase 1 avec les nouveaux résultats</w:t>
      </w:r>
    </w:p>
    <w:p>
      <w:pPr>
        <w:pStyle w:val="ListParagraph"/>
        <w:numPr>
          <w:ilvl w:val="0"/>
          <w:numId w:val="1"/>
        </w:numPr>
        <w:spacing w:before="50" w:after="50"/>
        <w:rPr/>
      </w:pPr>
      <w:r>
        <w:rPr>
          <w:rFonts w:eastAsia="Arial" w:cs="Arial"/>
          <w:b w:val="false"/>
          <w:bCs w:val="false"/>
          <w:color w:val="000000"/>
          <w:sz w:val="22"/>
          <w:szCs w:val="22"/>
        </w:rPr>
        <w:t>Démarrer la conception et le développement de l'agent LangGraph (Phase 2)</w:t>
      </w:r>
    </w:p>
    <w:p>
      <w:pPr>
        <w:pStyle w:val="Normal"/>
        <w:spacing w:before="0" w:after="140"/>
        <w:rPr/>
      </w:pPr>
      <w:r>
        <w:rPr/>
      </w:r>
    </w:p>
    <w:p>
      <w:pPr>
        <w:pStyle w:val="Heading2"/>
        <w:spacing w:before="200" w:after="100"/>
        <w:rPr/>
      </w:pPr>
      <w:r>
        <w:rPr>
          <w:rFonts w:eastAsia="Arial" w:cs="Arial" w:ascii="Arial" w:hAnsi="Arial"/>
          <w:b/>
          <w:bCs/>
          <w:color w:val="2E75B6"/>
          <w:sz w:val="24"/>
          <w:szCs w:val="24"/>
        </w:rPr>
        <w:t>5.3 Calendrier prévisionnel</w:t>
      </w:r>
    </w:p>
    <w:p>
      <w:pPr>
        <w:pStyle w:val="Normal"/>
        <w:spacing w:before="0" w:after="60"/>
        <w:rPr/>
      </w:pPr>
      <w:r>
        <w:rPr/>
      </w:r>
    </w:p>
    <w:tbl>
      <w:tblPr>
        <w:tblW w:w="9360" w:type="dxa"/>
        <w:jc w:val="start"/>
        <w:tblInd w:w="0" w:type="dxa"/>
        <w:tblLayout w:type="fixed"/>
        <w:tblCellMar>
          <w:top w:w="80" w:type="dxa"/>
          <w:start w:w="120" w:type="dxa"/>
          <w:bottom w:w="80" w:type="dxa"/>
          <w:end w:w="120" w:type="dxa"/>
        </w:tblCellMar>
      </w:tblPr>
      <w:tblGrid>
        <w:gridCol w:w="2399"/>
        <w:gridCol w:w="3361"/>
        <w:gridCol w:w="3600"/>
      </w:tblGrid>
      <w:tr>
        <w:trPr/>
        <w:tc>
          <w:tcPr>
            <w:tcW w:w="2399"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Période</w:t>
            </w:r>
          </w:p>
        </w:tc>
        <w:tc>
          <w:tcPr>
            <w:tcW w:w="3361"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Tâche</w:t>
            </w:r>
          </w:p>
        </w:tc>
        <w:tc>
          <w:tcPr>
            <w:tcW w:w="360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Objectif</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Fév – Avr 2026</w:t>
            </w:r>
          </w:p>
        </w:tc>
        <w:tc>
          <w:tcPr>
            <w:tcW w:w="3361"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SGOAM + Phase 0 + Phase 1 initiale</w:t>
            </w:r>
          </w:p>
        </w:tc>
        <w:tc>
          <w:tcPr>
            <w:tcW w:w="36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2E7D32"/>
                <w:sz w:val="20"/>
                <w:szCs w:val="20"/>
              </w:rPr>
              <w:t xml:space="preserve">✓ </w:t>
            </w:r>
            <w:r>
              <w:rPr>
                <w:rFonts w:eastAsia="Arial" w:cs="Arial"/>
                <w:b w:val="false"/>
                <w:bCs w:val="false"/>
                <w:i w:val="false"/>
                <w:iCs w:val="false"/>
                <w:color w:val="2E7D32"/>
                <w:sz w:val="20"/>
                <w:szCs w:val="20"/>
              </w:rPr>
              <w:t>Réalisé</w:t>
            </w:r>
          </w:p>
        </w:tc>
      </w:tr>
      <w:tr>
        <w:trPr/>
        <w:tc>
          <w:tcPr>
            <w:tcW w:w="2399"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Avr – Mai 2026</w:t>
            </w:r>
          </w:p>
        </w:tc>
        <w:tc>
          <w:tcPr>
            <w:tcW w:w="3361"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Phase 1 retrain + évaluation Qwen3</w:t>
            </w:r>
          </w:p>
        </w:tc>
        <w:tc>
          <w:tcPr>
            <w:tcW w:w="360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E65100"/>
                <w:sz w:val="20"/>
                <w:szCs w:val="20"/>
              </w:rPr>
              <w:t>En cours</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Mai – J</w:t>
            </w:r>
            <w:r>
              <w:rPr>
                <w:rFonts w:eastAsia="Arial" w:cs="Arial"/>
                <w:b w:val="false"/>
                <w:bCs w:val="false"/>
                <w:i w:val="false"/>
                <w:iCs w:val="false"/>
                <w:color w:val="000000"/>
                <w:sz w:val="20"/>
                <w:szCs w:val="20"/>
              </w:rPr>
              <w:t>u</w:t>
            </w:r>
            <w:r>
              <w:rPr>
                <w:rFonts w:eastAsia="Arial" w:cs="Arial"/>
                <w:b w:val="false"/>
                <w:bCs w:val="false"/>
                <w:i w:val="false"/>
                <w:iCs w:val="false"/>
                <w:color w:val="000000"/>
                <w:sz w:val="20"/>
                <w:szCs w:val="20"/>
              </w:rPr>
              <w:t>i</w:t>
            </w:r>
            <w:r>
              <w:rPr>
                <w:rFonts w:eastAsia="Arial" w:cs="Arial"/>
                <w:b w:val="false"/>
                <w:bCs w:val="false"/>
                <w:i w:val="false"/>
                <w:iCs w:val="false"/>
                <w:color w:val="000000"/>
                <w:sz w:val="20"/>
                <w:szCs w:val="20"/>
              </w:rPr>
              <w:t>n</w:t>
            </w:r>
            <w:r>
              <w:rPr>
                <w:rFonts w:eastAsia="Arial" w:cs="Arial"/>
                <w:b w:val="false"/>
                <w:bCs w:val="false"/>
                <w:i w:val="false"/>
                <w:iCs w:val="false"/>
                <w:color w:val="000000"/>
                <w:sz w:val="20"/>
                <w:szCs w:val="20"/>
              </w:rPr>
              <w:t xml:space="preserve"> 2026</w:t>
            </w:r>
          </w:p>
        </w:tc>
        <w:tc>
          <w:tcPr>
            <w:tcW w:w="3361"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Phase 2 — Agent LangGraph</w:t>
            </w:r>
          </w:p>
        </w:tc>
        <w:tc>
          <w:tcPr>
            <w:tcW w:w="36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i w:val="false"/>
                <w:iCs w:val="false"/>
                <w:color w:val="000000"/>
                <w:sz w:val="20"/>
                <w:szCs w:val="20"/>
              </w:rPr>
              <w:t>Pipeline complet</w:t>
            </w:r>
          </w:p>
        </w:tc>
      </w:tr>
      <w:tr>
        <w:trPr/>
        <w:tc>
          <w:tcPr>
            <w:tcW w:w="2399"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Juil 2026</w:t>
            </w:r>
          </w:p>
        </w:tc>
        <w:tc>
          <w:tcPr>
            <w:tcW w:w="3361"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Tests finaux + rapport de stage</w:t>
            </w:r>
          </w:p>
        </w:tc>
        <w:tc>
          <w:tcPr>
            <w:tcW w:w="360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i w:val="false"/>
                <w:iCs w:val="false"/>
                <w:color w:val="000000"/>
                <w:sz w:val="20"/>
                <w:szCs w:val="20"/>
              </w:rPr>
              <w:t>Soutenance PFE</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60" w:right="126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tabs>
        <w:tab w:val="clear" w:pos="720"/>
        <w:tab w:val="right" w:pos="9026" w:leader="none"/>
      </w:tabs>
      <w:spacing w:before="100" w:after="0"/>
      <w:rPr/>
    </w:pPr>
    <w:r>
      <w:rPr>
        <w:rFonts w:eastAsia="Arial" w:cs="Arial"/>
        <w:color w:val="606060"/>
        <w:sz w:val="18"/>
        <w:szCs w:val="18"/>
      </w:rPr>
      <w:t>Confidentiel — CID 2026</w:t>
      <w:tab/>
      <w:t xml:space="preserve">Page </w:t>
    </w:r>
    <w:r>
      <w:rPr/>
      <w:fldChar w:fldCharType="begin"/>
    </w:r>
    <w:r>
      <w:rPr/>
      <w:instrText xml:space="preserve"> PAGE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tabs>
        <w:tab w:val="clear" w:pos="720"/>
        <w:tab w:val="right" w:pos="9026" w:leader="none"/>
      </w:tabs>
      <w:spacing w:before="100" w:after="0"/>
      <w:rPr/>
    </w:pPr>
    <w:r>
      <w:rPr>
        <w:rFonts w:eastAsia="Arial" w:cs="Arial"/>
        <w:color w:val="606060"/>
        <w:sz w:val="18"/>
        <w:szCs w:val="18"/>
      </w:rPr>
      <w:t>Confidentiel — CID 2026</w:t>
      <w:tab/>
      <w:t xml:space="preserve">Page </w:t>
    </w:r>
    <w:r>
      <w:rPr/>
      <w:fldChar w:fldCharType="begin"/>
    </w:r>
    <w:r>
      <w:rPr/>
      <w:instrText xml:space="preserve"> PAGE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spacing w:before="0" w:after="100"/>
      <w:rPr/>
    </w:pPr>
    <w:r>
      <w:rPr>
        <w:rFonts w:eastAsia="Arial" w:cs="Arial"/>
        <w:color w:val="606060"/>
        <w:sz w:val="18"/>
        <w:szCs w:val="18"/>
      </w:rPr>
      <w:t>Résumé d'avancement — Stage PFE CID / ISMAGI 2026  |  Youssef Elhardouzi</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spacing w:before="0" w:after="100"/>
      <w:rPr/>
    </w:pPr>
    <w:r>
      <w:rPr>
        <w:rFonts w:eastAsia="Arial" w:cs="Arial"/>
        <w:color w:val="606060"/>
        <w:sz w:val="18"/>
        <w:szCs w:val="18"/>
      </w:rPr>
      <w:t>Résumé d'avancement — Stage PFE CID / ISMAGI 2026  |  Youssef Elhardouzi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fr-FR" w:eastAsia="zh-CN" w:bidi="hi-IN"/>
    </w:rPr>
  </w:style>
  <w:style w:type="paragraph" w:styleId="Heading1">
    <w:name w:val="heading 1"/>
    <w:basedOn w:val="Heading"/>
    <w:qFormat/>
    <w:pPr>
      <w:spacing w:before="280" w:after="140"/>
      <w:outlineLvl w:val="0"/>
    </w:pPr>
    <w:rPr>
      <w:rFonts w:ascii="Arial" w:hAnsi="Arial" w:eastAsia="Arial" w:cs="Arial"/>
      <w:b/>
      <w:bCs/>
      <w:color w:val="1F4E79"/>
      <w:sz w:val="30"/>
      <w:szCs w:val="30"/>
    </w:rPr>
  </w:style>
  <w:style w:type="paragraph" w:styleId="Heading2">
    <w:name w:val="heading 2"/>
    <w:basedOn w:val="Heading"/>
    <w:qFormat/>
    <w:pPr>
      <w:spacing w:before="200" w:after="100"/>
      <w:outlineLvl w:val="1"/>
    </w:pPr>
    <w:rPr>
      <w:rFonts w:ascii="Arial" w:hAnsi="Arial" w:eastAsia="Arial" w:cs="Arial"/>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LibreOffice/25.8.5.2$Linux_X86_64 LibreOffice_project/580$Build-2</Application>
  <AppVersion>15.0000</AppVersion>
  <Pages>7</Pages>
  <Words>1679</Words>
  <Characters>9493</Characters>
  <CharactersWithSpaces>11013</CharactersWithSpaces>
  <Paragraphs>209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2026-04-09T09:06:41Z</dcterms:created>
  <dc:creator>Un-named</dc:creator>
  <dc:description/>
  <dc:language>fr-FR</dc:language>
  <cp:lastModifiedBy/>
  <dcterms:modified xsi:type="dcterms:W3CDTF">2026-04-09T10:39:53Z</dcterms:modified>
  <cp:revision>2</cp:revision>
  <dc:subject/>
  <dc:title/>
</cp:coreProperties>
</file>