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5C" w:val="clear"/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"/>
          <w:szCs w:val="2"/>
        </w:rPr>
        <w:t xml:space="preserve"> 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CONSEIL INGÉNIERIE ET DÉVELOPPEMENT</w:t>
      </w:r>
    </w:p>
    <w:p>
      <w:pPr>
        <w:spacing w:before="0" w:after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44"/>
          <w:szCs w:val="44"/>
        </w:rPr>
        <w:t xml:space="preserve">CID</w:t>
      </w:r>
    </w:p>
    <w:p>
      <w:pPr>
        <w:pStyle w:val="Heading1"/>
        <w:pBdr>
          <w:top w:val="single" w:color="2E75B6" w:sz="6" w:space="10"/>
        </w:pBdr>
        <w:spacing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6"/>
          <w:szCs w:val="36"/>
        </w:rPr>
        <w:t xml:space="preserve">VLM Fine-Tuning Report — Phase 1</w:t>
      </w:r>
    </w:p>
    <w:p>
      <w:pPr>
        <w:spacing w:before="40"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Interim results — fine-tuning of Qwen2.5-VL-3B-Instruct</w:t>
      </w:r>
    </w:p>
    <w:p>
      <w:pPr>
        <w:shd w:fill="FFF3CD" w:val="clear"/>
        <w:spacing w:before="20" w:after="4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C00000"/>
          <w:sz w:val="18"/>
          <w:szCs w:val="18"/>
        </w:rPr>
        <w:t xml:space="preserve">⚠ Transitional document: these results will be updated after completing the Phase 0 addendum (evaluation of Qwen3-VL-2B and InternVL3.5-2B) and potential retraining of the selected model.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Intern</w:t>
            </w:r>
          </w:p>
        </w:tc>
        <w:tc>
          <w:tcPr>
            <w:tcW w:type="dxa" w:w="690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Youssef Elhardouzi</w:t>
            </w:r>
          </w:p>
        </w:tc>
      </w:tr>
      <w:tr>
        <w:tc>
          <w:tcPr>
            <w:tcW w:type="dxa" w:w="3000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Supervisor</w:t>
            </w:r>
          </w:p>
        </w:tc>
        <w:tc>
          <w:tcPr>
            <w:tcW w:type="dxa" w:w="690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Ismail Oubah</w:t>
            </w:r>
          </w:p>
        </w:tc>
      </w:tr>
      <w:tr>
        <w:tc>
          <w:tcPr>
            <w:tcW w:type="dxa" w:w="3000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Institution</w:t>
            </w:r>
          </w:p>
        </w:tc>
        <w:tc>
          <w:tcPr>
            <w:tcW w:type="dxa" w:w="690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ISMAGI</w:t>
            </w:r>
          </w:p>
        </w:tc>
      </w:tr>
      <w:tr>
        <w:tc>
          <w:tcPr>
            <w:tcW w:type="dxa" w:w="3000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690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March 2026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B3A5C" w:val="clear"/>
        <w:spacing w:before="3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"/>
          <w:szCs w:val="2"/>
        </w:rPr>
        <w:t xml:space="preserve"> </w:t>
      </w:r>
    </w:p>
    <w:p>
      <w:pPr>
        <w:sectPr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4" w:space="1"/>
        </w:pBdr>
        <w:shd w:fill="1B3A5C" w:val="clear"/>
        <w:spacing w:before="360" w:after="1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1. Context and Objectives</w:t>
      </w:r>
    </w:p>
    <w:p>
      <w:pPr>
        <w:pBdr>
          <w:top w:val="single" w:color="F5A623" w:sz="3" w:space="1"/>
          <w:bottom w:val="single" w:color="F5A623" w:sz="3" w:space="1"/>
          <w:left w:val="single" w:color="C00000" w:sz="12" w:space="1"/>
        </w:pBdr>
        <w:shd w:fill="FFF3CD" w:val="clear"/>
        <w:spacing w:before="120" w:after="12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i w:val="false"/>
          <w:iCs w:val="false"/>
          <w:color w:val="C00000"/>
          <w:sz w:val="19"/>
          <w:szCs w:val="19"/>
        </w:rPr>
        <w:t xml:space="preserve">Transitional document: these results will be updated after completing the Phase 0 addendum (evaluation of Qwen3-VL-2B and InternVL3.5-2B) and potential retraining of the selected model.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report documents the results of Phase 1 of the PFE project: fine-tuning a vision-language model (VLM) to automatically generate bridge inspection commentaries in French, following the ITSEOA standard (Instructions Techniques pour la Surveillance et l'Entretien des Ouvrages d'Art).</w:t>
      </w:r>
    </w:p>
    <w:p>
      <w:pPr>
        <w:spacing w:before="4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objective of Phase 1 is to demonstrate the feasibility of fine-tuning on the available dataset and to establish a fine-tuned baseline from which subsequent phases can improve.</w:t>
      </w:r>
    </w:p>
    <w:p>
      <w:pPr>
        <w:pStyle w:val="Heading2"/>
        <w:pBdr>
          <w:bottom w:val="single" w:color="BDD7EE" w:sz="2" w:space="1"/>
        </w:pBdr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1.1 Defined task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Input</w:t>
            </w:r>
          </w:p>
        </w:tc>
        <w:tc>
          <w:tcPr>
            <w:tcW w:type="dxa" w:w="690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Image of a bridge structure defect (inspection photograph)</w:t>
            </w:r>
          </w:p>
        </w:tc>
      </w:tr>
      <w:tr>
        <w:tc>
          <w:tcPr>
            <w:tcW w:type="dxa" w:w="3000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Expected output</w:t>
            </w:r>
          </w:p>
        </w:tc>
        <w:tc>
          <w:tcPr>
            <w:tcW w:type="dxa" w:w="690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Structured ITSEOA commentary: Probable causes | Severity | Recommended actions</w:t>
            </w:r>
          </w:p>
        </w:tc>
      </w:tr>
      <w:tr>
        <w:tc>
          <w:tcPr>
            <w:tcW w:type="dxa" w:w="3000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Base model</w:t>
            </w:r>
          </w:p>
        </w:tc>
        <w:tc>
          <w:tcPr>
            <w:tcW w:type="dxa" w:w="690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Qwen2.5-VL-3B-Instruct (Apache 2.0, 3 billion parameters)</w:t>
            </w:r>
          </w:p>
        </w:tc>
      </w:tr>
      <w:tr>
        <w:tc>
          <w:tcPr>
            <w:tcW w:type="dxa" w:w="3000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Method</w:t>
            </w:r>
          </w:p>
        </w:tc>
        <w:tc>
          <w:tcPr>
            <w:tcW w:type="dxa" w:w="690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QLoRA (Quantized Low-Rank Adaptation), rank 16</w:t>
            </w:r>
          </w:p>
        </w:tc>
      </w:tr>
      <w:tr>
        <w:tc>
          <w:tcPr>
            <w:tcW w:type="dxa" w:w="3000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690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Google Colab T4 (16 GB VRAM), LlamaFactory v0.9.4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1"/>
        </w:pBdr>
        <w:shd w:fill="1B3A5C" w:val="clear"/>
        <w:spacing w:before="360" w:after="1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2. Dataset and Preprocessing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ITSEOA dataset was built from the ITSEOA technical fascicles provided by CID. Each sample pairs a defect image with a structured expert commentary.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4953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Total samples</w:t>
            </w:r>
          </w:p>
        </w:tc>
        <w:tc>
          <w:tcPr>
            <w:tcW w:type="dxa" w:w="690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214</w:t>
            </w:r>
          </w:p>
        </w:tc>
      </w:tr>
      <w:tr>
        <w:tc>
          <w:tcPr>
            <w:tcW w:type="dxa" w:w="3000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Training</w:t>
            </w:r>
          </w:p>
        </w:tc>
        <w:tc>
          <w:tcPr>
            <w:tcW w:type="dxa" w:w="690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192 (90%)</w:t>
            </w:r>
          </w:p>
        </w:tc>
      </w:tr>
      <w:tr>
        <w:tc>
          <w:tcPr>
            <w:tcW w:type="dxa" w:w="3000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Validation</w:t>
            </w:r>
          </w:p>
        </w:tc>
        <w:tc>
          <w:tcPr>
            <w:tcW w:type="dxa" w:w="690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22 (10%)</w:t>
            </w:r>
          </w:p>
        </w:tc>
      </w:tr>
      <w:tr>
        <w:tc>
          <w:tcPr>
            <w:tcW w:type="dxa" w:w="3000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Format</w:t>
            </w:r>
          </w:p>
        </w:tc>
        <w:tc>
          <w:tcPr>
            <w:tcW w:type="dxa" w:w="690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JSON ShareGPT (role/content)</w:t>
            </w:r>
          </w:p>
        </w:tc>
      </w:tr>
      <w:tr>
        <w:tc>
          <w:tcPr>
            <w:tcW w:type="dxa" w:w="3000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Image types</w:t>
            </w:r>
          </w:p>
        </w:tc>
        <w:tc>
          <w:tcPr>
            <w:tcW w:type="dxa" w:w="690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Inspection photographs, technical drawings</w:t>
            </w:r>
          </w:p>
        </w:tc>
      </w:tr>
      <w:tr>
        <w:tc>
          <w:tcPr>
            <w:tcW w:type="dxa" w:w="3000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Commentary language</w:t>
            </w:r>
          </w:p>
        </w:tc>
        <w:tc>
          <w:tcPr>
            <w:tcW w:type="dxa" w:w="690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French (ITSEOA terminology)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Each commentary follows the ITSEOA three-part structure: (1) Probable causes, (2) Severity, (3) Recommended actions with ES (Specialised Maintenance) and R (Repair) codes.</w:t>
      </w:r>
    </w:p>
    <w:p>
      <w:r>
        <w:br w:type="page"/>
      </w:r>
    </w:p>
    <w:p>
      <w:pPr>
        <w:pStyle w:val="Heading1"/>
        <w:pBdr>
          <w:bottom w:val="single" w:color="2E75B6" w:sz="4" w:space="1"/>
        </w:pBdr>
        <w:shd w:fill="1B3A5C" w:val="clear"/>
        <w:spacing w:before="360" w:after="1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3. Training Configuration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Training was performed with LlamaFactory v0.9.4 using QLoRA, which enables fine-tuning of large models with limited GPU resources by quantising the base model to 4 bits and training only low-rank matrices.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Hyperparameter</w:t>
            </w:r>
          </w:p>
        </w:tc>
        <w:tc>
          <w:tcPr>
            <w:tcW w:type="dxa" w:w="4953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Method</w:t>
            </w:r>
          </w:p>
        </w:tc>
        <w:tc>
          <w:tcPr>
            <w:tcW w:type="dxa" w:w="690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QLoRA (LoRA rank=16, alpha=32)</w:t>
            </w:r>
          </w:p>
        </w:tc>
      </w:tr>
      <w:tr>
        <w:tc>
          <w:tcPr>
            <w:tcW w:type="dxa" w:w="3000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Quantisation</w:t>
            </w:r>
          </w:p>
        </w:tc>
        <w:tc>
          <w:tcPr>
            <w:tcW w:type="dxa" w:w="690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4-bit (bitsandbytes)</w:t>
            </w:r>
          </w:p>
        </w:tc>
      </w:tr>
      <w:tr>
        <w:tc>
          <w:tcPr>
            <w:tcW w:type="dxa" w:w="3000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Epochs</w:t>
            </w:r>
          </w:p>
        </w:tc>
        <w:tc>
          <w:tcPr>
            <w:tcW w:type="dxa" w:w="690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000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Effective batch size</w:t>
            </w:r>
          </w:p>
        </w:tc>
        <w:tc>
          <w:tcPr>
            <w:tcW w:type="dxa" w:w="690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16 (batch=2 × grad_accum=8)</w:t>
            </w:r>
          </w:p>
        </w:tc>
      </w:tr>
      <w:tr>
        <w:tc>
          <w:tcPr>
            <w:tcW w:type="dxa" w:w="3000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Learning rate</w:t>
            </w:r>
          </w:p>
        </w:tc>
        <w:tc>
          <w:tcPr>
            <w:tcW w:type="dxa" w:w="690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 × 10⁻⁴</w:t>
            </w:r>
          </w:p>
        </w:tc>
      </w:tr>
      <w:tr>
        <w:tc>
          <w:tcPr>
            <w:tcW w:type="dxa" w:w="3000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Trainable parameters</w:t>
            </w:r>
          </w:p>
        </w:tc>
        <w:tc>
          <w:tcPr>
            <w:tcW w:type="dxa" w:w="690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29,933,568 / 3,784,556,544 (0.79%)</w:t>
            </w:r>
          </w:p>
        </w:tc>
      </w:tr>
      <w:tr>
        <w:tc>
          <w:tcPr>
            <w:tcW w:type="dxa" w:w="3000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Target modules</w:t>
            </w:r>
          </w:p>
        </w:tc>
        <w:tc>
          <w:tcPr>
            <w:tcW w:type="dxa" w:w="690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q_proj, k_proj, v_proj, o_proj, gate_proj, up_proj, down_proj</w:t>
            </w:r>
          </w:p>
        </w:tc>
      </w:tr>
      <w:tr>
        <w:tc>
          <w:tcPr>
            <w:tcW w:type="dxa" w:w="3000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Vision encoder</w:t>
            </w:r>
          </w:p>
        </w:tc>
        <w:tc>
          <w:tcPr>
            <w:tcW w:type="dxa" w:w="690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Frozen (not trained)</w:t>
            </w:r>
          </w:p>
        </w:tc>
      </w:tr>
      <w:tr>
        <w:tc>
          <w:tcPr>
            <w:tcW w:type="dxa" w:w="3000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Total duration</w:t>
            </w:r>
          </w:p>
        </w:tc>
        <w:tc>
          <w:tcPr>
            <w:tcW w:type="dxa" w:w="690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51 minutes 16 seconds</w:t>
            </w:r>
          </w:p>
        </w:tc>
      </w:tr>
      <w:tr>
        <w:tc>
          <w:tcPr>
            <w:tcW w:type="dxa" w:w="3000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Steps</w:t>
            </w:r>
          </w:p>
        </w:tc>
        <w:tc>
          <w:tcPr>
            <w:tcW w:type="dxa" w:w="690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36 (192 samples × 3 epochs ÷ 16 batch)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Training loss converged from 2.25 (step 1) to 1.55 (step 36), with a final validation loss of 1.56 — consistent with training loss, indicating no significant overfitting.</w:t>
      </w:r>
    </w:p>
    <w:p>
      <w:r>
        <w:br w:type="page"/>
      </w:r>
    </w:p>
    <w:p>
      <w:pPr>
        <w:pStyle w:val="Heading1"/>
        <w:pBdr>
          <w:bottom w:val="single" w:color="2E75B6" w:sz="4" w:space="1"/>
        </w:pBdr>
        <w:shd w:fill="1B3A5C" w:val="clear"/>
        <w:spacing w:before="360" w:after="1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4. Quantitative Results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ROUGE-L evaluation was performed on the 22 validation samples by comparing model-generated commentaries (with QLoRA adapter loaded) against ITSEOA expert reference commentaries.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2476"/>
        <w:gridCol w:w="2476"/>
        <w:gridCol w:w="2476"/>
      </w:tblGrid>
      <w:tr>
        <w:trPr>
          <w:tblHeader/>
        </w:trPr>
        <w:tc>
          <w:tcPr>
            <w:tcW w:type="dxa" w:w="247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7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ROUGE-L</w:t>
            </w:r>
          </w:p>
        </w:tc>
        <w:tc>
          <w:tcPr>
            <w:tcW w:type="dxa" w:w="247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7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ROUGE-L</w:t>
            </w:r>
          </w:p>
        </w:tc>
      </w:tr>
      <w:tr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0.2059</w:t>
            </w:r>
          </w:p>
        </w:tc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</w:t>
            </w:r>
          </w:p>
        </w:tc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0.1965</w:t>
            </w:r>
          </w:p>
        </w:tc>
      </w:tr>
      <w:tr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0.2460</w:t>
            </w:r>
          </w:p>
        </w:tc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631"/>
                <w:sz w:val="18"/>
                <w:szCs w:val="18"/>
              </w:rPr>
              <w:t xml:space="preserve">0.3243</w:t>
            </w:r>
          </w:p>
        </w:tc>
      </w:tr>
      <w:tr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0.1797</w:t>
            </w:r>
          </w:p>
        </w:tc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6</w:t>
            </w:r>
          </w:p>
        </w:tc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0.1975</w:t>
            </w:r>
          </w:p>
        </w:tc>
      </w:tr>
      <w:tr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7</w:t>
            </w:r>
          </w:p>
        </w:tc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0.2357</w:t>
            </w:r>
          </w:p>
        </w:tc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8</w:t>
            </w:r>
          </w:p>
        </w:tc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631"/>
                <w:sz w:val="18"/>
                <w:szCs w:val="18"/>
              </w:rPr>
              <w:t xml:space="preserve">0.3182</w:t>
            </w:r>
          </w:p>
        </w:tc>
      </w:tr>
      <w:tr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9</w:t>
            </w:r>
          </w:p>
        </w:tc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0.2198</w:t>
            </w:r>
          </w:p>
        </w:tc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10</w:t>
            </w:r>
          </w:p>
        </w:tc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0.1697</w:t>
            </w:r>
          </w:p>
        </w:tc>
      </w:tr>
      <w:tr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11</w:t>
            </w:r>
          </w:p>
        </w:tc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0.1515</w:t>
            </w:r>
          </w:p>
        </w:tc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12</w:t>
            </w:r>
          </w:p>
        </w:tc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0.2237</w:t>
            </w:r>
          </w:p>
        </w:tc>
      </w:tr>
      <w:tr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13</w:t>
            </w:r>
          </w:p>
        </w:tc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0.1296</w:t>
            </w:r>
          </w:p>
        </w:tc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14</w:t>
            </w:r>
          </w:p>
        </w:tc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0.1860</w:t>
            </w:r>
          </w:p>
        </w:tc>
      </w:tr>
      <w:tr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15</w:t>
            </w:r>
          </w:p>
        </w:tc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0.1809</w:t>
            </w:r>
          </w:p>
        </w:tc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16</w:t>
            </w:r>
          </w:p>
        </w:tc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0.2112</w:t>
            </w:r>
          </w:p>
        </w:tc>
      </w:tr>
      <w:tr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17</w:t>
            </w:r>
          </w:p>
        </w:tc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631"/>
                <w:sz w:val="18"/>
                <w:szCs w:val="18"/>
              </w:rPr>
              <w:t xml:space="preserve">0.2657</w:t>
            </w:r>
          </w:p>
        </w:tc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18</w:t>
            </w:r>
          </w:p>
        </w:tc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0.1837</w:t>
            </w:r>
          </w:p>
        </w:tc>
      </w:tr>
      <w:tr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19</w:t>
            </w:r>
          </w:p>
        </w:tc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0.2100</w:t>
            </w:r>
          </w:p>
        </w:tc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20</w:t>
            </w:r>
          </w:p>
        </w:tc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0.1270</w:t>
            </w:r>
          </w:p>
        </w:tc>
      </w:tr>
      <w:tr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21</w:t>
            </w:r>
          </w:p>
        </w:tc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0.1910</w:t>
            </w:r>
          </w:p>
        </w:tc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22</w:t>
            </w:r>
          </w:p>
        </w:tc>
        <w:tc>
          <w:tcPr>
            <w:tcW w:type="dxa" w:w="2476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0.1481</w:t>
            </w:r>
          </w:p>
        </w:tc>
      </w:tr>
      <w:tr>
        <w:tc>
          <w:tcPr>
            <w:tcW w:type="dxa" w:w="495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Average (22 samples)</w:t>
            </w:r>
          </w:p>
        </w:tc>
        <w:tc>
          <w:tcPr>
            <w:tcW w:type="dxa" w:w="247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0.2046</w:t>
            </w:r>
          </w:p>
        </w:tc>
        <w:tc>
          <w:tcPr>
            <w:tcW w:type="dxa" w:w="247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5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5555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Zero-shot baseline (Phase 0)</w:t>
            </w:r>
          </w:p>
        </w:tc>
        <w:tc>
          <w:tcPr>
            <w:tcW w:type="dxa" w:w="247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5555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0.1452</w:t>
            </w:r>
          </w:p>
        </w:tc>
        <w:tc>
          <w:tcPr>
            <w:tcW w:type="dxa" w:w="247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5555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5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563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Improvement</w:t>
            </w:r>
          </w:p>
        </w:tc>
        <w:tc>
          <w:tcPr>
            <w:tcW w:type="dxa" w:w="247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563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+40.9%</w:t>
            </w:r>
          </w:p>
        </w:tc>
        <w:tc>
          <w:tcPr>
            <w:tcW w:type="dxa" w:w="247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E563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fine-tuned model achieves a +40.9% improvement over the zero-shot baseline established in Phase 0. High scores (≥0.25, in green) correspond to samples where the model correctly identified the component category.</w:t>
      </w:r>
    </w:p>
    <w:p>
      <w:r>
        <w:br w:type="page"/>
      </w:r>
    </w:p>
    <w:p>
      <w:pPr>
        <w:pStyle w:val="Heading1"/>
        <w:pBdr>
          <w:bottom w:val="single" w:color="2E75B6" w:sz="4" w:space="1"/>
        </w:pBdr>
        <w:shd w:fill="1B3A5C" w:val="clear"/>
        <w:spacing w:before="360" w:after="1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5. Qualitative Analysis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Qualitative analysis of model outputs reveals two distinct characteristics of the fine-tuned model.</w:t>
      </w:r>
    </w:p>
    <w:p>
      <w:pPr>
        <w:pStyle w:val="Heading2"/>
        <w:pBdr>
          <w:bottom w:val="single" w:color="BDD7EE" w:sz="2" w:space="1"/>
        </w:pBdr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5.1 Confirmed acquisition: ITSEOA structure</w:t>
      </w:r>
    </w:p>
    <w:p>
      <w:pPr>
        <w:spacing w:before="6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Across all 5 analysed examples, the model perfectly reproduces the three-part structure (Probable causes / Severity / Recommended actions), bullet point formatting, ES/R codes, and French technical register. This is the primary achievement of Phase 1.</w:t>
      </w:r>
    </w:p>
    <w:p>
      <w:pPr>
        <w:pStyle w:val="Heading2"/>
        <w:pBdr>
          <w:bottom w:val="single" w:color="BDD7EE" w:sz="2" w:space="1"/>
        </w:pBdr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5.2 Identified limitation: insufficient visual grounding</w:t>
      </w:r>
    </w:p>
    <w:p>
      <w:pPr>
        <w:spacing w:before="6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model does not yet reliably discriminate the specific defect visible in the image. It generates structurally correct commentaries but sometimes for a different defect than the one photographed. Notable exception: when the component is visually distinctive (e.g. prefabricated cornice), the model more often lands in the correct defect family.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  <w:gridCol w:w="4953"/>
        <w:gridCol w:w="4953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 1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5A623"/>
                <w:sz w:val="18"/>
                <w:szCs w:val="18"/>
              </w:rPr>
              <w:t xml:space="preserve">ROUGE-L : 0.1296</w:t>
            </w:r>
          </w:p>
        </w:tc>
      </w:tr>
      <w:tr>
        <w:tc>
          <w:tcPr>
            <w:tcW w:type="dxa" w:w="4953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Generated by fine-tuned model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Probable causes: design and/or construction defect (element misalignment); construction defect (missing fastening, deformed fixings, impact). | Severity: variable depending on the extent of the disorder. | Recommended actions: ES: review design, construction and fixings. R: replace affected elements.</w:t>
            </w:r>
          </w:p>
        </w:tc>
        <w:tc>
          <w:tcPr>
            <w:tcW w:type="dxa" w:w="4953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631"/>
                <w:sz w:val="17"/>
                <w:szCs w:val="17"/>
              </w:rPr>
              <w:t xml:space="preserve">ITSEOA expert reference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Possible consequences: erosion channels; finishing defects; difficult maintenance. | Probable causes: design choice. | Severity: minor unless subsequent disorders reach buried foundation parts. | Recommended actions: ES/R: if necessary, construct stone pitching with platform. Check water drainage devices.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  <w:gridCol w:w="4953"/>
        <w:gridCol w:w="4953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 2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5A623"/>
                <w:sz w:val="18"/>
                <w:szCs w:val="18"/>
              </w:rPr>
              <w:t xml:space="preserve">ROUGE-L : 0.2357</w:t>
            </w:r>
          </w:p>
        </w:tc>
      </w:tr>
      <w:tr>
        <w:tc>
          <w:tcPr>
            <w:tcW w:type="dxa" w:w="4953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Generated by fine-tuned model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Probable causes: installation defect; defective re-fixing on the cornice; accidental impacts. | Severity: variable depending on degradation severity relative to user safety. | Recommended actions: analyse the disorder and repair. In case of widespread disorder, the entire cornice may be replaced.</w:t>
            </w:r>
          </w:p>
        </w:tc>
        <w:tc>
          <w:tcPr>
            <w:tcW w:type="dxa" w:w="4953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631"/>
                <w:sz w:val="17"/>
                <w:szCs w:val="17"/>
              </w:rPr>
              <w:t xml:space="preserve">ITSEOA expert reference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Prefabricated cornices: observable in situ: corrosion of connection devices; cracking in upper part of cornice (between connections). | Probable causes: inadequate design provisions, insufficient number of connections, high risk of water penetration.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  <w:gridCol w:w="4953"/>
        <w:gridCol w:w="4953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 3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5A623"/>
                <w:sz w:val="18"/>
                <w:szCs w:val="18"/>
              </w:rPr>
              <w:t xml:space="preserve">ROUGE-L : 0.2100</w:t>
            </w:r>
          </w:p>
        </w:tc>
      </w:tr>
      <w:tr>
        <w:tc>
          <w:tcPr>
            <w:tcW w:type="dxa" w:w="4953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Generated by fine-tuned model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Probable causes: design defect (low concrete retention); functional defect (material evolution); abnormal movements (excessive opening). | Severity: variable depending on safety consequences. | Recommended actions: ES: repair or replace the structure.</w:t>
            </w:r>
          </w:p>
        </w:tc>
        <w:tc>
          <w:tcPr>
            <w:tcW w:type="dxa" w:w="4953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631"/>
                <w:sz w:val="17"/>
                <w:szCs w:val="17"/>
              </w:rPr>
              <w:t xml:space="preserve">ITSEOA expert reference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Probable causes: defective connection between gargoyle and downpipe; gargoyle pipe too short; defective connection between gargoyle plate and waterproofing membrane. | Severity: minor in the short term (aesthetic problem) but risk of medium-term deterioration through degradation of concrete cover.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1"/>
        </w:pBdr>
        <w:shd w:fill="1B3A5C" w:val="clear"/>
        <w:spacing w:before="360" w:after="1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6. Limitations and Next Steps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BDD7EE" w:sz="2" w:space="1"/>
        </w:pBdr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6.1 Limitations</w:t>
      </w:r>
    </w:p>
    <w:p>
      <w:pPr>
        <w:spacing w:before="40" w:after="4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The 214-sample dataset is insufficient for reliable visual grounding. Most defect types have fewer than 10 training examples, preventing the model from learning the image → specific defect correspondence.</w:t>
      </w:r>
    </w:p>
    <w:p>
      <w:pPr>
        <w:spacing w:before="20" w:after="4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The "Annexes 12X" artefact observed in some outputs indicates partial memorisation of ITSEOA corpus page numbers — a preprocessing issue to fix in future iterations.</w:t>
      </w:r>
    </w:p>
    <w:p>
      <w:pPr>
        <w:spacing w:before="20" w:after="8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• The vision encoder is fully frozen during QLoRA training. Only the LoRA matrices of the language transformer are trained, limiting visual adaptation capacity.</w:t>
      </w:r>
    </w:p>
    <w:p>
      <w:pPr>
        <w:pStyle w:val="Heading2"/>
        <w:pBdr>
          <w:bottom w:val="single" w:color="BDD7EE" w:sz="2" w:space="1"/>
        </w:pBdr>
        <w:spacing w:before="200" w:after="1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6.2 Next steps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2"/>
        <w:gridCol w:w="5943"/>
      </w:tblGrid>
      <w:tr>
        <w:trPr>
          <w:tblHeader/>
        </w:trPr>
        <w:tc>
          <w:tcPr>
            <w:tcW w:type="dxa" w:w="396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943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962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Phase 0 addendum</w:t>
            </w:r>
          </w:p>
        </w:tc>
        <w:tc>
          <w:tcPr>
            <w:tcW w:type="dxa" w:w="5943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Zero-shot evaluation of Qwen3-VL-2B and InternVL3.5-2B on the same dataset. If one of these models outperforms Qwen2.5-VL-3B in zero-shot, Phase 1 will be re-run with that model.</w:t>
            </w:r>
          </w:p>
        </w:tc>
      </w:tr>
      <w:tr>
        <w:tc>
          <w:tcPr>
            <w:tcW w:type="dxa" w:w="3962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Phase 1 retraining (conditional)</w:t>
            </w:r>
          </w:p>
        </w:tc>
        <w:tc>
          <w:tcPr>
            <w:tcW w:type="dxa" w:w="5943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If the selected model changes, full retraining with the same hyperparameters. This report will then be superseded by the final Phase 1 report.</w:t>
            </w:r>
          </w:p>
        </w:tc>
      </w:tr>
      <w:tr>
        <w:tc>
          <w:tcPr>
            <w:tcW w:type="dxa" w:w="3962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0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Phase 2 — LangGraph</w:t>
            </w:r>
          </w:p>
        </w:tc>
        <w:tc>
          <w:tcPr>
            <w:tcW w:type="dxa" w:w="5943"/>
            <w:gridSpan w:val="1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Development of a LangGraph agent combining the fine-tuned VLM with an ITSEOA knowledge base to improve defect-specific grounding without requiring a larger dataset.</w:t>
            </w:r>
          </w:p>
        </w:tc>
      </w:tr>
    </w:tbl>
    <w:sectPr>
      <w:headerReference w:type="default" r:id="rId6"/>
      <w:footerReference w:type="default" r:id="rId7"/>
      <w:type w:val="nextPage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3" w:space="1"/>
      </w:pBdr>
      <w:spacing w:before="0" w:after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Youssef Elhardouzi — CID  </w:t>
    </w:r>
    <w:r>
      <w:rPr>
        <w:rFonts w:ascii="Arial" w:cs="Arial" w:eastAsia="Arial" w:hAnsi="Arial"/>
        <w:b w:val="false"/>
        <w:bCs w:val="false"/>
        <w:i w:val="false"/>
        <w:iCs w:val="false"/>
        <w:color w:val="BDD7EE"/>
        <w:sz w:val="16"/>
        <w:szCs w:val="16"/>
      </w:rPr>
      <w:t xml:space="preserve">|  </w:t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March 2026  </w:t>
    </w:r>
    <w:r>
      <w:rPr>
        <w:rFonts w:ascii="Arial" w:cs="Arial" w:eastAsia="Arial" w:hAnsi="Arial"/>
        <w:b w:val="false"/>
        <w:bCs w:val="false"/>
        <w:i w:val="false"/>
        <w:iCs w:val="false"/>
        <w:color w:val="BDD7EE"/>
        <w:sz w:val="16"/>
        <w:szCs w:val="16"/>
      </w:rPr>
      <w:t xml:space="preserve">|  </w:t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1"/>
      </w:pBdr>
      <w:spacing w:before="0" w:after="0"/>
    </w:pPr>
    <w:r>
      <w:rPr>
        <w:rFonts w:ascii="Arial" w:cs="Arial" w:eastAsia="Arial" w:hAnsi="Arial"/>
        <w:b/>
        <w:bCs/>
        <w:i w:val="false"/>
        <w:iCs w:val="false"/>
        <w:color w:val="2E75B6"/>
        <w:sz w:val="18"/>
        <w:szCs w:val="18"/>
      </w:rPr>
      <w:t xml:space="preserve">CID — VLM Phase 1  </w:t>
    </w:r>
    <w:r>
      <w:rPr>
        <w:rFonts w:ascii="Arial" w:cs="Arial" w:eastAsia="Arial" w:hAnsi="Arial"/>
        <w:b w:val="false"/>
        <w:bCs w:val="false"/>
        <w:i w:val="false"/>
        <w:iCs w:val="false"/>
        <w:color w:val="BDD7EE"/>
        <w:sz w:val="18"/>
        <w:szCs w:val="18"/>
      </w:rPr>
      <w:t xml:space="preserve">|  </w:t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8"/>
        <w:szCs w:val="18"/>
      </w:rPr>
      <w:t xml:space="preserve">Phase 1 Report — VLM Fine-Tuning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2026-03-24T09:16:13.053Z</dcterms:created>
  <dcterms:modified xsi:type="dcterms:W3CDTF">2026-03-24T09:16:13.053Z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