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before="0" w:after="0"/>
      </w:pPr>
      <w:r>
        <w:rPr>
          <w:rFonts w:ascii="Arial" w:cs="Arial" w:eastAsia="Arial" w:hAnsi="Arial"/>
          <w:b w:val="false"/>
          <w:bCs w:val="false"/>
          <w:i w:val="false"/>
          <w:iCs w:val="false"/>
          <w:color w:val="1A1A1A"/>
          <w:sz w:val="2"/>
          <w:szCs w:val="2"/>
        </w:rPr>
        <w:t xml:space="preserve"> </w:t>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2"/>
          <w:szCs w:val="22"/>
        </w:rPr>
        <w:t xml:space="preserve"/>
      </w:r>
    </w:p>
    <w:p>
      <w:pPr>
        <w:spacing w:before="0" w:after="60"/>
        <w:jc w:val="center"/>
      </w:pPr>
      <w:r>
        <w:rPr>
          <w:rFonts w:ascii="Arial" w:cs="Arial" w:eastAsia="Arial" w:hAnsi="Arial"/>
          <w:b/>
          <w:bCs/>
          <w:i w:val="false"/>
          <w:iCs w:val="false"/>
          <w:color w:val="2E75B6"/>
          <w:sz w:val="20"/>
          <w:szCs w:val="20"/>
        </w:rPr>
        <w:t xml:space="preserve">CONSEIL INGÉNIERIE ET DÉVELOPPEMENT</w:t>
      </w:r>
    </w:p>
    <w:p>
      <w:pPr>
        <w:spacing w:before="0" w:after="300"/>
        <w:jc w:val="center"/>
      </w:pPr>
      <w:r>
        <w:rPr>
          <w:rFonts w:ascii="Arial" w:cs="Arial" w:eastAsia="Arial" w:hAnsi="Arial"/>
          <w:b/>
          <w:bCs/>
          <w:i w:val="false"/>
          <w:iCs w:val="false"/>
          <w:color w:val="1B3A5C"/>
          <w:sz w:val="44"/>
          <w:szCs w:val="44"/>
        </w:rPr>
        <w:t xml:space="preserve">CID</w:t>
      </w:r>
    </w:p>
    <w:p>
      <w:pPr>
        <w:pStyle w:val="Heading1"/>
        <w:pBdr>
          <w:top w:val="single" w:color="2E75B6" w:sz="6" w:space="10"/>
        </w:pBdr>
        <w:spacing w:before="0" w:after="80"/>
        <w:jc w:val="center"/>
      </w:pPr>
      <w:r>
        <w:rPr>
          <w:rFonts w:ascii="Arial" w:cs="Arial" w:eastAsia="Arial" w:hAnsi="Arial"/>
          <w:b/>
          <w:bCs/>
          <w:i w:val="false"/>
          <w:iCs w:val="false"/>
          <w:color w:val="1B3A5C"/>
          <w:sz w:val="36"/>
          <w:szCs w:val="36"/>
        </w:rPr>
        <w:t xml:space="preserve">Rapport de Fine-Tuning VLM — Phase 1</w:t>
      </w:r>
    </w:p>
    <w:p>
      <w:pPr>
        <w:spacing w:before="40" w:after="60"/>
        <w:jc w:val="center"/>
      </w:pPr>
      <w:r>
        <w:rPr>
          <w:rFonts w:ascii="Arial" w:cs="Arial" w:eastAsia="Arial" w:hAnsi="Arial"/>
          <w:b w:val="false"/>
          <w:bCs w:val="false"/>
          <w:i/>
          <w:iCs/>
          <w:color w:val="555555"/>
          <w:sz w:val="22"/>
          <w:szCs w:val="22"/>
        </w:rPr>
        <w:t xml:space="preserve">Résultats intermédiaires — affinement de Qwen2.5-VL-3B-Instruct</w:t>
      </w:r>
    </w:p>
    <w:p>
      <w:pPr>
        <w:shd w:fill="FFF3CD" w:val="clear"/>
        <w:spacing w:before="20" w:after="400"/>
        <w:jc w:val="center"/>
      </w:pPr>
      <w:r>
        <w:rPr>
          <w:rFonts w:ascii="Arial" w:cs="Arial" w:eastAsia="Arial" w:hAnsi="Arial"/>
          <w:b w:val="false"/>
          <w:bCs w:val="false"/>
          <w:i/>
          <w:iCs/>
          <w:color w:val="C00000"/>
          <w:sz w:val="18"/>
          <w:szCs w:val="18"/>
        </w:rPr>
        <w:t xml:space="preserve">⚠ Document intermédiaire : ces résultats seront mis à jour après la réalisation du Phase 0 addendum (évaluation de Qwen3-VL-2B et InternVL3.5-2B) et le retraining éventuel du modèle sélectionné.</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Stagiaire</w:t>
            </w:r>
          </w:p>
        </w:tc>
        <w:tc>
          <w:tcPr>
            <w:tcW w:type="dxa" w:w="690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Youssef Elhardouzi</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Encadrant</w:t>
            </w:r>
          </w:p>
        </w:tc>
        <w:tc>
          <w:tcPr>
            <w:tcW w:type="dxa" w:w="690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Ismail Oubah</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Établissement</w:t>
            </w:r>
          </w:p>
        </w:tc>
        <w:tc>
          <w:tcPr>
            <w:tcW w:type="dxa" w:w="690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ISMAGI</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Date</w:t>
            </w:r>
          </w:p>
        </w:tc>
        <w:tc>
          <w:tcPr>
            <w:tcW w:type="dxa" w:w="690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Mars 2026</w:t>
            </w:r>
          </w:p>
        </w:tc>
      </w:tr>
    </w:tbl>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2"/>
          <w:szCs w:val="22"/>
        </w:rPr>
        <w:t xml:space="preserve"/>
      </w:r>
    </w:p>
    <w:p>
      <w:pPr>
        <w:shd w:fill="1B3A5C" w:val="clear"/>
        <w:spacing w:before="360" w:after="0"/>
      </w:pPr>
      <w:r>
        <w:rPr>
          <w:rFonts w:ascii="Arial" w:cs="Arial" w:eastAsia="Arial" w:hAnsi="Arial"/>
          <w:b w:val="false"/>
          <w:bCs w:val="false"/>
          <w:i w:val="false"/>
          <w:iCs w:val="false"/>
          <w:color w:val="1A1A1A"/>
          <w:sz w:val="2"/>
          <w:szCs w:val="2"/>
        </w:rPr>
        <w:t xml:space="preserve"> </w:t>
      </w:r>
    </w:p>
    <w:p>
      <w:pPr>
        <w:sectPr>
          <w:pgSz w:w="11906" w:h="16838" w:orient="portrait"/>
          <w:pgMar w:top="1000" w:right="1000" w:bottom="1000" w:left="1000" w:header="708" w:footer="708" w:gutter="0"/>
          <w:pgNumType/>
          <w:docGrid w:linePitch="360"/>
        </w:sectPr>
      </w:pPr>
    </w:p>
    <w:p>
      <w:pPr>
        <w:pStyle w:val="Heading1"/>
      </w:pPr>
      <w:r>
        <w:rPr>
          <w:rFonts w:ascii="Arial" w:cs="Arial" w:eastAsia="Arial" w:hAnsi="Arial"/>
          <w:b/>
          <w:bCs/>
          <w:i w:val="false"/>
          <w:iCs w:val="false"/>
          <w:color w:val="1B3A5C"/>
          <w:sz w:val="32"/>
          <w:szCs w:val="32"/>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4" w:space="1"/>
        </w:pBdr>
        <w:shd w:fill="1B3A5C" w:val="clear"/>
        <w:spacing w:before="360" w:after="180"/>
        <w:ind w:left="200"/>
      </w:pPr>
      <w:r>
        <w:rPr>
          <w:rFonts w:ascii="Arial" w:cs="Arial" w:eastAsia="Arial" w:hAnsi="Arial"/>
          <w:b/>
          <w:bCs/>
          <w:i w:val="false"/>
          <w:iCs w:val="false"/>
          <w:color w:val="FFFFFF"/>
          <w:sz w:val="28"/>
          <w:szCs w:val="28"/>
        </w:rPr>
        <w:t xml:space="preserve">1. Contexte et Objectifs</w:t>
      </w:r>
    </w:p>
    <w:p>
      <w:pPr>
        <w:pBdr>
          <w:top w:val="single" w:color="F5A623" w:sz="3" w:space="1"/>
          <w:bottom w:val="single" w:color="F5A623" w:sz="3" w:space="1"/>
          <w:left w:val="single" w:color="C00000" w:sz="12" w:space="1"/>
        </w:pBdr>
        <w:shd w:fill="FFF3CD" w:val="clear"/>
        <w:spacing w:before="120" w:after="120"/>
        <w:ind w:left="200"/>
      </w:pPr>
      <w:r>
        <w:rPr>
          <w:rFonts w:ascii="Arial" w:cs="Arial" w:eastAsia="Arial" w:hAnsi="Arial"/>
          <w:b/>
          <w:bCs/>
          <w:i w:val="false"/>
          <w:iCs w:val="false"/>
          <w:color w:val="C00000"/>
          <w:sz w:val="20"/>
          <w:szCs w:val="20"/>
        </w:rPr>
        <w:t xml:space="preserve">⚠  </w:t>
      </w:r>
      <w:r>
        <w:rPr>
          <w:rFonts w:ascii="Arial" w:cs="Arial" w:eastAsia="Arial" w:hAnsi="Arial"/>
          <w:b/>
          <w:bCs/>
          <w:i w:val="false"/>
          <w:iCs w:val="false"/>
          <w:color w:val="C00000"/>
          <w:sz w:val="19"/>
          <w:szCs w:val="19"/>
        </w:rPr>
        <w:t xml:space="preserve">Document intermédiaire : ces résultats seront mis à jour après la réalisation du Phase 0 addendum (évaluation de Qwen3-VL-2B et InternVL3.5-2B) et le retraining éventuel du modèle sélectionné.</w:t>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0"/>
          <w:szCs w:val="20"/>
        </w:rPr>
        <w:t xml:space="preserve">Ce rapport documente les résultats de la Phase 1 du projet PFE : l'affinement d'un modèle de vision-langage (VLM) pour la génération automatique de commentaires d'inspection d'ouvrages d'art en français, conformément au standard ITSEOA (Instructions Techniques pour la Surveillance et l'Entretien des Ouvrages d'Art).</w:t>
      </w:r>
    </w:p>
    <w:p>
      <w:pPr>
        <w:spacing w:before="40" w:after="120"/>
        <w:jc w:val="left"/>
      </w:pPr>
      <w:r>
        <w:rPr>
          <w:rFonts w:ascii="Arial" w:cs="Arial" w:eastAsia="Arial" w:hAnsi="Arial"/>
          <w:b w:val="false"/>
          <w:bCs w:val="false"/>
          <w:i w:val="false"/>
          <w:iCs w:val="false"/>
          <w:color w:val="1A1A1A"/>
          <w:sz w:val="20"/>
          <w:szCs w:val="20"/>
        </w:rPr>
        <w:t xml:space="preserve">L'objectif de Phase 1 est de démontrer la faisabilité du fine-tuning sur le dataset disponible et d'établir une baseline fine-tunée à partir de laquelle les phases suivantes pourront s'améliorer.</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1.1 Tâche définie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Entrée</w:t>
            </w:r>
          </w:p>
        </w:tc>
        <w:tc>
          <w:tcPr>
            <w:tcW w:type="dxa" w:w="690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Image d'un défaut d'ouvrage d'art (photographie d'inspection)</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Sortie attendue</w:t>
            </w:r>
          </w:p>
        </w:tc>
        <w:tc>
          <w:tcPr>
            <w:tcW w:type="dxa" w:w="6906"/>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Commentaire structuré ITSEOA : Causes probables | Gravité | Suites à donner</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Modèle de base</w:t>
            </w:r>
          </w:p>
        </w:tc>
        <w:tc>
          <w:tcPr>
            <w:tcW w:type="dxa" w:w="690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Qwen2.5-VL-3B-Instruct (Apache 2.0, 3 milliards de paramètres)</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Méthode</w:t>
            </w:r>
          </w:p>
        </w:tc>
        <w:tc>
          <w:tcPr>
            <w:tcW w:type="dxa" w:w="6906"/>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QLoRA (Quantized Low-Rank Adaptation), rang 16</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Infrastructure</w:t>
            </w:r>
          </w:p>
        </w:tc>
        <w:tc>
          <w:tcPr>
            <w:tcW w:type="dxa" w:w="690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Google Colab T4 (16 GB VRAM), LlamaFactory v0.9.4</w:t>
            </w:r>
          </w:p>
        </w:tc>
      </w:tr>
    </w:tbl>
    <w:p>
      <w:r>
        <w:br w:type="page"/>
      </w:r>
    </w:p>
    <w:p>
      <w:pPr>
        <w:pStyle w:val="Heading1"/>
        <w:pBdr>
          <w:bottom w:val="single" w:color="2E75B6" w:sz="4" w:space="1"/>
        </w:pBdr>
        <w:shd w:fill="1B3A5C" w:val="clear"/>
        <w:spacing w:before="360" w:after="180"/>
        <w:ind w:left="200"/>
      </w:pPr>
      <w:r>
        <w:rPr>
          <w:rFonts w:ascii="Arial" w:cs="Arial" w:eastAsia="Arial" w:hAnsi="Arial"/>
          <w:b/>
          <w:bCs/>
          <w:i w:val="false"/>
          <w:iCs w:val="false"/>
          <w:color w:val="FFFFFF"/>
          <w:sz w:val="28"/>
          <w:szCs w:val="28"/>
        </w:rPr>
        <w:t xml:space="preserve">2. Données et Prétraitement</w:t>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0"/>
          <w:szCs w:val="20"/>
        </w:rPr>
        <w:t xml:space="preserve">Le dataset ITSEOA a été constitué à partir des fascicules techniques ITSEOA fournis par CID. Chaque échantillon associe une image de défaut à un commentaire d'expert structuré.</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BDD7EE" w:sz="1"/>
              <w:left w:val="single" w:color="BDD7EE" w:sz="1"/>
              <w:bottom w:val="single" w:color="BDD7EE" w:sz="1"/>
              <w:right w:val="single" w:color="BDD7EE" w:sz="1"/>
            </w:tcBorders>
            <w:shd w:fill="1B3A5C"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Paramètre</w:t>
            </w:r>
          </w:p>
        </w:tc>
        <w:tc>
          <w:tcPr>
            <w:tcW w:type="dxa" w:w="4953"/>
            <w:tcBorders>
              <w:top w:val="single" w:color="BDD7EE" w:sz="1"/>
              <w:left w:val="single" w:color="BDD7EE" w:sz="1"/>
              <w:bottom w:val="single" w:color="BDD7EE" w:sz="1"/>
              <w:right w:val="single" w:color="BDD7EE" w:sz="1"/>
            </w:tcBorders>
            <w:shd w:fill="1B3A5C"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Valeur</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Total échantillons</w:t>
            </w:r>
          </w:p>
        </w:tc>
        <w:tc>
          <w:tcPr>
            <w:tcW w:type="dxa" w:w="690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214</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Entraînement</w:t>
            </w:r>
          </w:p>
        </w:tc>
        <w:tc>
          <w:tcPr>
            <w:tcW w:type="dxa" w:w="690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192 (90%)</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Validation</w:t>
            </w:r>
          </w:p>
        </w:tc>
        <w:tc>
          <w:tcPr>
            <w:tcW w:type="dxa" w:w="690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22 (10%)</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Format</w:t>
            </w:r>
          </w:p>
        </w:tc>
        <w:tc>
          <w:tcPr>
            <w:tcW w:type="dxa" w:w="690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JSON ShareGPT (role/content)</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Type d'images</w:t>
            </w:r>
          </w:p>
        </w:tc>
        <w:tc>
          <w:tcPr>
            <w:tcW w:type="dxa" w:w="690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Photographies d'inspection, dessins techniques</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Langue des commentaires</w:t>
            </w:r>
          </w:p>
        </w:tc>
        <w:tc>
          <w:tcPr>
            <w:tcW w:type="dxa" w:w="690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Français (terminologie ITSEOA)</w:t>
            </w:r>
          </w:p>
        </w:tc>
      </w:tr>
    </w:tbl>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120"/>
        <w:jc w:val="left"/>
      </w:pPr>
      <w:r>
        <w:rPr>
          <w:rFonts w:ascii="Arial" w:cs="Arial" w:eastAsia="Arial" w:hAnsi="Arial"/>
          <w:b w:val="false"/>
          <w:bCs w:val="false"/>
          <w:i w:val="false"/>
          <w:iCs w:val="false"/>
          <w:color w:val="1A1A1A"/>
          <w:sz w:val="20"/>
          <w:szCs w:val="20"/>
        </w:rPr>
        <w:t xml:space="preserve">Chaque commentaire suit la structure tripartite ITSEOA : (1) Causes probables, (2) Gravité, (3) Suites à donner avec codes ES (Entretien Spécialisé) et R (Réparation).</w:t>
      </w:r>
    </w:p>
    <w:p>
      <w:r>
        <w:br w:type="page"/>
      </w:r>
    </w:p>
    <w:p>
      <w:pPr>
        <w:pStyle w:val="Heading1"/>
        <w:pBdr>
          <w:bottom w:val="single" w:color="2E75B6" w:sz="4" w:space="1"/>
        </w:pBdr>
        <w:shd w:fill="1B3A5C" w:val="clear"/>
        <w:spacing w:before="360" w:after="180"/>
        <w:ind w:left="200"/>
      </w:pPr>
      <w:r>
        <w:rPr>
          <w:rFonts w:ascii="Arial" w:cs="Arial" w:eastAsia="Arial" w:hAnsi="Arial"/>
          <w:b/>
          <w:bCs/>
          <w:i w:val="false"/>
          <w:iCs w:val="false"/>
          <w:color w:val="FFFFFF"/>
          <w:sz w:val="28"/>
          <w:szCs w:val="28"/>
        </w:rPr>
        <w:t xml:space="preserve">3. Configuration de l'Entraînement</w:t>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0"/>
          <w:szCs w:val="20"/>
        </w:rPr>
        <w:t xml:space="preserve">L'entraînement a été réalisé avec LlamaFactory v0.9.4 en utilisant la méthode QLoRA qui permet d'affiner un modèle de grande taille avec des ressources GPU limitées en quantifiant le modèle de base à 4 bits et en entraînant uniquement des matrices de bas rang.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BDD7EE" w:sz="1"/>
              <w:left w:val="single" w:color="BDD7EE" w:sz="1"/>
              <w:bottom w:val="single" w:color="BDD7EE" w:sz="1"/>
              <w:right w:val="single" w:color="BDD7EE" w:sz="1"/>
            </w:tcBorders>
            <w:shd w:fill="1B3A5C"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Hyperparamètre</w:t>
            </w:r>
          </w:p>
        </w:tc>
        <w:tc>
          <w:tcPr>
            <w:tcW w:type="dxa" w:w="4953"/>
            <w:tcBorders>
              <w:top w:val="single" w:color="BDD7EE" w:sz="1"/>
              <w:left w:val="single" w:color="BDD7EE" w:sz="1"/>
              <w:bottom w:val="single" w:color="BDD7EE" w:sz="1"/>
              <w:right w:val="single" w:color="BDD7EE" w:sz="1"/>
            </w:tcBorders>
            <w:shd w:fill="1B3A5C"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Valeur</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Méthode</w:t>
            </w:r>
          </w:p>
        </w:tc>
        <w:tc>
          <w:tcPr>
            <w:tcW w:type="dxa" w:w="690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QLoRA (LoRA rank=16, alpha=32)</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Quantification</w:t>
            </w:r>
          </w:p>
        </w:tc>
        <w:tc>
          <w:tcPr>
            <w:tcW w:type="dxa" w:w="690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4 bits (bitsandbytes)</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Époques</w:t>
            </w:r>
          </w:p>
        </w:tc>
        <w:tc>
          <w:tcPr>
            <w:tcW w:type="dxa" w:w="690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3</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Batch size effectif</w:t>
            </w:r>
          </w:p>
        </w:tc>
        <w:tc>
          <w:tcPr>
            <w:tcW w:type="dxa" w:w="690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16 (batch=2 × grad_accum=8)</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Learning rate</w:t>
            </w:r>
          </w:p>
        </w:tc>
        <w:tc>
          <w:tcPr>
            <w:tcW w:type="dxa" w:w="690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1 × 10⁻⁴</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Paramètres entraînables</w:t>
            </w:r>
          </w:p>
        </w:tc>
        <w:tc>
          <w:tcPr>
            <w:tcW w:type="dxa" w:w="690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29 933 568 / 3 784 556 544 (0,79%)</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Modules ciblés</w:t>
            </w:r>
          </w:p>
        </w:tc>
        <w:tc>
          <w:tcPr>
            <w:tcW w:type="dxa" w:w="690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q_proj, k_proj, v_proj, o_proj, gate_proj, up_proj, down_proj</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Vision encoder</w:t>
            </w:r>
          </w:p>
        </w:tc>
        <w:tc>
          <w:tcPr>
            <w:tcW w:type="dxa" w:w="690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Gelé (non entraîné)</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Durée totale</w:t>
            </w:r>
          </w:p>
        </w:tc>
        <w:tc>
          <w:tcPr>
            <w:tcW w:type="dxa" w:w="690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51 minutes 16 secondes</w:t>
            </w:r>
          </w:p>
        </w:tc>
      </w:tr>
      <w:tr>
        <w:tc>
          <w:tcPr>
            <w:tcW w:type="dxa" w:w="3000"/>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Steps</w:t>
            </w:r>
          </w:p>
        </w:tc>
        <w:tc>
          <w:tcPr>
            <w:tcW w:type="dxa" w:w="690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36 (192 samples × 3 époques ÷ 16 batch)</w:t>
            </w:r>
          </w:p>
        </w:tc>
      </w:tr>
    </w:tbl>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120"/>
        <w:jc w:val="left"/>
      </w:pPr>
      <w:r>
        <w:rPr>
          <w:rFonts w:ascii="Arial" w:cs="Arial" w:eastAsia="Arial" w:hAnsi="Arial"/>
          <w:b w:val="false"/>
          <w:bCs w:val="false"/>
          <w:i w:val="false"/>
          <w:iCs w:val="false"/>
          <w:color w:val="1A1A1A"/>
          <w:sz w:val="20"/>
          <w:szCs w:val="20"/>
        </w:rPr>
        <w:t xml:space="preserve">La loss d'entraînement a convergé de 2.25 (step 1) à 1.55 (step 36), avec une loss de validation finale de 1.56 — cohérente avec la loss d'entraînement, indiquant une absence de sur-apprentissage marqué.</w:t>
      </w:r>
    </w:p>
    <w:p>
      <w:r>
        <w:br w:type="page"/>
      </w:r>
    </w:p>
    <w:p>
      <w:pPr>
        <w:pStyle w:val="Heading1"/>
        <w:pBdr>
          <w:bottom w:val="single" w:color="2E75B6" w:sz="4" w:space="1"/>
        </w:pBdr>
        <w:shd w:fill="1B3A5C" w:val="clear"/>
        <w:spacing w:before="360" w:after="180"/>
        <w:ind w:left="200"/>
      </w:pPr>
      <w:r>
        <w:rPr>
          <w:rFonts w:ascii="Arial" w:cs="Arial" w:eastAsia="Arial" w:hAnsi="Arial"/>
          <w:b/>
          <w:bCs/>
          <w:i w:val="false"/>
          <w:iCs w:val="false"/>
          <w:color w:val="FFFFFF"/>
          <w:sz w:val="28"/>
          <w:szCs w:val="28"/>
        </w:rPr>
        <w:t xml:space="preserve">4. Résultats Quantitatifs</w:t>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0"/>
          <w:szCs w:val="20"/>
        </w:rPr>
        <w:t xml:space="preserve">L'évaluation ROUGE-L a été réalisée sur les 22 échantillons de validation en comparant les commentaires générés par le modèle fine-tuné (avec adaptateur QLoRA chargé) aux commentaires de référence des experts ITSEOA.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6"/>
      </w:tblGrid>
      <w:tr>
        <w:trPr>
          <w:tblHeader/>
        </w:trPr>
        <w:tc>
          <w:tcPr>
            <w:tcW w:type="dxa" w:w="2476"/>
            <w:tcBorders>
              <w:top w:val="single" w:color="BDD7EE" w:sz="1"/>
              <w:left w:val="single" w:color="BDD7EE" w:sz="1"/>
              <w:bottom w:val="single" w:color="BDD7EE" w:sz="1"/>
              <w:right w:val="single" w:color="BDD7EE" w:sz="1"/>
            </w:tcBorders>
            <w:shd w:fill="1B3A5C"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w:t>
            </w:r>
          </w:p>
        </w:tc>
        <w:tc>
          <w:tcPr>
            <w:tcW w:type="dxa" w:w="2476"/>
            <w:tcBorders>
              <w:top w:val="single" w:color="BDD7EE" w:sz="1"/>
              <w:left w:val="single" w:color="BDD7EE" w:sz="1"/>
              <w:bottom w:val="single" w:color="BDD7EE" w:sz="1"/>
              <w:right w:val="single" w:color="BDD7EE" w:sz="1"/>
            </w:tcBorders>
            <w:shd w:fill="1B3A5C"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ROUGE-L</w:t>
            </w:r>
          </w:p>
        </w:tc>
        <w:tc>
          <w:tcPr>
            <w:tcW w:type="dxa" w:w="2476"/>
            <w:tcBorders>
              <w:top w:val="single" w:color="BDD7EE" w:sz="1"/>
              <w:left w:val="single" w:color="BDD7EE" w:sz="1"/>
              <w:bottom w:val="single" w:color="BDD7EE" w:sz="1"/>
              <w:right w:val="single" w:color="BDD7EE" w:sz="1"/>
            </w:tcBorders>
            <w:shd w:fill="1B3A5C"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w:t>
            </w:r>
          </w:p>
        </w:tc>
        <w:tc>
          <w:tcPr>
            <w:tcW w:type="dxa" w:w="2476"/>
            <w:tcBorders>
              <w:top w:val="single" w:color="BDD7EE" w:sz="1"/>
              <w:left w:val="single" w:color="BDD7EE" w:sz="1"/>
              <w:bottom w:val="single" w:color="BDD7EE" w:sz="1"/>
              <w:right w:val="single" w:color="BDD7EE" w:sz="1"/>
            </w:tcBorders>
            <w:shd w:fill="1B3A5C"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ROUGE-L</w:t>
            </w:r>
          </w:p>
        </w:tc>
      </w:tr>
      <w:tr>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1</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0.2059</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2</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0.1965</w:t>
            </w:r>
          </w:p>
        </w:tc>
      </w:tr>
      <w:tr>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3</w:t>
            </w:r>
          </w:p>
        </w:tc>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0.2460</w:t>
            </w:r>
          </w:p>
        </w:tc>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4</w:t>
            </w:r>
          </w:p>
        </w:tc>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8"/>
                <w:szCs w:val="18"/>
              </w:rPr>
              <w:t xml:space="preserve">0.3243</w:t>
            </w:r>
          </w:p>
        </w:tc>
      </w:tr>
      <w:tr>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5</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0.1797</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6</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0.1975</w:t>
            </w:r>
          </w:p>
        </w:tc>
      </w:tr>
      <w:tr>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7</w:t>
            </w:r>
          </w:p>
        </w:tc>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0.2357</w:t>
            </w:r>
          </w:p>
        </w:tc>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8</w:t>
            </w:r>
          </w:p>
        </w:tc>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8"/>
                <w:szCs w:val="18"/>
              </w:rPr>
              <w:t xml:space="preserve">0.3182</w:t>
            </w:r>
          </w:p>
        </w:tc>
      </w:tr>
      <w:tr>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9</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0.2198</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10</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0.1697</w:t>
            </w:r>
          </w:p>
        </w:tc>
      </w:tr>
      <w:tr>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11</w:t>
            </w:r>
          </w:p>
        </w:tc>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0.1515</w:t>
            </w:r>
          </w:p>
        </w:tc>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12</w:t>
            </w:r>
          </w:p>
        </w:tc>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0.2237</w:t>
            </w:r>
          </w:p>
        </w:tc>
      </w:tr>
      <w:tr>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13</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0.1296</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14</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0.1860</w:t>
            </w:r>
          </w:p>
        </w:tc>
      </w:tr>
      <w:tr>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15</w:t>
            </w:r>
          </w:p>
        </w:tc>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0.1809</w:t>
            </w:r>
          </w:p>
        </w:tc>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16</w:t>
            </w:r>
          </w:p>
        </w:tc>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0.2112</w:t>
            </w:r>
          </w:p>
        </w:tc>
      </w:tr>
      <w:tr>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17</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8"/>
                <w:szCs w:val="18"/>
              </w:rPr>
              <w:t xml:space="preserve">0.2657</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18</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0.1837</w:t>
            </w:r>
          </w:p>
        </w:tc>
      </w:tr>
      <w:tr>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19</w:t>
            </w:r>
          </w:p>
        </w:tc>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0.2100</w:t>
            </w:r>
          </w:p>
        </w:tc>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20</w:t>
            </w:r>
          </w:p>
        </w:tc>
        <w:tc>
          <w:tcPr>
            <w:tcW w:type="dxa" w:w="2476"/>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0.1270</w:t>
            </w:r>
          </w:p>
        </w:tc>
      </w:tr>
      <w:tr>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21</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0.1910</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8"/>
                <w:szCs w:val="18"/>
              </w:rPr>
              <w:t xml:space="preserve">22</w:t>
            </w:r>
          </w:p>
        </w:tc>
        <w:tc>
          <w:tcPr>
            <w:tcW w:type="dxa" w:w="2476"/>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0.1481</w:t>
            </w:r>
          </w:p>
        </w:tc>
      </w:tr>
      <w:tr>
        <w:tc>
          <w:tcPr>
            <w:tcW w:type="dxa" w:w="4952"/>
            <w:tcBorders>
              <w:top w:val="single" w:color="BDD7EE" w:sz="1"/>
              <w:left w:val="single" w:color="BDD7EE" w:sz="1"/>
              <w:bottom w:val="single" w:color="BDD7EE" w:sz="1"/>
              <w:right w:val="single" w:color="BDD7EE" w:sz="1"/>
            </w:tcBorders>
            <w:shd w:fill="2E75B6"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Moyenne (22 échantillons)</w:t>
            </w:r>
          </w:p>
        </w:tc>
        <w:tc>
          <w:tcPr>
            <w:tcW w:type="dxa" w:w="2476"/>
            <w:tcBorders>
              <w:top w:val="single" w:color="BDD7EE" w:sz="1"/>
              <w:left w:val="single" w:color="BDD7EE" w:sz="1"/>
              <w:bottom w:val="single" w:color="BDD7EE" w:sz="1"/>
              <w:right w:val="single" w:color="BDD7EE" w:sz="1"/>
            </w:tcBorders>
            <w:shd w:fill="2E75B6"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0.2046</w:t>
            </w:r>
          </w:p>
        </w:tc>
        <w:tc>
          <w:tcPr>
            <w:tcW w:type="dxa" w:w="2476"/>
            <w:tcBorders>
              <w:top w:val="single" w:color="BDD7EE" w:sz="1"/>
              <w:left w:val="single" w:color="BDD7EE" w:sz="1"/>
              <w:bottom w:val="single" w:color="BDD7EE" w:sz="1"/>
              <w:right w:val="single" w:color="BDD7EE" w:sz="1"/>
            </w:tcBorders>
            <w:shd w:fill="2E75B6"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
            </w:r>
          </w:p>
        </w:tc>
      </w:tr>
      <w:tr>
        <w:tc>
          <w:tcPr>
            <w:tcW w:type="dxa" w:w="4952"/>
            <w:tcBorders>
              <w:top w:val="single" w:color="BDD7EE" w:sz="1"/>
              <w:left w:val="single" w:color="BDD7EE" w:sz="1"/>
              <w:bottom w:val="single" w:color="BDD7EE" w:sz="1"/>
              <w:right w:val="single" w:color="BDD7EE" w:sz="1"/>
            </w:tcBorders>
            <w:shd w:fill="555555"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Baseline zero-shot (Phase 0)</w:t>
            </w:r>
          </w:p>
        </w:tc>
        <w:tc>
          <w:tcPr>
            <w:tcW w:type="dxa" w:w="2476"/>
            <w:tcBorders>
              <w:top w:val="single" w:color="BDD7EE" w:sz="1"/>
              <w:left w:val="single" w:color="BDD7EE" w:sz="1"/>
              <w:bottom w:val="single" w:color="BDD7EE" w:sz="1"/>
              <w:right w:val="single" w:color="BDD7EE" w:sz="1"/>
            </w:tcBorders>
            <w:shd w:fill="555555"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0.1452</w:t>
            </w:r>
          </w:p>
        </w:tc>
        <w:tc>
          <w:tcPr>
            <w:tcW w:type="dxa" w:w="2476"/>
            <w:tcBorders>
              <w:top w:val="single" w:color="BDD7EE" w:sz="1"/>
              <w:left w:val="single" w:color="BDD7EE" w:sz="1"/>
              <w:bottom w:val="single" w:color="BDD7EE" w:sz="1"/>
              <w:right w:val="single" w:color="BDD7EE" w:sz="1"/>
            </w:tcBorders>
            <w:shd w:fill="555555"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
            </w:r>
          </w:p>
        </w:tc>
      </w:tr>
      <w:tr>
        <w:tc>
          <w:tcPr>
            <w:tcW w:type="dxa" w:w="4952"/>
            <w:tcBorders>
              <w:top w:val="single" w:color="BDD7EE" w:sz="1"/>
              <w:left w:val="single" w:color="BDD7EE" w:sz="1"/>
              <w:bottom w:val="single" w:color="BDD7EE" w:sz="1"/>
              <w:right w:val="single" w:color="BDD7EE" w:sz="1"/>
            </w:tcBorders>
            <w:shd w:fill="1E5631"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Amélioration</w:t>
            </w:r>
          </w:p>
        </w:tc>
        <w:tc>
          <w:tcPr>
            <w:tcW w:type="dxa" w:w="2476"/>
            <w:tcBorders>
              <w:top w:val="single" w:color="BDD7EE" w:sz="1"/>
              <w:left w:val="single" w:color="BDD7EE" w:sz="1"/>
              <w:bottom w:val="single" w:color="BDD7EE" w:sz="1"/>
              <w:right w:val="single" w:color="BDD7EE" w:sz="1"/>
            </w:tcBorders>
            <w:shd w:fill="1E5631"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+40.9%</w:t>
            </w:r>
          </w:p>
        </w:tc>
        <w:tc>
          <w:tcPr>
            <w:tcW w:type="dxa" w:w="2476"/>
            <w:tcBorders>
              <w:top w:val="single" w:color="BDD7EE" w:sz="1"/>
              <w:left w:val="single" w:color="BDD7EE" w:sz="1"/>
              <w:bottom w:val="single" w:color="BDD7EE" w:sz="1"/>
              <w:right w:val="single" w:color="BDD7EE" w:sz="1"/>
            </w:tcBorders>
            <w:shd w:fill="1E5631"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
            </w:r>
          </w:p>
        </w:tc>
      </w:tr>
    </w:tbl>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120"/>
        <w:jc w:val="left"/>
      </w:pPr>
      <w:r>
        <w:rPr>
          <w:rFonts w:ascii="Arial" w:cs="Arial" w:eastAsia="Arial" w:hAnsi="Arial"/>
          <w:b w:val="false"/>
          <w:bCs w:val="false"/>
          <w:i w:val="false"/>
          <w:iCs w:val="false"/>
          <w:color w:val="1A1A1A"/>
          <w:sz w:val="20"/>
          <w:szCs w:val="20"/>
        </w:rPr>
        <w:t xml:space="preserve">Le modèle fine-tuné obtient une amélioration de +40,9% par rapport à la baseline zero-shot établie en Phase 0. Les scores élevés (≥0,25, en vert) correspondent aux échantillons où le modèle a correctement identifié la catégorie de composant.</w:t>
      </w:r>
    </w:p>
    <w:p>
      <w:r>
        <w:br w:type="page"/>
      </w:r>
    </w:p>
    <w:p>
      <w:pPr>
        <w:pStyle w:val="Heading1"/>
        <w:pBdr>
          <w:bottom w:val="single" w:color="2E75B6" w:sz="4" w:space="1"/>
        </w:pBdr>
        <w:shd w:fill="1B3A5C" w:val="clear"/>
        <w:spacing w:before="360" w:after="180"/>
        <w:ind w:left="200"/>
      </w:pPr>
      <w:r>
        <w:rPr>
          <w:rFonts w:ascii="Arial" w:cs="Arial" w:eastAsia="Arial" w:hAnsi="Arial"/>
          <w:b/>
          <w:bCs/>
          <w:i w:val="false"/>
          <w:iCs w:val="false"/>
          <w:color w:val="FFFFFF"/>
          <w:sz w:val="28"/>
          <w:szCs w:val="28"/>
        </w:rPr>
        <w:t xml:space="preserve">5. Analyse Qualitative</w:t>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0"/>
          <w:szCs w:val="20"/>
        </w:rPr>
        <w:t xml:space="preserve">L'analyse qualitative des sorties révèle deux caractéristiques distinctes du modèle fine-tuné.</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5.1 Acquisition confirmée : structure ITSEOA</w:t>
      </w:r>
    </w:p>
    <w:p>
      <w:pPr>
        <w:spacing w:before="60" w:after="120"/>
        <w:jc w:val="left"/>
      </w:pPr>
      <w:r>
        <w:rPr>
          <w:rFonts w:ascii="Arial" w:cs="Arial" w:eastAsia="Arial" w:hAnsi="Arial"/>
          <w:b w:val="false"/>
          <w:bCs w:val="false"/>
          <w:i w:val="false"/>
          <w:iCs w:val="false"/>
          <w:color w:val="1A1A1A"/>
          <w:sz w:val="20"/>
          <w:szCs w:val="20"/>
        </w:rPr>
        <w:t xml:space="preserve">Dans les 5 exemples analysés, le modèle reproduit parfaitement la structure tripartite (Causes probables / Gravité / Suites à donner), la mise en forme en puces, les codes ES/R, et le registre technique français. Ceci est le résultat principal de Phase 1.</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5.2 Limitation identifiée : ancrage visuel insuffisant</w:t>
      </w:r>
    </w:p>
    <w:p>
      <w:pPr>
        <w:spacing w:before="60" w:after="120"/>
        <w:jc w:val="left"/>
      </w:pPr>
      <w:r>
        <w:rPr>
          <w:rFonts w:ascii="Arial" w:cs="Arial" w:eastAsia="Arial" w:hAnsi="Arial"/>
          <w:b w:val="false"/>
          <w:bCs w:val="false"/>
          <w:i w:val="false"/>
          <w:iCs w:val="false"/>
          <w:color w:val="1A1A1A"/>
          <w:sz w:val="20"/>
          <w:szCs w:val="20"/>
        </w:rPr>
        <w:t xml:space="preserve">Le modèle ne discrimine pas encore de manière fiable le défaut spécifique visible dans l'image. Il génère des commentaires structurellement corrects mais parfois pour un défaut différent de celui photographié. Exception notable : lorsque le composant est visuellement distinctif (ex. corniche préfabriquée), le modèle atterrit plus souvent dans la bonne famille de défaut.</w:t>
      </w:r>
    </w:p>
    <w:p>
      <w:pPr>
        <w:spacing w:before="80" w:after="80"/>
        <w:jc w:val="left"/>
      </w:pPr>
      <w:r>
        <w:rPr>
          <w:rFonts w:ascii="Arial" w:cs="Arial" w:eastAsia="Arial" w:hAnsi="Arial"/>
          <w:b w:val="false"/>
          <w:bCs w:val="false"/>
          <w:i w:val="false"/>
          <w:iCs w:val="false"/>
          <w:color w:val="1A1A1A"/>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gridCol w:w="4953"/>
        <w:gridCol w:w="4953"/>
      </w:tblGrid>
      <w:tr>
        <w:tc>
          <w:tcPr>
            <w:tcW w:type="dxa" w:w="9906"/>
            <w:gridSpan w:val="2"/>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before="0" w:after="0"/>
              <w:jc w:val="left"/>
            </w:pPr>
            <w:r>
              <w:rPr>
                <w:rFonts w:ascii="Arial" w:cs="Arial" w:eastAsia="Arial" w:hAnsi="Arial"/>
                <w:b/>
                <w:bCs/>
                <w:i w:val="false"/>
                <w:iCs w:val="false"/>
                <w:color w:val="FFFFFF"/>
                <w:sz w:val="20"/>
                <w:szCs w:val="20"/>
              </w:rPr>
              <w:t xml:space="preserve">Exemple 1  </w:t>
            </w:r>
            <w:r>
              <w:rPr>
                <w:rFonts w:ascii="Arial" w:cs="Arial" w:eastAsia="Arial" w:hAnsi="Arial"/>
                <w:b w:val="false"/>
                <w:bCs w:val="false"/>
                <w:i w:val="false"/>
                <w:iCs w:val="false"/>
                <w:color w:val="F5A623"/>
                <w:sz w:val="18"/>
                <w:szCs w:val="18"/>
              </w:rPr>
              <w:t xml:space="preserve">ROUGE-L : 0.1296</w:t>
            </w:r>
          </w:p>
        </w:tc>
      </w:tr>
      <w:tr>
        <w:tc>
          <w:tcPr>
            <w:tcW w:type="dxa" w:w="4953"/>
            <w:tcBorders>
              <w:top w:val="single" w:color="BDD7EE" w:sz="1"/>
              <w:left w:val="single" w:color="BDD7EE" w:sz="1"/>
              <w:bottom w:val="single" w:color="BDD7EE" w:sz="1"/>
              <w:right w:val="single" w:color="BDD7EE" w:sz="1"/>
            </w:tcBorders>
            <w:shd w:fill="F4F4F4" w:val="clear"/>
            <w:tcMar>
              <w:top w:type="dxa" w:w="80"/>
              <w:left w:type="dxa" w:w="120"/>
              <w:bottom w:type="dxa" w:w="80"/>
              <w:right w:type="dxa" w:w="120"/>
            </w:tcMar>
          </w:tcPr>
          <w:p>
            <w:pPr>
              <w:spacing w:before="0" w:after="40"/>
              <w:jc w:val="left"/>
            </w:pPr>
            <w:r>
              <w:rPr>
                <w:rFonts w:ascii="Arial" w:cs="Arial" w:eastAsia="Arial" w:hAnsi="Arial"/>
                <w:b/>
                <w:bCs/>
                <w:i w:val="false"/>
                <w:iCs w:val="false"/>
                <w:color w:val="2E75B6"/>
                <w:sz w:val="17"/>
                <w:szCs w:val="17"/>
              </w:rPr>
              <w:t xml:space="preserve">Généré par le modèle fine-tuné</w:t>
            </w:r>
          </w:p>
          <w:p>
            <w:pPr>
              <w:spacing w:before="0" w:after="0"/>
              <w:jc w:val="left"/>
            </w:pPr>
            <w:r>
              <w:rPr>
                <w:rFonts w:ascii="Arial" w:cs="Arial" w:eastAsia="Arial" w:hAnsi="Arial"/>
                <w:b w:val="false"/>
                <w:bCs w:val="false"/>
                <w:i/>
                <w:iCs/>
                <w:color w:val="555555"/>
                <w:sz w:val="16"/>
                <w:szCs w:val="16"/>
              </w:rPr>
              <w:t xml:space="preserve">Causes probables : défaut de conception et/ou de mise en œuvre (décalage des éléments) ; défaut de mise en œuvre (absence de fixation, fixations déformées, choc). | Gravité : variable en fonction de l'importance du désordre. | Suites à donner : ES : revoir la conception, la mise en œuvre et les fixations. R : remplacer les éléments affectés.</w:t>
            </w:r>
          </w:p>
        </w:tc>
        <w:tc>
          <w:tcPr>
            <w:tcW w:type="dxa" w:w="4953"/>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0" w:after="40"/>
              <w:jc w:val="left"/>
            </w:pPr>
            <w:r>
              <w:rPr>
                <w:rFonts w:ascii="Arial" w:cs="Arial" w:eastAsia="Arial" w:hAnsi="Arial"/>
                <w:b/>
                <w:bCs/>
                <w:i w:val="false"/>
                <w:iCs w:val="false"/>
                <w:color w:val="1E5631"/>
                <w:sz w:val="17"/>
                <w:szCs w:val="17"/>
              </w:rPr>
              <w:t xml:space="preserve">Référence expert ITSEOA</w:t>
            </w:r>
          </w:p>
          <w:p>
            <w:pPr>
              <w:spacing w:before="0" w:after="0"/>
              <w:jc w:val="left"/>
            </w:pPr>
            <w:r>
              <w:rPr>
                <w:rFonts w:ascii="Arial" w:cs="Arial" w:eastAsia="Arial" w:hAnsi="Arial"/>
                <w:b w:val="false"/>
                <w:bCs w:val="false"/>
                <w:i w:val="false"/>
                <w:iCs w:val="false"/>
                <w:color w:val="1A1A1A"/>
                <w:sz w:val="16"/>
                <w:szCs w:val="16"/>
              </w:rPr>
              <w:t xml:space="preserve">Les conséquences possibles : ravinements ; défaut de finition ; entretien laborieux. | Causes probables : choix de conception. | Gravité : sans gravité sauf si les désordres atteignent les parties enterrées des fondations. | Suites à donner : ES/R : si nécessaire réaliser des perrés avec plate-forme. Vérifier les dispositifs d'évacuation des eaux.</w:t>
            </w:r>
          </w:p>
        </w:tc>
      </w:tr>
    </w:tbl>
    <w:p>
      <w:pPr>
        <w:spacing w:before="80" w:after="80"/>
        <w:jc w:val="left"/>
      </w:pPr>
      <w:r>
        <w:rPr>
          <w:rFonts w:ascii="Arial" w:cs="Arial" w:eastAsia="Arial" w:hAnsi="Arial"/>
          <w:b w:val="false"/>
          <w:bCs w:val="false"/>
          <w:i w:val="false"/>
          <w:iCs w:val="false"/>
          <w:color w:val="1A1A1A"/>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gridCol w:w="4953"/>
        <w:gridCol w:w="4953"/>
      </w:tblGrid>
      <w:tr>
        <w:tc>
          <w:tcPr>
            <w:tcW w:type="dxa" w:w="9906"/>
            <w:gridSpan w:val="2"/>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before="0" w:after="0"/>
              <w:jc w:val="left"/>
            </w:pPr>
            <w:r>
              <w:rPr>
                <w:rFonts w:ascii="Arial" w:cs="Arial" w:eastAsia="Arial" w:hAnsi="Arial"/>
                <w:b/>
                <w:bCs/>
                <w:i w:val="false"/>
                <w:iCs w:val="false"/>
                <w:color w:val="FFFFFF"/>
                <w:sz w:val="20"/>
                <w:szCs w:val="20"/>
              </w:rPr>
              <w:t xml:space="preserve">Exemple 2  </w:t>
            </w:r>
            <w:r>
              <w:rPr>
                <w:rFonts w:ascii="Arial" w:cs="Arial" w:eastAsia="Arial" w:hAnsi="Arial"/>
                <w:b w:val="false"/>
                <w:bCs w:val="false"/>
                <w:i w:val="false"/>
                <w:iCs w:val="false"/>
                <w:color w:val="F5A623"/>
                <w:sz w:val="18"/>
                <w:szCs w:val="18"/>
              </w:rPr>
              <w:t xml:space="preserve">ROUGE-L : 0.2357</w:t>
            </w:r>
          </w:p>
        </w:tc>
      </w:tr>
      <w:tr>
        <w:tc>
          <w:tcPr>
            <w:tcW w:type="dxa" w:w="4953"/>
            <w:tcBorders>
              <w:top w:val="single" w:color="BDD7EE" w:sz="1"/>
              <w:left w:val="single" w:color="BDD7EE" w:sz="1"/>
              <w:bottom w:val="single" w:color="BDD7EE" w:sz="1"/>
              <w:right w:val="single" w:color="BDD7EE" w:sz="1"/>
            </w:tcBorders>
            <w:shd w:fill="F4F4F4" w:val="clear"/>
            <w:tcMar>
              <w:top w:type="dxa" w:w="80"/>
              <w:left w:type="dxa" w:w="120"/>
              <w:bottom w:type="dxa" w:w="80"/>
              <w:right w:type="dxa" w:w="120"/>
            </w:tcMar>
          </w:tcPr>
          <w:p>
            <w:pPr>
              <w:spacing w:before="0" w:after="40"/>
              <w:jc w:val="left"/>
            </w:pPr>
            <w:r>
              <w:rPr>
                <w:rFonts w:ascii="Arial" w:cs="Arial" w:eastAsia="Arial" w:hAnsi="Arial"/>
                <w:b/>
                <w:bCs/>
                <w:i w:val="false"/>
                <w:iCs w:val="false"/>
                <w:color w:val="2E75B6"/>
                <w:sz w:val="17"/>
                <w:szCs w:val="17"/>
              </w:rPr>
              <w:t xml:space="preserve">Généré par le modèle fine-tuné</w:t>
            </w:r>
          </w:p>
          <w:p>
            <w:pPr>
              <w:spacing w:before="0" w:after="0"/>
              <w:jc w:val="left"/>
            </w:pPr>
            <w:r>
              <w:rPr>
                <w:rFonts w:ascii="Arial" w:cs="Arial" w:eastAsia="Arial" w:hAnsi="Arial"/>
                <w:b w:val="false"/>
                <w:bCs w:val="false"/>
                <w:i/>
                <w:iCs/>
                <w:color w:val="555555"/>
                <w:sz w:val="16"/>
                <w:szCs w:val="16"/>
              </w:rPr>
              <w:t xml:space="preserve">Causes probables : défaut de pose (ou de reprise) ; défaut de reprise de la fixation sur la corniche ; chocs accidentels. | Gravité : variable en fonction des dégradations vis-à-vis de la sécurité des usagers. | Suites à donner : analyse du désordre et réparation. Dans le cas d'un désordre généralisé, la corniche entière peut être remplacée.</w:t>
            </w:r>
          </w:p>
        </w:tc>
        <w:tc>
          <w:tcPr>
            <w:tcW w:type="dxa" w:w="4953"/>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0" w:after="40"/>
              <w:jc w:val="left"/>
            </w:pPr>
            <w:r>
              <w:rPr>
                <w:rFonts w:ascii="Arial" w:cs="Arial" w:eastAsia="Arial" w:hAnsi="Arial"/>
                <w:b/>
                <w:bCs/>
                <w:i w:val="false"/>
                <w:iCs w:val="false"/>
                <w:color w:val="1E5631"/>
                <w:sz w:val="17"/>
                <w:szCs w:val="17"/>
              </w:rPr>
              <w:t xml:space="preserve">Référence expert ITSEOA</w:t>
            </w:r>
          </w:p>
          <w:p>
            <w:pPr>
              <w:spacing w:before="0" w:after="0"/>
              <w:jc w:val="left"/>
            </w:pPr>
            <w:r>
              <w:rPr>
                <w:rFonts w:ascii="Arial" w:cs="Arial" w:eastAsia="Arial" w:hAnsi="Arial"/>
                <w:b w:val="false"/>
                <w:bCs w:val="false"/>
                <w:i w:val="false"/>
                <w:iCs w:val="false"/>
                <w:color w:val="1A1A1A"/>
                <w:sz w:val="16"/>
                <w:szCs w:val="16"/>
              </w:rPr>
              <w:t xml:space="preserve">Les corniches préfabriquées : on peut observer : une corrosion des dispositifs de liaison ; une fissuration en partie supérieure de la corniche. | Causes probables : dispositions constructives inadaptées, faible nombre de liaisons, risque important de pénétration d'eau.</w:t>
            </w:r>
          </w:p>
        </w:tc>
      </w:tr>
    </w:tbl>
    <w:p>
      <w:pPr>
        <w:spacing w:before="80" w:after="80"/>
        <w:jc w:val="left"/>
      </w:pPr>
      <w:r>
        <w:rPr>
          <w:rFonts w:ascii="Arial" w:cs="Arial" w:eastAsia="Arial" w:hAnsi="Arial"/>
          <w:b w:val="false"/>
          <w:bCs w:val="false"/>
          <w:i w:val="false"/>
          <w:iCs w:val="false"/>
          <w:color w:val="1A1A1A"/>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gridCol w:w="4953"/>
        <w:gridCol w:w="4953"/>
      </w:tblGrid>
      <w:tr>
        <w:tc>
          <w:tcPr>
            <w:tcW w:type="dxa" w:w="9906"/>
            <w:gridSpan w:val="2"/>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before="0" w:after="0"/>
              <w:jc w:val="left"/>
            </w:pPr>
            <w:r>
              <w:rPr>
                <w:rFonts w:ascii="Arial" w:cs="Arial" w:eastAsia="Arial" w:hAnsi="Arial"/>
                <w:b/>
                <w:bCs/>
                <w:i w:val="false"/>
                <w:iCs w:val="false"/>
                <w:color w:val="FFFFFF"/>
                <w:sz w:val="20"/>
                <w:szCs w:val="20"/>
              </w:rPr>
              <w:t xml:space="preserve">Exemple 3  </w:t>
            </w:r>
            <w:r>
              <w:rPr>
                <w:rFonts w:ascii="Arial" w:cs="Arial" w:eastAsia="Arial" w:hAnsi="Arial"/>
                <w:b w:val="false"/>
                <w:bCs w:val="false"/>
                <w:i w:val="false"/>
                <w:iCs w:val="false"/>
                <w:color w:val="F5A623"/>
                <w:sz w:val="18"/>
                <w:szCs w:val="18"/>
              </w:rPr>
              <w:t xml:space="preserve">ROUGE-L : 0.2100</w:t>
            </w:r>
          </w:p>
        </w:tc>
      </w:tr>
      <w:tr>
        <w:tc>
          <w:tcPr>
            <w:tcW w:type="dxa" w:w="4953"/>
            <w:tcBorders>
              <w:top w:val="single" w:color="BDD7EE" w:sz="1"/>
              <w:left w:val="single" w:color="BDD7EE" w:sz="1"/>
              <w:bottom w:val="single" w:color="BDD7EE" w:sz="1"/>
              <w:right w:val="single" w:color="BDD7EE" w:sz="1"/>
            </w:tcBorders>
            <w:shd w:fill="F4F4F4" w:val="clear"/>
            <w:tcMar>
              <w:top w:type="dxa" w:w="80"/>
              <w:left w:type="dxa" w:w="120"/>
              <w:bottom w:type="dxa" w:w="80"/>
              <w:right w:type="dxa" w:w="120"/>
            </w:tcMar>
          </w:tcPr>
          <w:p>
            <w:pPr>
              <w:spacing w:before="0" w:after="40"/>
              <w:jc w:val="left"/>
            </w:pPr>
            <w:r>
              <w:rPr>
                <w:rFonts w:ascii="Arial" w:cs="Arial" w:eastAsia="Arial" w:hAnsi="Arial"/>
                <w:b/>
                <w:bCs/>
                <w:i w:val="false"/>
                <w:iCs w:val="false"/>
                <w:color w:val="2E75B6"/>
                <w:sz w:val="17"/>
                <w:szCs w:val="17"/>
              </w:rPr>
              <w:t xml:space="preserve">Généré par le modèle fine-tuné</w:t>
            </w:r>
          </w:p>
          <w:p>
            <w:pPr>
              <w:spacing w:before="0" w:after="0"/>
              <w:jc w:val="left"/>
            </w:pPr>
            <w:r>
              <w:rPr>
                <w:rFonts w:ascii="Arial" w:cs="Arial" w:eastAsia="Arial" w:hAnsi="Arial"/>
                <w:b w:val="false"/>
                <w:bCs w:val="false"/>
                <w:i/>
                <w:iCs/>
                <w:color w:val="555555"/>
                <w:sz w:val="16"/>
                <w:szCs w:val="16"/>
              </w:rPr>
              <w:t xml:space="preserve">Causes probables : défaut de conception (faible retenue de béton) ; défaut de fonctionnement (évolution des matériaux) ; mouvements anormaux (ouverture excessive). | Gravité : variable selon les conséquences sur la sécurité. | Suites à donner : ES : réparation ou remplacement de la structure.</w:t>
            </w:r>
          </w:p>
        </w:tc>
        <w:tc>
          <w:tcPr>
            <w:tcW w:type="dxa" w:w="4953"/>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0" w:after="40"/>
              <w:jc w:val="left"/>
            </w:pPr>
            <w:r>
              <w:rPr>
                <w:rFonts w:ascii="Arial" w:cs="Arial" w:eastAsia="Arial" w:hAnsi="Arial"/>
                <w:b/>
                <w:bCs/>
                <w:i w:val="false"/>
                <w:iCs w:val="false"/>
                <w:color w:val="1E5631"/>
                <w:sz w:val="17"/>
                <w:szCs w:val="17"/>
              </w:rPr>
              <w:t xml:space="preserve">Référence expert ITSEOA</w:t>
            </w:r>
          </w:p>
          <w:p>
            <w:pPr>
              <w:spacing w:before="0" w:after="0"/>
              <w:jc w:val="left"/>
            </w:pPr>
            <w:r>
              <w:rPr>
                <w:rFonts w:ascii="Arial" w:cs="Arial" w:eastAsia="Arial" w:hAnsi="Arial"/>
                <w:b w:val="false"/>
                <w:bCs w:val="false"/>
                <w:i w:val="false"/>
                <w:iCs w:val="false"/>
                <w:color w:val="1A1A1A"/>
                <w:sz w:val="16"/>
                <w:szCs w:val="16"/>
              </w:rPr>
              <w:t xml:space="preserve">Causes probables : défaut de raccordement de la gargouille et du tuyau de descente d'eau ; tuyau de la gargouille trop court ; défaut de raccordement entre la platine et la chape d'étanchéité. | Gravité : faible à court terme (problème esthétique) mais risque d'évolution par altération du béton d'enrobage.</w:t>
            </w:r>
          </w:p>
        </w:tc>
      </w:tr>
    </w:tbl>
    <w:p>
      <w:r>
        <w:br w:type="page"/>
      </w:r>
    </w:p>
    <w:p>
      <w:pPr>
        <w:pStyle w:val="Heading1"/>
        <w:pBdr>
          <w:bottom w:val="single" w:color="2E75B6" w:sz="4" w:space="1"/>
        </w:pBdr>
        <w:shd w:fill="1B3A5C" w:val="clear"/>
        <w:spacing w:before="360" w:after="180"/>
        <w:ind w:left="200"/>
      </w:pPr>
      <w:r>
        <w:rPr>
          <w:rFonts w:ascii="Arial" w:cs="Arial" w:eastAsia="Arial" w:hAnsi="Arial"/>
          <w:b/>
          <w:bCs/>
          <w:i w:val="false"/>
          <w:iCs w:val="false"/>
          <w:color w:val="FFFFFF"/>
          <w:sz w:val="28"/>
          <w:szCs w:val="28"/>
        </w:rPr>
        <w:t xml:space="preserve">6. Limitations et Prochaines Étapes</w:t>
      </w:r>
    </w:p>
    <w:p>
      <w:pPr>
        <w:spacing w:before="80" w:after="80"/>
        <w:jc w:val="left"/>
      </w:pPr>
      <w:r>
        <w:rPr>
          <w:rFonts w:ascii="Arial" w:cs="Arial" w:eastAsia="Arial" w:hAnsi="Arial"/>
          <w:b w:val="false"/>
          <w:bCs w:val="false"/>
          <w:i w:val="false"/>
          <w:iCs w:val="false"/>
          <w:color w:val="1A1A1A"/>
          <w:sz w:val="22"/>
          <w:szCs w:val="22"/>
        </w:rPr>
        <w:t xml:space="preserve"/>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6.1 Limitations</w:t>
      </w:r>
    </w:p>
    <w:p>
      <w:pPr>
        <w:spacing w:before="40" w:after="40"/>
        <w:ind w:left="360"/>
        <w:jc w:val="left"/>
      </w:pPr>
      <w:r>
        <w:rPr>
          <w:rFonts w:ascii="Arial" w:cs="Arial" w:eastAsia="Arial" w:hAnsi="Arial"/>
          <w:b w:val="false"/>
          <w:bCs w:val="false"/>
          <w:i w:val="false"/>
          <w:iCs w:val="false"/>
          <w:color w:val="1A1A1A"/>
          <w:sz w:val="22"/>
          <w:szCs w:val="22"/>
        </w:rPr>
        <w:t xml:space="preserve">• Le dataset de 214 échantillons est insuffisant pour un ancrage visuel fiable. La plupart des types de défauts ont moins de 10 exemples d'entraînement, ce qui ne permet pas au modèle d'apprendre la correspondance image → défaut spécifique.</w:t>
      </w:r>
    </w:p>
    <w:p>
      <w:pPr>
        <w:spacing w:before="20" w:after="40"/>
        <w:ind w:left="360"/>
        <w:jc w:val="left"/>
      </w:pPr>
      <w:r>
        <w:rPr>
          <w:rFonts w:ascii="Arial" w:cs="Arial" w:eastAsia="Arial" w:hAnsi="Arial"/>
          <w:b w:val="false"/>
          <w:bCs w:val="false"/>
          <w:i w:val="false"/>
          <w:iCs w:val="false"/>
          <w:color w:val="1A1A1A"/>
          <w:sz w:val="22"/>
          <w:szCs w:val="22"/>
        </w:rPr>
        <w:t xml:space="preserve">• L'artefact "Annexes 12X" observé dans certaines sorties indique une mémorisation partielle des numéros de page du corpus ITSEOA — une limitation à corriger dans le prétraitement.</w:t>
      </w:r>
    </w:p>
    <w:p>
      <w:pPr>
        <w:spacing w:before="20" w:after="80"/>
        <w:ind w:left="360"/>
        <w:jc w:val="left"/>
      </w:pPr>
      <w:r>
        <w:rPr>
          <w:rFonts w:ascii="Arial" w:cs="Arial" w:eastAsia="Arial" w:hAnsi="Arial"/>
          <w:b w:val="false"/>
          <w:bCs w:val="false"/>
          <w:i w:val="false"/>
          <w:iCs w:val="false"/>
          <w:color w:val="1A1A1A"/>
          <w:sz w:val="22"/>
          <w:szCs w:val="22"/>
        </w:rPr>
        <w:t xml:space="preserve">• Le vision encoder est entièrement gelé pendant l'entraînement QLoRA. Seules les matrices LoRA du transformer linguistique sont entraînées, limitant la capacité d'adaptation visuelle.</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6.2 Prochaines étapes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3"/>
      </w:tblGrid>
      <w:tr>
        <w:trPr>
          <w:tblHeader/>
        </w:trPr>
        <w:tc>
          <w:tcPr>
            <w:tcW w:type="dxa" w:w="3962"/>
            <w:tcBorders>
              <w:top w:val="single" w:color="BDD7EE" w:sz="1"/>
              <w:left w:val="single" w:color="BDD7EE" w:sz="1"/>
              <w:bottom w:val="single" w:color="BDD7EE" w:sz="1"/>
              <w:right w:val="single" w:color="BDD7EE" w:sz="1"/>
            </w:tcBorders>
            <w:shd w:fill="1B3A5C"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Étape</w:t>
            </w:r>
          </w:p>
        </w:tc>
        <w:tc>
          <w:tcPr>
            <w:tcW w:type="dxa" w:w="5943"/>
            <w:tcBorders>
              <w:top w:val="single" w:color="BDD7EE" w:sz="1"/>
              <w:left w:val="single" w:color="BDD7EE" w:sz="1"/>
              <w:bottom w:val="single" w:color="BDD7EE" w:sz="1"/>
              <w:right w:val="single" w:color="BDD7EE" w:sz="1"/>
            </w:tcBorders>
            <w:shd w:fill="1B3A5C"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Description</w:t>
            </w:r>
          </w:p>
        </w:tc>
      </w:tr>
      <w:tr>
        <w:tc>
          <w:tcPr>
            <w:tcW w:type="dxa" w:w="3962"/>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Phase 0 addendum</w:t>
            </w:r>
          </w:p>
        </w:tc>
        <w:tc>
          <w:tcPr>
            <w:tcW w:type="dxa" w:w="5943"/>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Évaluation zero-shot de Qwen3-VL-2B et InternVL3.5-2B sur le même dataset. Si un de ces modèles surpasse Qwen2.5-VL-3B en zero-shot, Phase 1 sera relancée avec ce modèle.</w:t>
            </w:r>
          </w:p>
        </w:tc>
      </w:tr>
      <w:tr>
        <w:tc>
          <w:tcPr>
            <w:tcW w:type="dxa" w:w="3962"/>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Phase 1 retraining (conditionnel)</w:t>
            </w:r>
          </w:p>
        </w:tc>
        <w:tc>
          <w:tcPr>
            <w:tcW w:type="dxa" w:w="5943"/>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Si le modèle sélectionné change, retraining complet avec les mêmes hyperparamètres. Ce rapport sera alors remplacé par le rapport Phase 1 final.</w:t>
            </w:r>
          </w:p>
        </w:tc>
      </w:tr>
      <w:tr>
        <w:tc>
          <w:tcPr>
            <w:tcW w:type="dxa" w:w="3962"/>
            <w:gridSpan w:val="1"/>
            <w:tcBorders>
              <w:top w:val="single" w:color="BDD7EE" w:sz="1"/>
              <w:left w:val="single" w:color="BDD7EE" w:sz="1"/>
              <w:bottom w:val="single" w:color="BDD7EE" w:sz="1"/>
              <w:right w:val="single" w:color="BDD7EE" w:sz="1"/>
            </w:tcBorders>
            <w:shd w:fill="E8F0FA"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19"/>
                <w:szCs w:val="19"/>
              </w:rPr>
              <w:t xml:space="preserve">Phase 2 — LangGraph</w:t>
            </w:r>
          </w:p>
        </w:tc>
        <w:tc>
          <w:tcPr>
            <w:tcW w:type="dxa" w:w="5943"/>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9"/>
                <w:szCs w:val="19"/>
              </w:rPr>
              <w:t xml:space="preserve">Développement d'un agent LangGraph qui combine le VLM fine-tuné avec une base de connaissances ITSEOA pour améliorer l'ancrage défaut-spécifique sans nécessiter un dataset plus grand.</w:t>
            </w:r>
          </w:p>
        </w:tc>
      </w:tr>
    </w:tbl>
    <w:sectPr>
      <w:headerReference w:type="default" r:id="rId6"/>
      <w:footerReference w:type="default" r:id="rId7"/>
      <w:type w:val="nextPage"/>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space="1"/>
      </w:pBdr>
      <w:spacing w:before="0" w:after="0"/>
      <w:jc w:val="right"/>
    </w:pPr>
    <w:r>
      <w:rPr>
        <w:rFonts w:ascii="Arial" w:cs="Arial" w:eastAsia="Arial" w:hAnsi="Arial"/>
        <w:b w:val="false"/>
        <w:bCs w:val="false"/>
        <w:i w:val="false"/>
        <w:iCs w:val="false"/>
        <w:color w:val="555555"/>
        <w:sz w:val="16"/>
        <w:szCs w:val="16"/>
      </w:rPr>
      <w:t xml:space="preserve">Youssef Elhardouzi — CID  </w:t>
    </w:r>
    <w:r>
      <w:rPr>
        <w:rFonts w:ascii="Arial" w:cs="Arial" w:eastAsia="Arial" w:hAnsi="Arial"/>
        <w:b w:val="false"/>
        <w:bCs w:val="false"/>
        <w:i w:val="false"/>
        <w:iCs w:val="false"/>
        <w:color w:val="BDD7EE"/>
        <w:sz w:val="16"/>
        <w:szCs w:val="16"/>
      </w:rPr>
      <w:t xml:space="preserve">|  </w:t>
    </w:r>
    <w:r>
      <w:rPr>
        <w:rFonts w:ascii="Arial" w:cs="Arial" w:eastAsia="Arial" w:hAnsi="Arial"/>
        <w:b w:val="false"/>
        <w:bCs w:val="false"/>
        <w:i w:val="false"/>
        <w:iCs w:val="false"/>
        <w:color w:val="555555"/>
        <w:sz w:val="16"/>
        <w:szCs w:val="16"/>
      </w:rPr>
      <w:t xml:space="preserve">Mars 2026  </w:t>
    </w:r>
    <w:r>
      <w:rPr>
        <w:rFonts w:ascii="Arial" w:cs="Arial" w:eastAsia="Arial" w:hAnsi="Arial"/>
        <w:b w:val="false"/>
        <w:bCs w:val="false"/>
        <w:i w:val="false"/>
        <w:iCs w:val="false"/>
        <w:color w:val="BDD7EE"/>
        <w:sz w:val="16"/>
        <w:szCs w:val="16"/>
      </w:rPr>
      <w:t xml:space="preserve">|  </w:t>
    </w:r>
    <w:r>
      <w:rPr>
        <w:rFonts w:ascii="Arial" w:cs="Arial" w:eastAsia="Arial" w:hAnsi="Arial"/>
        <w:b w:val="false"/>
        <w:bCs w:val="false"/>
        <w:i w:val="false"/>
        <w:iCs w:val="false"/>
        <w:color w:val="555555"/>
        <w:sz w:val="16"/>
        <w:szCs w:val="16"/>
      </w:rPr>
      <w:t xml:space="preserve">Page </w:t>
    </w:r>
    <w:r>
      <w:rPr>
        <w:rFonts w:ascii="Arial" w:cs="Arial" w:eastAsia="Arial" w:hAnsi="Arial"/>
        <w:color w:val="555555"/>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spacing w:before="0" w:after="0"/>
    </w:pPr>
    <w:r>
      <w:rPr>
        <w:rFonts w:ascii="Arial" w:cs="Arial" w:eastAsia="Arial" w:hAnsi="Arial"/>
        <w:b/>
        <w:bCs/>
        <w:i w:val="false"/>
        <w:iCs w:val="false"/>
        <w:color w:val="2E75B6"/>
        <w:sz w:val="18"/>
        <w:szCs w:val="18"/>
      </w:rPr>
      <w:t xml:space="preserve">CID — VLM Phase 1  </w:t>
    </w:r>
    <w:r>
      <w:rPr>
        <w:rFonts w:ascii="Arial" w:cs="Arial" w:eastAsia="Arial" w:hAnsi="Arial"/>
        <w:b w:val="false"/>
        <w:bCs w:val="false"/>
        <w:i w:val="false"/>
        <w:iCs w:val="false"/>
        <w:color w:val="BDD7EE"/>
        <w:sz w:val="18"/>
        <w:szCs w:val="18"/>
      </w:rPr>
      <w:t xml:space="preserve">|  </w:t>
    </w:r>
    <w:r>
      <w:rPr>
        <w:rFonts w:ascii="Arial" w:cs="Arial" w:eastAsia="Arial" w:hAnsi="Arial"/>
        <w:b w:val="false"/>
        <w:bCs w:val="false"/>
        <w:i w:val="false"/>
        <w:iCs w:val="false"/>
        <w:color w:val="555555"/>
        <w:sz w:val="18"/>
        <w:szCs w:val="18"/>
      </w:rPr>
      <w:t xml:space="preserve">Rapport Phase 1 — VLM Fine-Tuning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2026-03-24T09:16:12.729Z</dcterms:created>
  <dcterms:modified xsi:type="dcterms:W3CDTF">2026-03-24T09:16:12.729Z</dcterms:modified>
</cp:coreProperties>
</file>

<file path=docProps/custom.xml><?xml version="1.0" encoding="utf-8"?>
<Properties xmlns="http://schemas.openxmlformats.org/officeDocument/2006/custom-properties" xmlns:vt="http://schemas.openxmlformats.org/officeDocument/2006/docPropsVTypes"/>
</file>