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pPr>
      <w:r>
        <w:rPr>
          <w:rFonts w:ascii="Arial" w:cs="Arial" w:eastAsia="Arial" w:hAnsi="Arial"/>
          <w:b w:val="false"/>
          <w:bCs w:val="false"/>
          <w:i w:val="false"/>
          <w:iCs w:val="false"/>
          <w:color w:val="1A1A1A"/>
          <w:sz w:val="2"/>
          <w:szCs w:val="2"/>
        </w:rPr>
        <w:t xml:space="preserve"> </w:t>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pacing w:before="0" w:after="60"/>
        <w:jc w:val="center"/>
      </w:pPr>
      <w:r>
        <w:rPr>
          <w:rFonts w:ascii="Arial" w:cs="Arial" w:eastAsia="Arial" w:hAnsi="Arial"/>
          <w:b/>
          <w:bCs/>
          <w:i w:val="false"/>
          <w:iCs w:val="false"/>
          <w:color w:val="2E75B6"/>
          <w:sz w:val="20"/>
          <w:szCs w:val="20"/>
        </w:rPr>
        <w:t xml:space="preserve">CONSEIL INGÉNIERIE ET DÉVELOPPEMENT</w:t>
      </w:r>
    </w:p>
    <w:p>
      <w:pPr>
        <w:spacing w:before="0" w:after="360"/>
        <w:jc w:val="center"/>
      </w:pPr>
      <w:r>
        <w:rPr>
          <w:rFonts w:ascii="Arial" w:cs="Arial" w:eastAsia="Arial" w:hAnsi="Arial"/>
          <w:b/>
          <w:bCs/>
          <w:i w:val="false"/>
          <w:iCs w:val="false"/>
          <w:color w:val="1F4E79"/>
          <w:sz w:val="44"/>
          <w:szCs w:val="44"/>
        </w:rPr>
        <w:t xml:space="preserve">CID</w:t>
      </w:r>
    </w:p>
    <w:p>
      <w:pPr>
        <w:pBdr>
          <w:top w:val="single" w:color="2E75B6" w:sz="6" w:space="10"/>
        </w:pBdr>
        <w:spacing w:before="0" w:after="80"/>
        <w:jc w:val="center"/>
      </w:pPr>
      <w:r>
        <w:rPr>
          <w:rFonts w:ascii="Arial" w:cs="Arial" w:eastAsia="Arial" w:hAnsi="Arial"/>
          <w:b/>
          <w:bCs/>
          <w:i w:val="false"/>
          <w:iCs w:val="false"/>
          <w:color w:val="1F4E79"/>
          <w:sz w:val="40"/>
          <w:szCs w:val="40"/>
        </w:rPr>
        <w:t xml:space="preserve">Data Mapping Report</w:t>
      </w:r>
    </w:p>
    <w:p>
      <w:pPr>
        <w:spacing w:before="40" w:after="600"/>
        <w:jc w:val="center"/>
      </w:pPr>
      <w:r>
        <w:rPr>
          <w:rFonts w:ascii="Arial" w:cs="Arial" w:eastAsia="Arial" w:hAnsi="Arial"/>
          <w:b/>
          <w:bCs/>
          <w:i w:val="false"/>
          <w:iCs w:val="false"/>
          <w:color w:val="2E75B6"/>
          <w:sz w:val="26"/>
          <w:szCs w:val="26"/>
        </w:rPr>
        <w:t xml:space="preserve">SGOAM — Moroccan Civil Structures Management System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20"/>
                <w:szCs w:val="20"/>
              </w:rPr>
              <w:t xml:space="preserve">Intern</w:t>
            </w:r>
          </w:p>
        </w:tc>
        <w:tc>
          <w:tcPr>
            <w:tcW w:type="dxa" w:w="36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20"/>
                <w:szCs w:val="20"/>
              </w:rPr>
              <w:t xml:space="preserve">Youssef Elhardouzi</w:t>
            </w:r>
          </w:p>
        </w:tc>
      </w:tr>
      <w:tr>
        <w:tc>
          <w:tcPr>
            <w:tcW w:type="dxa" w:w="24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20"/>
                <w:szCs w:val="20"/>
              </w:rPr>
              <w:t xml:space="preserve">Supervisor</w:t>
            </w:r>
          </w:p>
        </w:tc>
        <w:tc>
          <w:tcPr>
            <w:tcW w:type="dxa" w:w="36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20"/>
                <w:szCs w:val="20"/>
              </w:rPr>
              <w:t xml:space="preserve">Ismail Oubah</w:t>
            </w:r>
          </w:p>
        </w:tc>
      </w:tr>
      <w:tr>
        <w:tc>
          <w:tcPr>
            <w:tcW w:type="dxa" w:w="24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20"/>
                <w:szCs w:val="20"/>
              </w:rPr>
              <w:t xml:space="preserve">Institution</w:t>
            </w:r>
          </w:p>
        </w:tc>
        <w:tc>
          <w:tcPr>
            <w:tcW w:type="dxa" w:w="36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20"/>
                <w:szCs w:val="20"/>
              </w:rPr>
              <w:t xml:space="preserve">ISMAGI</w:t>
            </w:r>
          </w:p>
        </w:tc>
      </w:tr>
      <w:tr>
        <w:tc>
          <w:tcPr>
            <w:tcW w:type="dxa" w:w="24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bCs/>
                <w:i w:val="false"/>
                <w:iCs w:val="false"/>
                <w:color w:val="1A1A1A"/>
                <w:sz w:val="20"/>
                <w:szCs w:val="20"/>
              </w:rPr>
              <w:t xml:space="preserve">Date</w:t>
            </w:r>
          </w:p>
        </w:tc>
        <w:tc>
          <w:tcPr>
            <w:tcW w:type="dxa" w:w="36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20"/>
                <w:szCs w:val="20"/>
              </w:rPr>
              <w:t xml:space="preserve">March 2026</w:t>
            </w:r>
          </w:p>
        </w:tc>
      </w:tr>
    </w:tbl>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shd w:fill="1F4E79" w:val="clear"/>
        <w:spacing w:before="360" w:after="0"/>
      </w:pPr>
      <w:r>
        <w:rPr>
          <w:rFonts w:ascii="Arial" w:cs="Arial" w:eastAsia="Arial" w:hAnsi="Arial"/>
          <w:b w:val="false"/>
          <w:bCs w:val="false"/>
          <w:i w:val="false"/>
          <w:iCs w:val="false"/>
          <w:color w:val="1A1A1A"/>
          <w:sz w:val="2"/>
          <w:szCs w:val="2"/>
        </w:rPr>
        <w:t xml:space="preserve"> </w:t>
      </w:r>
    </w:p>
    <w:p>
      <w:pPr>
        <w:sectPr>
          <w:pgSz w:w="11906" w:h="16838" w:orient="portrait"/>
          <w:pgMar w:top="1000" w:right="1000" w:bottom="1000" w:left="1000" w:header="708" w:footer="708" w:gutter="0"/>
          <w:pgNumType/>
          <w:docGrid w:linePitch="360"/>
        </w:sectPr>
      </w:pPr>
    </w:p>
    <w:p>
      <w:pPr>
        <w:pStyle w:val="Heading1"/>
      </w:pPr>
      <w:r>
        <w:rPr>
          <w:rFonts w:ascii="Arial" w:cs="Arial" w:eastAsia="Arial" w:hAnsi="Arial"/>
          <w:b/>
          <w:bCs/>
          <w:i w:val="false"/>
          <w:iCs w:val="false"/>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4" w:space="1"/>
        </w:pBdr>
        <w:shd w:fill="1F4E79" w:val="clear"/>
        <w:spacing w:before="360" w:after="180"/>
        <w:ind w:left="200"/>
      </w:pPr>
      <w:r>
        <w:rPr>
          <w:rFonts w:ascii="Arial" w:cs="Arial" w:eastAsia="Arial" w:hAnsi="Arial"/>
          <w:b/>
          <w:bCs/>
          <w:i w:val="false"/>
          <w:iCs w:val="false"/>
          <w:color w:val="FFFFFF"/>
          <w:sz w:val="28"/>
          <w:szCs w:val="28"/>
        </w:rPr>
        <w:t xml:space="preserve">1. Introduction</w:t>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0"/>
          <w:szCs w:val="20"/>
        </w:rPr>
        <w:t xml:space="preserve">This document is the data mapping report for the SGOAM system. It documents the correspondence between fields in the existing dashboard and columns in the target Oracle database (SGOAM2), as part of the data migration project.</w:t>
      </w:r>
    </w:p>
    <w:p>
      <w:pPr>
        <w:spacing w:before="40" w:after="160"/>
        <w:jc w:val="left"/>
      </w:pPr>
      <w:r>
        <w:rPr>
          <w:rFonts w:ascii="Arial" w:cs="Arial" w:eastAsia="Arial" w:hAnsi="Arial"/>
          <w:b w:val="false"/>
          <w:bCs w:val="false"/>
          <w:i w:val="false"/>
          <w:iCs w:val="false"/>
          <w:color w:val="1A1A1A"/>
          <w:sz w:val="20"/>
          <w:szCs w:val="20"/>
        </w:rPr>
        <w:t xml:space="preserve">The mapping was produced by cross-referencing the SGOAM2.sql schema (223 tables, 155 FK constraints) with the dashboard documentation provided by CID.</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1.1 Context</w:t>
      </w:r>
    </w:p>
    <w:p>
      <w:pPr>
        <w:spacing w:before="60" w:after="160"/>
        <w:jc w:val="left"/>
      </w:pPr>
      <w:r>
        <w:rPr>
          <w:rFonts w:ascii="Arial" w:cs="Arial" w:eastAsia="Arial" w:hAnsi="Arial"/>
          <w:b w:val="false"/>
          <w:bCs w:val="false"/>
          <w:i w:val="false"/>
          <w:iCs w:val="false"/>
          <w:color w:val="1A1A1A"/>
          <w:sz w:val="20"/>
          <w:szCs w:val="20"/>
        </w:rPr>
        <w:t xml:space="preserve">SGOAM (Système de Gestion des Ouvrages d'Art du Maroc) is Morocco's national civil structures management and inspection system, covering bridges, viaducts, culverts, pipes, and other engineering structures. The task involves preparing data migration from the existing system to the new Oracle database SGOAM2, comprising 223 tables and 155 declared foreign key constraints.</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1.2 Scope</w:t>
      </w:r>
    </w:p>
    <w:p>
      <w:pPr>
        <w:spacing w:before="60" w:after="40"/>
        <w:jc w:val="left"/>
      </w:pPr>
      <w:r>
        <w:rPr>
          <w:rFonts w:ascii="Arial" w:cs="Arial" w:eastAsia="Arial" w:hAnsi="Arial"/>
          <w:b w:val="false"/>
          <w:bCs w:val="false"/>
          <w:i w:val="false"/>
          <w:iCs w:val="false"/>
          <w:color w:val="1A1A1A"/>
          <w:sz w:val="20"/>
          <w:szCs w:val="20"/>
        </w:rPr>
        <w:t xml:space="preserve">The mapping covers the three screens of the existing dashboard:</w:t>
      </w:r>
    </w:p>
    <w:p>
      <w:pPr>
        <w:spacing w:before="20" w:after="20"/>
        <w:ind w:left="360"/>
        <w:jc w:val="left"/>
      </w:pPr>
      <w:r>
        <w:rPr>
          <w:rFonts w:ascii="Arial" w:cs="Arial" w:eastAsia="Arial" w:hAnsi="Arial"/>
          <w:b w:val="false"/>
          <w:bCs w:val="false"/>
          <w:i w:val="false"/>
          <w:iCs w:val="false"/>
          <w:color w:val="1A1A1A"/>
          <w:sz w:val="22"/>
          <w:szCs w:val="22"/>
        </w:rPr>
        <w:t xml:space="preserve">• Franchissement — 28 fields</w:t>
      </w:r>
    </w:p>
    <w:p>
      <w:pPr>
        <w:spacing w:before="20" w:after="20"/>
        <w:ind w:left="360"/>
        <w:jc w:val="left"/>
      </w:pPr>
      <w:r>
        <w:rPr>
          <w:rFonts w:ascii="Arial" w:cs="Arial" w:eastAsia="Arial" w:hAnsi="Arial"/>
          <w:b w:val="false"/>
          <w:bCs w:val="false"/>
          <w:i w:val="false"/>
          <w:iCs w:val="false"/>
          <w:color w:val="1A1A1A"/>
          <w:sz w:val="22"/>
          <w:szCs w:val="22"/>
        </w:rPr>
        <w:t xml:space="preserve">• Détails Ouvrage — 63 fields</w:t>
      </w:r>
    </w:p>
    <w:p>
      <w:pPr>
        <w:spacing w:before="20" w:after="80"/>
        <w:ind w:left="360"/>
        <w:jc w:val="left"/>
      </w:pPr>
      <w:r>
        <w:rPr>
          <w:rFonts w:ascii="Arial" w:cs="Arial" w:eastAsia="Arial" w:hAnsi="Arial"/>
          <w:b w:val="false"/>
          <w:bCs w:val="false"/>
          <w:i w:val="false"/>
          <w:iCs w:val="false"/>
          <w:color w:val="1A1A1A"/>
          <w:sz w:val="22"/>
          <w:szCs w:val="22"/>
        </w:rPr>
        <w:t xml:space="preserve">• Visite — 46 fields</w:t>
      </w:r>
    </w:p>
    <w:p>
      <w:pPr>
        <w:spacing w:before="20" w:after="160"/>
        <w:jc w:val="left"/>
      </w:pPr>
      <w:r>
        <w:rPr>
          <w:rFonts w:ascii="Arial" w:cs="Arial" w:eastAsia="Arial" w:hAnsi="Arial"/>
          <w:b/>
          <w:bCs/>
          <w:i w:val="false"/>
          <w:iCs w:val="false"/>
          <w:color w:val="1A1A1A"/>
          <w:sz w:val="20"/>
          <w:szCs w:val="20"/>
        </w:rPr>
        <w:t xml:space="preserve">Total : 137 fields.</w:t>
      </w:r>
    </w:p>
    <w:p>
      <w:r>
        <w:br w:type="page"/>
      </w:r>
    </w:p>
    <w:p>
      <w:pPr>
        <w:pStyle w:val="Heading1"/>
        <w:pBdr>
          <w:bottom w:val="single" w:color="2E75B6" w:sz="4" w:space="1"/>
        </w:pBdr>
        <w:shd w:fill="1F4E79" w:val="clear"/>
        <w:spacing w:before="360" w:after="180"/>
        <w:ind w:left="200"/>
      </w:pPr>
      <w:r>
        <w:rPr>
          <w:rFonts w:ascii="Arial" w:cs="Arial" w:eastAsia="Arial" w:hAnsi="Arial"/>
          <w:b/>
          <w:bCs/>
          <w:i w:val="false"/>
          <w:iCs w:val="false"/>
          <w:color w:val="FFFFFF"/>
          <w:sz w:val="28"/>
          <w:szCs w:val="28"/>
        </w:rPr>
        <w:t xml:space="preserve">2. Methodology</w:t>
      </w:r>
    </w:p>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120"/>
        <w:jc w:val="left"/>
      </w:pPr>
      <w:r>
        <w:rPr>
          <w:rFonts w:ascii="Arial" w:cs="Arial" w:eastAsia="Arial" w:hAnsi="Arial"/>
          <w:b w:val="false"/>
          <w:bCs w:val="false"/>
          <w:i w:val="false"/>
          <w:iCs w:val="false"/>
          <w:color w:val="1A1A1A"/>
          <w:sz w:val="20"/>
          <w:szCs w:val="20"/>
        </w:rPr>
        <w:t xml:space="preserve">The following mapping rules were established and consistently applied throughout the work.</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Rule 1 — Stored code, not displayed label</w:t>
      </w:r>
    </w:p>
    <w:p>
      <w:pPr>
        <w:spacing w:before="60" w:after="120"/>
        <w:jc w:val="left"/>
      </w:pPr>
      <w:r>
        <w:rPr>
          <w:rFonts w:ascii="Arial" w:cs="Arial" w:eastAsia="Arial" w:hAnsi="Arial"/>
          <w:b w:val="false"/>
          <w:bCs w:val="false"/>
          <w:i w:val="false"/>
          <w:iCs w:val="false"/>
          <w:color w:val="1A1A1A"/>
          <w:sz w:val="20"/>
          <w:szCs w:val="20"/>
        </w:rPr>
        <w:t xml:space="preserve">For dropdown fields, the mapping points to the stored code column (e.g. CODE_VPT), not the displayed label column (e.g. LIB_VP_TYPE). The label is resolved automatically by the application via join. Documented exception: read-only display fields where only the label is meaningful for migration purposes (e.g. Type de Voie Franchie → VOIES_FRANCHIES_TYPE.LIB_VFT).</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Rule 2 — All data fields including buttons</w:t>
      </w:r>
    </w:p>
    <w:p>
      <w:pPr>
        <w:spacing w:before="60" w:after="120"/>
        <w:jc w:val="left"/>
      </w:pPr>
      <w:r>
        <w:rPr>
          <w:rFonts w:ascii="Arial" w:cs="Arial" w:eastAsia="Arial" w:hAnsi="Arial"/>
          <w:b w:val="false"/>
          <w:bCs w:val="false"/>
          <w:i w:val="false"/>
          <w:iCs w:val="false"/>
          <w:color w:val="1A1A1A"/>
          <w:sz w:val="20"/>
          <w:szCs w:val="20"/>
        </w:rPr>
        <w:t xml:space="preserve">Every field that displays or stores data is mapped, whether it is editable or read-only, and whether it appears as a text field or a button in the dashboard. Only pure navigation buttons (Return, Go to level…) are left unmapped. Buttons that open a data view (Historique, Photos visite) are mapped to their target table.</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Rule 3 — Composite keys</w:t>
      </w:r>
    </w:p>
    <w:p>
      <w:pPr>
        <w:spacing w:before="60" w:after="120"/>
        <w:jc w:val="left"/>
      </w:pPr>
      <w:r>
        <w:rPr>
          <w:rFonts w:ascii="Arial" w:cs="Arial" w:eastAsia="Arial" w:hAnsi="Arial"/>
          <w:b w:val="false"/>
          <w:bCs w:val="false"/>
          <w:i w:val="false"/>
          <w:iCs w:val="false"/>
          <w:color w:val="1A1A1A"/>
          <w:sz w:val="20"/>
          <w:szCs w:val="20"/>
        </w:rPr>
        <w:t xml:space="preserve">When a field corresponds to a table with a composite key (e.g. T_FRAN_VFT whose logical key is IDENTIFIANT + CODE_VFT), both columns are documented in the mapped columns and in the note.</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Rule 4 — Insertion order</w:t>
      </w:r>
    </w:p>
    <w:p>
      <w:pPr>
        <w:spacing w:before="60" w:after="120"/>
        <w:jc w:val="left"/>
      </w:pPr>
      <w:r>
        <w:rPr>
          <w:rFonts w:ascii="Arial" w:cs="Arial" w:eastAsia="Arial" w:hAnsi="Arial"/>
          <w:b w:val="false"/>
          <w:bCs w:val="false"/>
          <w:i w:val="false"/>
          <w:iCs w:val="false"/>
          <w:color w:val="1A1A1A"/>
          <w:sz w:val="20"/>
          <w:szCs w:val="20"/>
        </w:rPr>
        <w:t xml:space="preserve">For tables linked by FK constraints, the required insertion order is documented in the notes. The general order for visit data is: VISITE → T_SYNTHESE_OA → T_ACTIONS_PREVUES, and VISITE → T_PROCHAINE_VISITE → T_MATERIEL.</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Sources used</w:t>
      </w:r>
    </w:p>
    <w:p>
      <w:pPr>
        <w:spacing w:before="40" w:after="20"/>
        <w:jc w:val="left"/>
      </w:pPr>
      <w:r>
        <w:rPr>
          <w:rFonts w:ascii="Arial" w:cs="Arial" w:eastAsia="Arial" w:hAnsi="Arial"/>
          <w:b w:val="false"/>
          <w:bCs w:val="false"/>
          <w:i w:val="false"/>
          <w:iCs w:val="false"/>
          <w:color w:val="1A1A1A"/>
          <w:sz w:val="20"/>
          <w:szCs w:val="20"/>
        </w:rPr>
        <w:t xml:space="preserve">• Oracle schema: SGOAM2.sql (223 tables, 155 FK constraints extracted via Python script)</w:t>
      </w:r>
    </w:p>
    <w:p>
      <w:pPr>
        <w:spacing w:before="20" w:after="20"/>
        <w:jc w:val="left"/>
      </w:pPr>
      <w:r>
        <w:rPr>
          <w:rFonts w:ascii="Arial" w:cs="Arial" w:eastAsia="Arial" w:hAnsi="Arial"/>
          <w:b w:val="false"/>
          <w:bCs w:val="false"/>
          <w:i w:val="false"/>
          <w:iCs w:val="false"/>
          <w:color w:val="1A1A1A"/>
          <w:sz w:val="20"/>
          <w:szCs w:val="20"/>
        </w:rPr>
        <w:t xml:space="preserve">• Dashboard documentation: "Arborescences fenêtres SGOAM — Outil existant.xlsx" (3 sheets: Franchissement, Détails Ouvrage, Visite)</w:t>
      </w:r>
    </w:p>
    <w:p>
      <w:pPr>
        <w:spacing w:before="20" w:after="160"/>
        <w:jc w:val="left"/>
      </w:pPr>
      <w:r>
        <w:rPr>
          <w:rFonts w:ascii="Arial" w:cs="Arial" w:eastAsia="Arial" w:hAnsi="Arial"/>
          <w:b w:val="false"/>
          <w:bCs w:val="false"/>
          <w:i w:val="false"/>
          <w:iCs w:val="false"/>
          <w:color w:val="1A1A1A"/>
          <w:sz w:val="20"/>
          <w:szCs w:val="20"/>
        </w:rPr>
        <w:t xml:space="preserve">• Sample data: example-data.xlsx (tables VISITE, T_CULEE, T_TRAVEES, TYPE_ACTION)</w:t>
      </w:r>
    </w:p>
    <w:p>
      <w:pPr>
        <w:sectPr>
          <w:headerReference w:type="default" r:id="rId6"/>
          <w:footerReference w:type="default" r:id="rId7"/>
          <w:type w:val="nextPage"/>
          <w:pgSz w:w="11906" w:h="16838" w:orient="portrait"/>
          <w:pgMar w:top="1000" w:right="1000" w:bottom="1000" w:left="1000" w:header="708" w:footer="708" w:gutter="0"/>
          <w:pgNumType/>
          <w:docGrid w:linePitch="360"/>
        </w:sectPr>
      </w:pPr>
    </w:p>
    <w:p>
      <w:pPr>
        <w:pStyle w:val="Heading1"/>
        <w:pBdr>
          <w:bottom w:val="single" w:color="2E75B6" w:sz="4" w:space="1"/>
        </w:pBdr>
        <w:shd w:fill="1F4E79" w:val="clear"/>
        <w:spacing w:before="360" w:after="180"/>
        <w:ind w:left="200"/>
      </w:pPr>
      <w:r>
        <w:rPr>
          <w:rFonts w:ascii="Arial" w:cs="Arial" w:eastAsia="Arial" w:hAnsi="Arial"/>
          <w:b/>
          <w:bCs/>
          <w:i w:val="false"/>
          <w:iCs w:val="false"/>
          <w:color w:val="FFFFFF"/>
          <w:sz w:val="28"/>
          <w:szCs w:val="28"/>
        </w:rPr>
        <w:t xml:space="preserve">3. Mapping Tables</w:t>
      </w:r>
    </w:p>
    <w:p>
      <w:pPr>
        <w:spacing w:before="80" w:after="120"/>
        <w:jc w:val="left"/>
      </w:pPr>
      <w:r>
        <w:rPr>
          <w:rFonts w:ascii="Arial" w:cs="Arial" w:eastAsia="Arial" w:hAnsi="Arial"/>
          <w:b w:val="false"/>
          <w:bCs w:val="false"/>
          <w:i w:val="false"/>
          <w:iCs w:val="false"/>
          <w:color w:val="1A1A1A"/>
          <w:sz w:val="20"/>
          <w:szCs w:val="20"/>
        </w:rPr>
        <w:t xml:space="preserve">The following tables document the complete mapping of 137 dashboard fields to SGOAM2 database columns. Each row shows the dashboard path, field name, target table and column, and an explanatory note.</w:t>
      </w:r>
    </w:p>
    <w:p>
      <w:r>
        <w:br w:type="page"/>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3.1 Franchissement</w:t>
      </w:r>
    </w:p>
    <w:p>
      <w:pPr>
        <w:spacing w:before="80" w:after="80"/>
        <w:jc w:val="left"/>
      </w:pPr>
      <w:r>
        <w:rPr>
          <w:rFonts w:ascii="Arial" w:cs="Arial" w:eastAsia="Arial" w:hAnsi="Arial"/>
          <w:b w:val="false"/>
          <w:bCs w:val="false"/>
          <w:i w:val="false"/>
          <w:iCs w:val="false"/>
          <w:color w:val="1A1A1A"/>
          <w:sz w:val="22"/>
          <w:szCs w:val="22"/>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7038"/>
      </w:tblGrid>
      <w:tr>
        <w:trPr>
          <w:tblHeader/>
        </w:trPr>
        <w:tc>
          <w:tcPr>
            <w:tcW w:type="dxa" w:w="20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Path</w:t>
            </w:r>
          </w:p>
        </w:tc>
        <w:tc>
          <w:tcPr>
            <w:tcW w:type="dxa" w:w="29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Field</w:t>
            </w:r>
          </w:p>
        </w:tc>
        <w:tc>
          <w:tcPr>
            <w:tcW w:type="dxa" w:w="29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Table.Column</w:t>
            </w:r>
          </w:p>
        </w:tc>
        <w:tc>
          <w:tcPr>
            <w:tcW w:type="dxa" w:w="7038"/>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Note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DRE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FRANADMIN.CODE_REGION</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CODE_REGION est dénormalisé dans FRANADMIN sans FK déclarée vers REGION. Le chemin normalisé est FRANADMIN.CODE_PROV → PROVINCE.CODE_PROV → PROVINCE.CODE_REG → REGION.CODE_REG. La valeur insérée doit être cohérente avec CODE_PROV.</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DPE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FRANADMIN.CODE_PROV</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FRANADMIN.CODE_PROV → PROVINCE.CODE_PROV. Le libellé de la province est dans PROVINCE.LIB_PROV.</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Fiche établie le: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FRANADMIN.DATESAISIE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Date de création de la fiche. Type DATE, pas de FK.</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Date dernière MAJ</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FRANADMIN.DATEMAJ</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Date de dernière mise à jour générale. DATEMAJ_FRAN existe aussi pour les mises à jour spécifiques au franchissement. Lors de la migration, renseigner les deux colonnes.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d'incrémentation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FRANADMIN.IDENTIFIANT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Clé primaire VARCHAR2(8), générée automatiquement. Référencée comme FK dans OARG, VISITE, T_FRAN_VFT, HIST_FRAN, PHOTOS_OUV.</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Historique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HIST_FRAN.IDENTIFIANT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Données historiques du franchissement. Écrites automatiquement par l'application à chaque modification dans HIST_FRAN. Pour la migration, les données historiques existantes doivent être insérées dans HIST_FRAN avec HIST_FRAN.IDENTIFIANT → FRANADMIN.IDENTIFIANT et HIST_FRAN.CODE_PROV → PROVINCE.CODE_PROV.</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FRANADMIN.CODE_VPT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FRANADMIN.CODE_VPT → VOIES_PORTEE_TYPE.CODE_VPT. Libellé dans VOIES_PORTEE_TYPE.LIB_VP_TYPE.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FRANADMIN.VP_NUM</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Numéro de la route portante. NUMBER(5), pas de FK.</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Pk</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FRANADMIN.VP_PK</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Point kilométrique. NUMBER(8,3), pas de FK.</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Implantation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FRANADMIN.CODE_IMP_VP</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FRANADMIN.CODE_IMP_VP → IMPLANTATION_TRACE.CODE_IMP_VP. Concerne le tracé de la voie portante (en alignement, en courbe, etc.).</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Longueur totale franchissement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FRANADMIN.LONGUEUR</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Longueur totale du franchissement en mètres. NUMBER(7,2), pas de FK.</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Revêtement</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FRANADMIN.CODE_REVET_CH</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FRANADMIN.CODE_REVET_CH → REVET_CHAUSSEE.CODE_REVET_CH. Libellé dans REVET_CHAUSSEE.LIB_REVET_CH.</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Possibilité de déviation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FRANADMIN.DEVIATION</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VARCHAR2(3), valeurs O/N ou OUI/NON. Pas de FK.</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Classe trafic</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FRANADMIN.CODE_CL_TRAFIC</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FRANADMIN.CODE_CL_TRAFIC → CLASSE_TRAFIC.CODE_CL_TRAFIC. Libellé dans CLASSE_TRAFIC.LIB_CL_TRAFIC.</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Pont sur: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T_FRAN_VFT.IDENTIFIANT, T_FRAN_VFT.CODE_VFT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Ne va pas dans FRANADMIN. Table de jonction T_FRAN_VFT car un franchissement peut croiser plusieurs obstacles. FK déclarées : T_FRAN_VFT.CODE_VFT → VOIES_FRANCHIES_TYPE.CODE_VFT, T_FRAN_VFT.IDENTIFIANT → FRANADMIN.IDENTIFIANT, T_FRAN_VFT.CODE_PROV → PROVINCE.CODE_PROV. CODE_VFT + IDENTIFIANT forment la clé logique unique (pas d'index unique déclaré dans le SQL). CODE_PROV est copié depuis FRANADMIN par dénormalisation.</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 &gt; Restriction d'exploitation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Restriction de circulation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FRANADMIN.RESTRICTION</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VARCHAR2(3), pas de FK.</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 &gt; Restriction d'exploitation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PTC</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FRANADMIN.PTC</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Port total en charge en tonnes. NUMBER(2), pas de FK. Valeur importée depuis les données officielles de restriction de charge.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 &gt; Restriction d'exploitation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Vitesse Limite Signalée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FRANADMIN.VL_VP</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Vitesse limite en km/h. NUMBER(3), pas de FK. VL = Vitesse Limite, VP = Voie Portée.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 &gt; Restriction d'exploitation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Hauteur Limite Signalée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FRANADMIN.HL_VP</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Hauteur limite en mètres. NUMBER(7,2), pas de FK. HL = Hauteur Limite, VP = Voie Portée.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portée &gt; Restriction d'exploitation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Largeur Limite Signalée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FRANADMIN.LL_VP</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Largeur limite en mètres. NUMBER(7,2), pas de FK. LL = Largeur Limite, VP = Voie Portée.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Franchie &gt; Type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Code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T_FRAN_VFT.CODE_VFT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Même table et même colonne que "Pont sur". Code et Type de Voie Franchie sont deux représentations du même champ dans T_FRAN_VFT. FK : T_FRAN_VFT.CODE_VFT → VOIES_FRANCHIES_TYPE.CODE_VFT.</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Franchie &gt; Type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de Voie Franchie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VOIES_FRANCHIES_TYPE.LIB_VFT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affichée en lecture seule — le dashboard résout le libellé par jointure : T_FRAN_VFT.CODE_VFT → VOIES_FRANCHIES_TYPE.LIB_VFT. La valeur stockée est le code dans T_FRAN_VFT.CODE_VFT (mappé séparément via le champ Code). Pas d'insertion directe dans VOIES_FRANCHIES_TYPE lors de la migration.</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Détail des Ouvrages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Nombre d'ouvrage(s)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FRANADMIN.NBOA</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dénormalisée NUMBER(2). Maintenue automatiquement par l'application à chaque ajout ou suppression d'un ouvrage. Pas de FK. Peut être recalculée par COUNT sur OARG.IDENTIFIANT.</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Détail des Ouvrages &gt; Liste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 d'ordre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OARG.NUM_ORDRE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Numéro d'ordre de l'ouvrage dans le franchissement, ordonné par PK croissant. NUMBER(2). FK : OARG.IDENTIFIANT → FRANADMIN.IDENTIFIANT. Type Bouton dans le dashboard mais c'est un vrai champ de données.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Détail des Ouvrages &gt; Liste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Désignation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OARG.IDENTIFIANT_TXT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Désignation de l'ouvrage dans la liste du franchissement. OARG.IDENTIFIANT_TXT est le candidat le plus probable (VARCHAR2(8), texte de l'identifiant). Cependant ce champ est NULL dans les données d'exemple — à confirmer avec le client. L'alternative est OARG.IDENTIFIANT lui-même.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Détail des Ouvrages &gt; Liste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Long Biaise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OARG.LONG_BIAISE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Longueur biaisée de l'ouvrage individuel en mètres. NUMBER(7,2). Valeur importée depuis OARG via FK : OARG.IDENTIFIANT → FRANADMIN.IDENTIFIANT. Affiché en lecture seule dans l'écran Franchissement.</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Détail des Ouvrages &gt; Liste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Ajouter un 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Bouton de navigation uniquement. Ouvre l'écran Détails Ouvrage pour créer un nouvel enregistrement OARG. La saisie des données se fait dans cet écran, pas dans Franchissement.</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Voie Franchie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Implantation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FRANADMIN.CODE_IMP_VF</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FRANADMIN.CODE_IMP_VF → IMPLANTATION_OBSTACLE.CODE_IMP_VF. Concerne l'implantation de l'obstacle franchi. Différent de CODE_IMP_VP (voie portée) qui utilise IMPLANTATION_TRACE — deux tables de référence distinctes.</w:t>
            </w:r>
          </w:p>
        </w:tc>
      </w:tr>
    </w:tbl>
    <w:p>
      <w:r>
        <w:br w:type="page"/>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3.2 Détails Ouvrage</w:t>
      </w:r>
    </w:p>
    <w:p>
      <w:pPr>
        <w:spacing w:before="80" w:after="80"/>
        <w:jc w:val="left"/>
      </w:pPr>
      <w:r>
        <w:rPr>
          <w:rFonts w:ascii="Arial" w:cs="Arial" w:eastAsia="Arial" w:hAnsi="Arial"/>
          <w:b w:val="false"/>
          <w:bCs w:val="false"/>
          <w:i w:val="false"/>
          <w:iCs w:val="false"/>
          <w:color w:val="1A1A1A"/>
          <w:sz w:val="22"/>
          <w:szCs w:val="22"/>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7038"/>
      </w:tblGrid>
      <w:tr>
        <w:trPr>
          <w:tblHeader/>
        </w:trPr>
        <w:tc>
          <w:tcPr>
            <w:tcW w:type="dxa" w:w="20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Path</w:t>
            </w:r>
          </w:p>
        </w:tc>
        <w:tc>
          <w:tcPr>
            <w:tcW w:type="dxa" w:w="29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Field</w:t>
            </w:r>
          </w:p>
        </w:tc>
        <w:tc>
          <w:tcPr>
            <w:tcW w:type="dxa" w:w="29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Table.Column</w:t>
            </w:r>
          </w:p>
        </w:tc>
        <w:tc>
          <w:tcPr>
            <w:tcW w:type="dxa" w:w="7038"/>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Note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Photo de Franchissement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PHOTOS_OUV.IDENTIFIANT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Photos du franchissement parent. FK déclarée : PHOTOS_OUV.IDENTIFIANT → FRANADMIN.IDENTIFIANT. Autres colonnes : CODE_PROV, PHOTOS (BLOB), DATESAISIE. Pour la migration, les photos existantes du franchissement doivent être insérées dans PHOTOS_OUV.</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Historique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HIST_OUV.IDENTIFIANT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Historique de l'ouvrage. Colonnes : IDENTIFIANT, NUMOA, DATEMAJ, LONG_BIAISE, CODE_FAMILLE_HIST, NBRE_TRAVEE, LARGEUR, CODE_SF. Écrit automatiquement par l'application. Pour la migration : clé composite HIST_OUV.(IDENTIFIANT, NUMOA) identifie l'ouvrage historisé.</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Aide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HELP_PHOTOS.CODE_FAMILLE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Historique de l'ouvrage. Colonnes : IDENTIFIANT, NUMOA, DATEMAJ, LONG_BIAISE, CODE_FAMILLE_HIST, NBRE_TRAVEE, LARGEUR, CODE_SF. Écrit automatiquement par l'application. Pour la migration : clé composite HIST_OUV.(IDENTIFIANT, NUMOA) identifie l'ouvrage historisé.</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Allez au niveau visite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Bouton de navigation pure — change d'écran uniquement. Aucune donnée affichée ou stockée.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Retour au niveau Franchissement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Bouton de navigation pure — retour à l'écran Franchissement. Aucune donnée affichée ou stockée.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Photos visite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T_ALBUM_PHOTOS.IDENTIFIANT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Photos de visite de l'ouvrage. FK composite déclarée : T_ALBUM_PHOTOS.(IDENTIFIANT, NUMOA) → OARG.(IDENTIFIANT, NUMOA). Autres colonnes : NUM_ORDRE (séquence photo), IMAGE (BLOB), COMMENTAIRE, DATE_PHOTOS. Pour la migration, les photos de visite doivent être insérées dans T_ALBUM_PHOTOS.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d'ouvrage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OARG.NUMOA</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NUMOA = Numéro d'Ouvrage d'Art. NUMBER(2), séquence de l'ouvrage dans le franchissement parent. Valeur importée — attribuée automatiquement. Avec OARG.IDENTIFIANT, forme la clé composite unique de l'ouvrage. FK : OARG.IDENTIFIANT → FRANADMIN.IDENTIFIANT.</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de route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FRANADMIN.CODE_VPT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le franchissement parent — affiché en lecture seule. La valeur stockée est le code FRANADMIN.CODE_VPT. Le dashboard affiche le libellé via jointure : FRANADMIN.CODE_VPT → VOIES_PORTEE_TYPE.LIB_VP_TYPE. Chemin : OARG.IDENTIFIANT → FRANADMIN.IDENTIFIANT → FRANADMIN.CODE_VPT. Pas d'insertion dans OARG.</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de route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FRANADMIN.VP_NUM</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le franchissement parent — affiché en lecture seule. La valeur stockée est le numéro NUMBER(5) dans FRANADMIN.VP_NUM. Chemin : OARG.IDENTIFIANT → FRANADMIN.IDENTIFIANT → FRANADMIN.VP_NUM. Pas d'insertion dans OARG.</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Pk</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FRANADMIN.VP_PK</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le franchissement parent — affiché en lecture seule. La valeur stockée est NUMBER(8,3) dans FRANADMIN.VP_PK. Chemin : OARG.IDENTIFIANT → FRANADMIN.IDENTIFIANT → FRANADMIN.VP_PK. Pas d'insertion dans OARG.</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Région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REGION.CODE_REG</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affichée en lecture seule. La valeur stockée est REGION.CODE_REG — le code de la région VARCHAR2(4). Le dashboard affiche le libellé REGION.LIB_REG. Chemin de dérivation depuis l'ouvrage : OARG.CODE_PROV → PROVINCE.CODE_PROV → PROVINCE.CODE_REG → REGION.CODE_REG. Pas d'insertion directe — la région est dérivée de la province.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d'ordre (Pk croissant)</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OARG.NUM_ORDRE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Numéro d'ordre de l'ouvrage dans le franchissement, trié par PK croissant. NUMBER(2), pas de FK. Lié au franchissement via OARG.IDENTIFIANT → FRANADMIN.IDENTIFIANT. Valeur importée — calculée automatiquement par l'application.</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Famille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OARG.CODE_FAMILLE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OARG.CODE_FAMILLE → FAMILLE_OA.CODE_FAMILLE. Le dashboard affiche le libellé via FAMILLE_OA.LIB_FAMILLE. CODE_FAMILLE conditionne en cascade les listes filtrées de : sous-famille, coupe-travers, matériaux tablier, dispositifs, réseaux portés. Doit être inséré en premier parmi les codes OARG.</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Province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OARG.CODE_PROV</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OARG.CODE_PROV → PROVINCE.CODE_PROV. Le dashboard affiche le libellé via PROVINCE.LIB_PROV. Valeur importée depuis le franchissement mais dénormalisée dans OARG. CODE_PROV est aussi requis dans toutes les tables détail : T_CULEE, PILE, T_TRAVEES, T_ASSAINISSEMENT, etc.</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Sous Famille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OARG.CODE_SF</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déclarée : OARG.(CODE_SF, CODE_FAMILLE) → SOUS_FAMILLE_OA.(CODE_SF, CODE_FAMILLE). Le dashboard affiche SOUS_FAMILLE_OA.LIB_SF. La liste est filtrée par CODE_FAMILLE — doit être renseigné après Famille.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d'ouvrage (autres précisions)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OARG.OA_TYPE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Texte libre VARCHAR2(70), pas de FK. Complément de description au-delà de la famille et sous-famille. Valeur saisie directement par l'inspecteur.</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Année d'achèvement des travaux</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OARG.CONSTRDATFIN</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Type DATE, pas de FK. L'application extrait et affiche l'année uniquement. La valeur complète est stockée en DATE Oracle. Pour la migration, formater en date complète (01/01/YYYY si seule l'année est connue).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Ouvrage est-il une transformation d'ouvrage ancien (O/N)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OARG.OA_TRANS</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Pas de FK. Indique si l'ouvrage est une transformation d'un ancien ouvrage existant plutôt qu'une construction neuve.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Ouvrage Submersible (O/N)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OARG.SUBMERSIBLE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Pas de FK. Indique si l'ouvrage est conçu pour être submersible (passage à gué surélevé, radier submersible, etc.).</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Existence Dossier d'ouvrage (O/N)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OARG.DOSSIER_OA</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Pas de FK. Indique si un dossier technique d'ouvrage existe pour cette structure.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générales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Forme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OARG.CODE_FORME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OARG.CODE_FORME → FORME_OA.CODE_FORME. Le dashboard affiche le libellé via FORME_OA.LIB_FORME. La valeur stockée est le code VARCHAR2(4).</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Longueur biaise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OARG.LONG_BIAISE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NUMBER(7,2), pas de FK. Longueur mesurée selon l'axe biais de l'ouvrage en mètres. Différent de FRANADMIN.LONGUEUR qui est la longueur totale du franchissement.</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Biais (grades)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OARG.BIAIS</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NUMBER(5,2), pas de FK. Angle de biais en grades (pas en degrés). 100 grades = angle droit. Un ouvrage perpendiculaire a BIAIS = 100.</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Nombre de travées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OARG.NBRE_TRAVEE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NUMBER(2), pas de FK. Doit correspondre au nombre de lignes dans T_TRAVEES pour cet ouvrage (IDENTIFIANT, NUMOA). Vérifier la cohérence lors de la migration.</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Hauteur Max Sous Tablier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OARG.H_MAX_SOUS_TABLIER</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NUMBER(7,2), pas de FK. Hauteur maximale libre sous le tablier en mètres. Détermine le gabarit de navigation pour les ouvrages sur cours d'eau.</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Portées/Flèche/Ouverture des travées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 travée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T_TRAVEES.NUM_TRAVEE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déclarée : T_TRAVEES.(IDENTIFIANT, NUMOA) → OARG.(IDENTIFIANT, NUMOA). NUM_TRAVEE est le numéro séquentiel de la travée NUMBER(2). Aussi : T_TRAVEES.CODE_PROV → PROVINCE.CODE_PROV (dénormalisé).</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Portées/Flèche/Ouverture des travées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Portée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T_TRAVEES.PORTEE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NUMBER(7,2), pas de FK. Portée de la travée en mètres — distance horizontale entre appuis consécutifs.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Portées/Flèche/Ouverture des travées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Flèche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T_TRAVEES.FLECHE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NUMBER(7,2), pas de FK. Flèche de la travée en mètres — déflexion ou cambrure. Pertinent principalement pour les arches.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Portées/Flèche/Ouverture des travées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Ouverture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T_TRAVEES.OUVERTURE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NUMBER(7,2), pas de FK. Ouverture hydraulique en mètres — largeur libre au niveau des eaux. Critique pour les ouvrages sur cours d'eau (capacité hydraulique).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Profil en travers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Trottoir/accotement de gauche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OARG.LARGTG</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NUMBER(5,2), pas de FK. Largeur du trottoir ou accotement gauche en mètres. TG = Trottoir Gauche. Les 5 colonnes de profil (LARGTG, LARGPCG, LARG_CH, LARGPCD, LARGTD) décrivent la coupe transversale du tablier de gauche à droite.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Profil en travers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Piste cyclable gauche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OARG.LARGPCG</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NUMBER(5,2), pas de FK. Largeur de la piste cyclable gauche en mètres. PCG = Piste Cyclable Gauche.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Profil en travers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Chaussée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OARG.LARG_CH</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NUMBER(5,2), pas de FK. Largeur de la chaussée en mètres — surface circulable pour les véhicules. Largeur utile principale du tablier.</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Profil en travers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Pyste cyclable droite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OARG.LARGPCD</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NUMBER(5,2), pas de FK. Largeur de la piste cyclable droite en mètres. PCD = Piste Cyclable Droite.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Données géométriques &gt; Profil en travers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Trottoir/accotement de droite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OARG.LARGTD</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NUMBER(5,2), pas de FK. Largeur du trottoir ou accotement droit en mètres. TD = Trottoir Droit. Somme des 5 largeurs = largeur totale utile du tablier.</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Structure de tablier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Franchissement structurel</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OARG.CODE_FONCT_OA</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OARG.CODE_FONCT_OA → FONCTION_OA.CODE_FONCT_OA. Le dashboard affiche FONCTION_OA.LIB_FONCT_OA. La valeur stockée est le code VARCHAR2(4). Exemples : pont, viaduc, passage supérieur, passage inférieur, dalot, buse.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Structure de tablier</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Coupe en travers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OARG.CODE_COUPE_TR</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OARG.(CODE_COUPE_TR, CODE_FAMILLE, CODE_SF) → COUPE_TRAVERS.(CODE_COUPE_TR, CODE_FAMILLE, CODE_SF). Le dashboard affiche le libellé via COUPE_TRAVERS.CODE_COUPE_TR → TYPE_COUPE_TRAVERS.LIB_COUPE_TRAVERS. Liste filtrée par famille et sous-famille. Les 3 colonnes doivent être cohérentes lors de la migration.</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Structure de tablier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Matériaux de tablier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OARG.CODE_MATERIAUX</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 composite sur 3 colonnes : OARG.(CODE_MATERIAUX, CODE_FAMILLE, CODE_SF) → MATERIAUX_TABLIER.(CODE_MATERIAUX, CODE_FAMILLE, CODE_SF). Le dashboard affiche le libellé via MATERIAUX_TABLIER.CODE_MATERIAUX → TYPE_MATERIAUX_TABLIER.LIB_MATERIAUX. Même pattern que Coupe en travers.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culée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T_CULEE.NUM_CULEE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 T_CULEE.(IDENTIFIANT, NUMOA) → OARG.(IDENTIFIANT, NUMOA). NUM_CULEE = numéro séquentiel de la culée NUMBER(2) — généralement 1 et 2 pour les deux extrémités. Aussi : T_CULEE.CODE_PROV → PROVINCE.CODE_PROV (dénormalisé).</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culée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T_CULEE.CODE_TYPE_CULEE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T_CULEE.CODE_TYPE_CULEE → CULEE_TYPE.CODE_TYPE_CULEE. Le dashboard affiche CULEE_TYPE.LIB_TYPE_CULEE. La valeur stockée est le code VARCHAR2(4).</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Matériaux culée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T_CULEE.CODE_MATERIAUX_PC</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T_CULEE.CODE_MATERIAUX_PC → PC_MATERIAUX.CODE_MATERIAUX_PC. Le dashboard affiche PC_MATERIAUX.LIB_MATERIAUX_PC. PC = Piles et Culées — même table partagée avec les piles.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Murs type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T_CULEE.CODE_MUR_TYPE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T_CULEE.CODE_MUR_TYPE → CULEE_MUR_TYPE.CODE_MUR_TYPE. Le dashboard affiche CULEE_MUR_TYPE.LIB_MUR_TYPE. Concerne les murs en aile ou en retour de la culée.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Murs matériaux</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T_CULEE.CODE_MUR_MATERIAUX</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T_CULEE.CODE_MUR_MATERIAUX → CULEE_MUR_MATERIAUX.CODE_MUR_MATERIAUX. Le dashboard affiche CULEE_MUR_MATERIAUX.LIB_MUR_MATERIAUX. Peut différer du matériau de la culée elle-même.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Fondations culée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T_CULEE.CODE_FONDATION_PC</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T_CULEE.CODE_FONDATION_PC → FONDATION_TYPE.CODE_FONDATION_PC. Le dashboard affiche FONDATION_TYPE.LIB_FONDATION_PC. PC = Piles et Culées — même table partagée avec les piles.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Culées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Protection culée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T_CULEE.CODE_PROTECTION_PC</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T_CULEE.CODE_PROTECTION_PC → PC_PROTECTION_TYPE.CODE_PROTECTION_PC. Le dashboard affiche PC_PROTECTION_TYPE.LIB_PROTECTION_PC. Protection anti-affouillement autour des fondations. PC = Piles et Culées.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Piles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pile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PILE.NUM_PILE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 PILE.(IDENTIFIANT, NUMOA) → OARG.(IDENTIFIANT, NUMOA). NUM_PILE = numéro séquentiel de la pile NUMBER(2). Une pile par travée intermédiaire. Aussi : PILE.CODE_PROV → PROVINCE.CODE_PROV (dénormalisé).</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Piles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pile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PILE.CODE_TYPE_PILE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PILE.CODE_TYPE_PILE → TYPE_PILE.CODE_TYPE_PILE. Le dashboard affiche TYPE_PILE.LIB_TYPE_PILE. La valeur stockée est le code VARCHAR2(4).</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Piles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Matériaux pile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PILE.CODE_MATERIAUX_PC</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PILE.CODE_MATERIAUX_PC → PC_MATERIAUX.CODE_MATERIAUX_PC. Le dashboard affiche PC_MATERIAUX.LIB_MATERIAUX_PC. Même table de référence que matériaux culée — PC = Piles et Culées.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Piles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Fondations pile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PILE.CODE_FONDATION_PC</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PILE.CODE_FONDATION_PC → FONDATION_TYPE.CODE_FONDATION_PC. Même table que fondations culée — PC = Piles et Culées.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Appuis &gt; Piles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Protection pile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PILE.CODE_PROTECTION_PC</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PILE.CODE_PROTECTION_PC → PC_PROTECTION_TYPE.CODE_PROTECTION_PC. Même table que protection culée. Protection anti-affouillement autour des fondations de pile en rivière.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Chape d'étanchéité</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OARG.CODE_CHAPE_ETANCH</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OARG.CODE_CHAPE_ETANCH → CHAPE_ETANCH_TYPE.CODE_CHAPE_ETANCH. Le dashboard affiche CHAPE_ETANCH_TYPE.LIB_CHAPE_ETANCH. Stocké directement dans OARG car unique par ouvrage.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Joint de chaussée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T_JOINT_CHAUSSEE.CODE_TYPE_JOINT_CT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 T_JOINT_CHAUSSEE.(IDENTIFIANT, NUMOA) → OARG.(IDENTIFIANT, NUMOA). FK sur le code : T_JOINT_CHAUSSEE.CODE_TYPE_JOINT_CT → JOINT_CHAUSEE_TROTTOIR_TYPE.CODE_TYPE_JOINT_CT. Le dashboard affiche LIB_TYPE_JOINT_CT. Plusieurs joints possibles par ouvrage — séquence via SEQ_JOINT_CH.</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Appareil d'appui</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T_APPAREILS_APPUIS.CODE_TYPE_APP</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 T_APPAREILS_APPUIS.(IDENTIFIANT, NUMOA) → OARG.(IDENTIFIANT, NUMOA). FK sur le code : T_APPAREILS_APPUIS.CODE_TYPE_APP → APPAREIL_APPUIS_TYPE.CODE_TYPE_APP. Le dashboard affiche LIB_TYPE_APP. Plusieurs appareils possibles — séquence via SEQ_APPAREIL_APPUIS. Note : APPAREIL_APPUIS_TYPE a aussi une FK sur CODE_FAMILLE.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Dispositif de retenue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T_DISP_RETENU.CODE_DISP_RETEN_TYPE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T_DISP_RETENU.(IDENTIFIANT, NUMOA) → OARG.(IDENTIFIANT, NUMOA). FK sur code : T_DISP_RETENU.(CODE_DISP_RETEN_TYPE, CODE_FAMILLE, CODE_SF) → DISP_RETENU_TYPE.(CODE_DISP_RETEN_TYPE, CODE_FAMILLE, CODE_SF). Le libellé final est dans TYPE_DISP_RETENU_TYPE.LIB_DISP_RETEN_TYPE via DISP_RETENU_TYPE. Filtrée par famille et sous-famille.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 &gt; Trottoirs et joints de trottoir</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trottoir</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T_TROTTOIR.CODE_TYPE_TROTTOIR</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 T_TROTTOIR.(IDENTIFIANT, NUMOA) → OARG.(IDENTIFIANT, NUMOA). FK sur le code : T_TROTTOIR.CODE_TYPE_TROTTOIR → TYPE_TROTTOIR.CODE_TYPE_TROTTOIR. Le dashboard affiche TYPE_TROTTOIR.LIB_TYPE_TROTTOIR. Plusieurs trottoirs possibles — séquence via SEQ_TROTTOIR.</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 &gt; Trottoirs et joints de trottoir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joint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T_TROTTOIR.CODE_TYPE_JOINT_CT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Même table T_TROTTOIR que Type trottoir — même ligne. FK : T_TROTTOIR.CODE_TYPE_JOINT_CT → JOINT_CHAUSEE_TROTTOIR_TYPE.CODE_TYPE_JOINT_CT. Le dashboard affiche LIB_TYPE_JOINT_CT. Joint du trottoir stocké dans la même ligne que le type de trottoir.</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 &gt; Dispositif de drainage des eaux de chaussée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de dispositif de drainage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T_ASSAINISSEMENT.CODE_ASSAINISSEMENT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T_ASSAINISSEMENT.(IDENTIFIANT, NUMOA) → OARG.(IDENTIFIANT, NUMOA). FK sur code : T_ASSAINISSEMENT.(CODE_ASSAINISSEMENT, CODE_FAMILLE, CODE_SF) → DISP_ASSAINISSEMENT.(CODE_ASSAINISSEMENT, CODE_FAMILLE, CODE_SF). Le libellé final est dans TYPE_DISP_ASSAINISSEMENT via DISP_ASSAINISSEMENT. Filtrée par famille et sous-famille.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Equipements &gt; Dispositif de drainage des eaux de chaussée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Nombre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T_ASSAINISSEMENT.NOMBRE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NUMBER(2), pas de FK. Quantité de dispositifs de drainage. Même ligne T_ASSAINISSEMENT que le type de dispositif.</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Autres équipements &gt; Réseau porté - Nature / Localisation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Nature du réseau porté</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T_RES_PORTE.CODE_RES_P_NAT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T_RES_PORTE.(IDENTIFIANT, NUMOA) → OARG.(IDENTIFIANT, NUMOA). FK sur code : T_RES_PORTE.(CODE_RES_P_NAT, CODE_FAMILLE, CODE_SF) → RESEAU_P_NATURE.(CODE_RES_P_NAT, CODE_FAMILLE, CODE_SF). Le libellé final est dans TYPE_RESEAU_P_NATURE via RESEAU_P_NATURE. Nature : eau, électricité, télécoms, gaz, etc.</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Autres équipements &gt; Réseau porté - Nature / Localisation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Localisation du réseau porté</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T_RES_PORTE.CODE_RES_P_LOC</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dans la même ligne T_RES_PORTE : T_RES_PORTE.(CODE_RES_P_LOC, CODE_FAMILLE, CODE_SF) → RESEAU_P_LOCALISATION.(CODE_RES_P_LOC, CODE_FAMILLE, CODE_SF). Le libellé final est dans TYPE_RESEAU_P_LOCALISATION. Localisation : sous tablier, en encorbellement, en caniveau, etc.</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Autres équipements &gt; Réseau porté - Nature / Localisation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Diamètre en mm</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T_RES_PORTE.DIAMETRE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NUMBER(7,2), pas de FK. Diamètre du réseau porté en millimètres. Même ligne T_RES_PORTE que nature et localisation.</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Autres équipements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Dispositif permanent de visite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T_DISP_VISITE.CODE_DISP_VISITE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T_DISP_VISITE.(IDENTIFIANT, NUMOA) → OARG.(IDENTIFIANT, NUMOA). FK sur code : T_DISP_VISITE.(CODE_DISP_VISITE, CODE_FAMILLE, CODE_SF) → DISP_PERMAN_VISITE.(CODE_DISP_VISITE, CODE_FAMILLE, CODE_SF). Le libellé final est dans TYPE_DISP_PERMAN_VISITE via DISP_PERMAN_VISITE. Équipements d'accès inspection permanents : passerelles, échelles, nacelles fixes.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Autres équipements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Dispositif permanent de suivi</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T_DISP_SUIVI.CODE_DISP_SUIV</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T_DISP_SUIVI.(IDENTIFIANT, NUMOA) → OARG.(IDENTIFIANT, NUMOA). FK sur code : T_DISP_SUIVI.(CODE_DISP_SUIV, CODE_FAMILLE, CODE_SF) → DISP_PERMAN_SUIVI.(CODE_DISP_SUIV, CODE_FAMILLE, CODE_SF). Le libellé final est dans TYPE_DISP_PERMAN_SUIVI via DISP_PERMAN_SUIVI. Instruments de surveillance permanente : jauges de fissuration, capteurs de déplacement.</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Commentaires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Commentaires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COMMENTAIRE_OARG.COMMENTAIRE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 composite : COMMENTAIRE_OARG.(IDENTIFIANT, NUMOA) → OARG.(IDENTIFIANT, NUMOA). Aussi : COMMENTAIRE_OARG.CODE_PROV → PROVINCE.CODE_PROV. COMMENTAIRE VARCHAR2(500), texte libre. Une ligne par ouvrage. Stocké dans une table séparée pour permettre un suivi indépendant via CTRL1.</w:t>
            </w:r>
          </w:p>
        </w:tc>
      </w:tr>
    </w:tbl>
    <w:p>
      <w:r>
        <w:br w:type="page"/>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3.3 Visite</w:t>
      </w:r>
    </w:p>
    <w:p>
      <w:pPr>
        <w:spacing w:before="80" w:after="80"/>
        <w:jc w:val="left"/>
      </w:pPr>
      <w:r>
        <w:rPr>
          <w:rFonts w:ascii="Arial" w:cs="Arial" w:eastAsia="Arial" w:hAnsi="Arial"/>
          <w:b w:val="false"/>
          <w:bCs w:val="false"/>
          <w:i w:val="false"/>
          <w:iCs w:val="false"/>
          <w:color w:val="1A1A1A"/>
          <w:sz w:val="22"/>
          <w:szCs w:val="22"/>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7038"/>
      </w:tblGrid>
      <w:tr>
        <w:trPr>
          <w:tblHeader/>
        </w:trPr>
        <w:tc>
          <w:tcPr>
            <w:tcW w:type="dxa" w:w="20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Path</w:t>
            </w:r>
          </w:p>
        </w:tc>
        <w:tc>
          <w:tcPr>
            <w:tcW w:type="dxa" w:w="29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Field</w:t>
            </w:r>
          </w:p>
        </w:tc>
        <w:tc>
          <w:tcPr>
            <w:tcW w:type="dxa" w:w="2900"/>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Table.Column</w:t>
            </w:r>
          </w:p>
        </w:tc>
        <w:tc>
          <w:tcPr>
            <w:tcW w:type="dxa" w:w="7038"/>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Note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Ouvrage sur: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FRANADMIN.CODE_VPT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le franchissement. Le dashboard affiche le libellé de ce que l'ouvrage franchit via FRANADMIN.CODE_VPT → VOIES_PORTEE_TYPE.LIB_VP_TYPE. Chemin : VISITE.(IDENTIFIANT, NUMOA) → OARG.(IDENTIFIANT, NUMOA) → OARG.IDENTIFIANT → FRANADMIN.IDENTIFIANT → FRANADMIN.CODE_VPT. Pas d'insertion pour ce champ.</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OARG.NUMOA</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l'ouvrage — affiché en lecture seule dans l'en-tête visite. NUMOA = numéro séquentiel de l'ouvrage dans le franchissement. Chemin : VISITE.(IDENTIFIANT, NUMOA) → OARG.(IDENTIFIANT, NUMOA) → OARG.NUMOA. Pas d'insertion pour ce champ dans VISITE.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Pk</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FRANADMIN.VP_PK</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le franchissement. Le dashboard affiche FRANADMIN.VP_PK. Chemin : VISITE.IDENTIFIANT → OARG.IDENTIFIANT → FRANADMIN.IDENTIFIANT → FRANADMIN.VP_PK. Pas d'insertion pour ce champ.</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Famille OA</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VISITE.CODE_FAMILLE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VISITE.CODE_FAMILLE → FAMILLE_OA.CODE_FAMILLE. Le dashboard affiche FAMILLE_OA.LIB_FAMILLE. Dénormalisé dans VISITE pour filtrage. CODE_FAMILLE conditionne les listes de parties d'ouvrage, notes, et actions.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Retour 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Bouton de navigation pure — retour à l'écran Détails Ouvrage. Aucune donnée affichée ou stockée.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Retour Franchissement</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Bouton de navigation pure — retour à l'écran Franchissement. Aucune donnée affichée ou stockée.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Saisir/Afficher Photos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T_ALBUM_PHOTOS.IDENTIFIANT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Photos de la visite courante. FK composite : T_ALBUM_PHOTOS.(IDENTIFIANT, NUMOA) → OARG.(IDENTIFIANT, NUMOA). Colonnes : NUM_ORDRE (séquence), IMAGE (BLOB), COMMENTAIRE, DATE_PHOTOS. Pour la migration : photos de visite à insérer dans T_ALBUM_PHOTOS avec le bon (IDENTIFIANT, NUMOA).</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Tableau visites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Numéro visite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VISITE.NUM_VISITE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Numéro séquentiel de la visite pour cet ouvrage. NUMBER(2). Avec (IDENTIFIANT, NUMOA) forme la clé composite primaire de VISITE. La clé PK complète est : VISITE.(IDENTIFIANT, NUMOA, NUM_VISITE).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Tableau visites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de la Visite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VISITE.CODE_VISITE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VISITE.CODE_VISITE → TYPE_VISITE.CODE_VISITE. Le dashboard affiche TYPE_VISITE.LIB_VISITE. Types : IDP (Inspection Détaillée Périodique), IS (Inspection Spéciale), VR (Visite Rapide), etc. La valeur stockée est le code VARCHAR2(4).</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Tableau visites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Date de la Visite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VISITE.DATE_VISITE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Type DATE, pas de FK. Date de réalisation de la visite. Dans les données d'exemple : 2012-10-10.</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Partie d'ouvrage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T_SYNTHESE_OA.CODE_PARTIE_OUV</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déclarée : T_SYNTHESE_OA.(CODE_CL_ETAT, CODE_PARTIE_OUV, CODE_FAMILLE) → NOTE.(CODE_CL_ETAT, CODE_PARTIE_OUV, CODE_FAMILLE). Aussi : T_SYNTHESE_OA.(IDENTIFIANT, NUMOA, NUM_VISITE) → VISITE.(IDENTIFIANT, NUMOA, NUM_VISITE). Valeur automatique — les parties d'ouvrage sont S, F, E, P (Superstructure, Fondations, Equipements, Protections), générées par l'application pour chaque visite.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Ancienne classe d'état</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T_SYNTHESE_OA.ANCIEN_CODE_CL_ETAT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affichée en lecture seule — importée depuis la visite précédente. Stockée dans T_SYNTHESE_OA.ANCIEN_CODE_CL_ETAT VARCHAR2(4). Code de la classe d'état de la visite précédente pour cette partie d'ouvrage. Résolu via NOTE.LIB_CL_ETAT pour l'affichage.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Nouvelle classe d'état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T_SYNTHESE_OA.CODE_CL_ETAT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3 colonnes : T_SYNTHESE_OA.(CODE_CL_ETAT, CODE_PARTIE_OUV, CODE_FAMILLE) → NOTE.(CODE_CL_ETAT, CODE_PARTIE_OUV, CODE_FAMILLE). Le dashboard affiche NOTE.LIB_CL_ETAT. La valeur stockée est le code. La liste est filtrée par partie d'ouvrage et famille. Exemples : 1, 2, 3U, 3, 4, 5SU, etc.</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Risque usager U</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T_SYNTHESE_OA.RISQUE_USAGER</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un risque pour l'usager est identifié sur cette partie d'ouvrage. Le suffixe U dans le dashboard désigne ce risque usager. Pas de FK.</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Evolution manifeste par rapport à la précédente visite ou inspection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T_SYNTHESE_OA.EVOLUTION_MANIFESTE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Texte libre VARCHAR2, pas de FK directe. Décrit l'évolution observable depuis la visite précédente. Note : les tables EVOLUTION_MANIF et EVOLUTION_MANIF_NE existent dans le schéma mais T_SYNTHESE_OA.EVOLUTION_MANIFESTE est une colonne texte libre sans FK déclarée vers ces tables.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Conclusion / Type d'intervention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NOTE.LIB_TYPE_INT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automatique dérivée de CODE_CL_ETAT. Le dashboard affiche NOTE.LIB_TYPE_INT — la conclusion d'intervention correspondant à la classe d'état. Même colonne CODE_CL_ETAT que Nouvelle classe d'état — la conclusion est automatiquement déterminée par la classe choisie via NOTE.LIB_TYPE_INT. Pas d'insertion séparée.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Ensemble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VISITE.NOTE_ENSEMBLE_OA</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Note globale de l'ouvrage VARCHAR2(4). Stockée dans VISITE, pas dans T_SYNTHESE_OA. Résumé synthétique de l'état général. Dans les données d'exemple : '5SU', '3PU*', '5S', '2EP'. Pas de FK déclarée.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Conclusion générale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VISITE.CODE_CONCL_AMENAG</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déclarée : VISITE.(CODE_FAMILLE, CODE_CONCL_AMENAG) → CONCL_AMENAG.(CODE_FAMILLE, CODE_CONCL_AMENAG). Le dashboard affiche le libellé via CONCL_AMENAG.CODE_CONCL_AMENAG → TYPE_AMENAGEMENT.LIB_CONCL_AMENAG. La liste est filtrée par CODE_FAMILLE. Exemples : AM1, AM2, A11, etc.</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Synthèse de l'état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Montant estimé de l'aménagement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VISITE.MONTANT_AMENAGE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 pas de FK. Montant estimé du coût d'aménagement ou d'intervention en dirhams ou KDH. Dans les données d'exemple : 100, 150, 105. Stocké directement dans VISITE.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Ensemble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de surveillance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T_REGIME_SURVEILLANCE.CODE_TYPE_SURV</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T_REGIME_SURVEILLANCE.CODE_TYPE_SURV → TYPE_SURVEILLANCE.CODE_TYPE_SURV. Le dashboard affiche TYPE_SURVEILLANCE.LIB_TYPE_SURV. FK composite sur la visite : T_REGIME_SURVEILLANCE.(IDENTIFIANT, NUMOA, NUM_VISITE) → VISITE.(IDENTIFIANT, NUMOA, NUM_VISITE). La valeur stockée est le code VARCHAR2(4).</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Ensemble de l'ouvrage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Mois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T_REGIME_SURVEILLANCE.MOIS</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 pas de FK. Mois de la prochaine surveillance recommandée (1-12). Même ligne T_REGIME_SURVEILLANCE que Type de surveillance.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Ensemble de l'ouvrage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Année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T_REGIME_SURVEILLANCE.ANNEE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 pas de FK. Année de la prochaine surveillance recommandée. Même ligne T_REGIME_SURVEILLANCE que Type de surveillance et Mois.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Parties de l'ouvrage à surveiller en particulier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Superstructures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T_REGIME_SURVEILLANCE.SUPERSTRUCTURE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les superstructures doivent faire l'objet d'une surveillance particulière. Stocké dans T_REGIME_SURVEILLANCE avec FK composite sur PARTIE_OUVRAGE : T_REGIME_SURVEILLANCE.(CODE_PARTIE_OUV, CODE_FAMILLE) → PARTIE_OUVRAGE.(CODE_PARTIE_OUV, CODE_FAMILLE).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Parties de l'ouvrage à surveiller en particulier</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Fondation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T_REGIME_SURVEILLANCE.FONDATION</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les fondations doivent faire l'objet d'une surveillance particulière. Même ligne T_REGIME_SURVEILLANCE que Superstructures.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Parties de l'ouvrage à surveiller en particulier</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Equipement</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T_REGIME_SURVEILLANCE.EQUIPEMENT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les équipements doivent faire l'objet d'une surveillance particulière. Même ligne T_REGIME_SURVEILLANCE que Superstructures.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 &gt; Parties de l'ouvrage à surveiller en particulier</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Protection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T_REGIME_SURVEILLANCE.PROTECTION</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les protections doivent faire l'objet d'une surveillance particulière. Même ligne T_REGIME_SURVEILLANCE que Superstructures.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Régime de surveillance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Commentaires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T_REGIME_SURVEILLANCE.COMMENTAIRE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VARCHAR2, texte libre, pas de FK. Commentaire sur le régime de surveillance recommandé. Stocké dans T_REGIME_SURVEILLANCE — même table que Type de surveillance, Mois, Année et les 4 booléens.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récapitulatif des notes et décisions par famille de composants &gt; Familles de composants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S - Superstructure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T_SYNTHESE_OA.CODE_CL_ETAT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automatique — note de la partie Superstructure (CODE_PARTIE_OUV = 'S'). Ligne T_SYNTHESE_OA filtrée par CODE_PARTIE_OUV = 'S'. Le dashboard l'affiche dans le tableau récapitulatif. Résolu via NOTE.(CODE_CL_ETAT, CODE_PARTIE_OUV, CODE_FAMILLE).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récapitulatif des notes et décisions par famille de composants &gt; Familles de composants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F - Fondations et Appuis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T_SYNTHESE_OA.CODE_CL_ETAT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automatique — note de la partie Fondations (CODE_PARTIE_OUV = 'F'). Même logique que S - Superstructure, filtrée par CODE_PARTIE_OUV = 'F'.</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récapitulatif des notes et décisions par famille de composants &gt; Familles de composants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 - Equipements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T_SYNTHESE_OA.CODE_CL_ETAT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automatique — note de la partie Equipements (CODE_PARTIE_OUV = 'E'). Même logique que S, filtrée par CODE_PARTIE_OUV = 'E'.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récapitulatif des notes et décisions par famille de composants &gt; Familles de composants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 - Protections et voisinage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T_SYNTHESE_OA.CODE_CL_ETAT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automatique — note de la partie Protections (CODE_PARTIE_OUV = 'P'). Même logique que S, filtrée par CODE_PARTIE_OUV = 'P'.</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récapitulatif des notes et décisions par famille de composants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Note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T_SYNTHESE_OA.CODE_CL_ETAT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importée depuis T_SYNTHESE_OA.CODE_CL_ETAT pour la partie concernée. Le dashboard affiche le code de classe d'état dans la colonne Note du tableau récapitulatif. Même colonne que Nouvelle classe d'état dans la Synthèse — c'est une redisplay du même champ.</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récapitulatif des notes et décisions par famille de composants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Décision (type) associée à la note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NOTE.LIB_TYPE_INT</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Valeur automatique dérivée de CODE_CL_ETAT via la table NOTE. Le dashboard affiche NOTE.LIB_TYPE_INT — le type d'intervention associé à la classe d'état. Chemin : T_SYNTHESE_OA.CODE_CL_ETAT → NOTE.CODE_CL_ETAT → NOTE.LIB_TYPE_INT. Pas d'insertion séparée.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N° d'action prévue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T_ACTIONS_PREVUES.NUM_ACTION_PRV</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Numéro séquentiel de l'action prévue NUMBER(2). FK composite principale : T_ACTIONS_PREVUES.(IDENTIFIANT, NUMOA, NUM_VISITE, CODE_PARTIE_OUV) → T_SYNTHESE_OA.(IDENTIFIANT, NUMOA, NUM_VISITE, CODE_PARTIE_OUV). Ordre d'insertion : VISITE → T_SYNTHESE_OA → T_ACTIONS_PREVUES.</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d'action d'entretien et de réparation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T_ACTIONS_PREVUES.NUM_ACTION</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composite sur 4 colonnes : T_ACTIONS_PREVUES.(CODE_FAMILLE, NUM_ACTION, CODE_CLASSE, CODE_PARTIE_OUV) → ACTION.(CODE_FAMILLE, NUM_ACTION, CODE_CLASSE, CLASSE). Le dashboard affiche le libellé via ACTION.NUM_ACTION → TYPE_ACTION.LIB_ACTION. La liste est filtrée par famille et partie d'ouvrage. La valeur stockée est le numéro d'action NUMBER.</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Intervention lourde (O/N)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T_ACTIONS_PREVUES.LOURDE</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l'action constitue une intervention lourde (travaux importants) ou légère (entretien courant). Pas de FK.</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Estimation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T_ACTIONS_PREVUES.ESTIMATION</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 pas de FK. Coût estimé de l'action prévue en dirhams our KDH. Stocké directement dans T_ACTIONS_PREVUES.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Exécutant</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T_ACTIONS_PREVUES.EXECUTANT</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VARCHAR2(100), pas de FK déclarée malgré l'existence de la table EXECUTANT dans le schéma. Champ texte libre dans T_ACTIONS_PREVUES — la table EXECUTANT (colonnes : NUM_LIGNE, LIB_EXECUTANT) existe mais n'est pas liée par FK. Mapping partiel à documenter et à confirmer avec le client.</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Urgence (O/N)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T_ACTIONS_PREVUES.URGENCE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Booléen VARCHAR2(1), valeurs O/N. Indique si l'action est urgente. Pas de FK.</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Actions prévues &gt; Tableau des types d'action d'entretien et de réparation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Date limite réalisation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T_ACTIONS_PREVUES.DATE_LIMITE_REALIS</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Type DATE, pas de FK. Date limite de réalisation de l'action prévue.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Prochaine visite &gt; Prochaine visite ou inspection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Type de la visite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T_PROCHAINE_VISITE.CODE_VISITE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T_PROCHAINE_VISITE.CODE_VISITE → TYPE_VISITE.CODE_VISITE. Le dashboard affiche TYPE_VISITE.LIB_VISITE. FK composite sur la visite courante : T_PROCHAINE_VISITE.(IDENTIFIANT, NUMOA, NUM_VISITE) → VISITE.(IDENTIFIANT, NUMOA, NUM_VISITE). Ordre d'insertion : VISITE → T_PROCHAINE_VISITE.</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Prochaine visite &gt; Prochaine visite ou inspection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Mois</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T_PROCHAINE_VISITE.MOIS</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 pas de FK. Mois recommandé pour la prochaine visite (1-12). Même ligne T_PROCHAINE_VISITE que Type de la visite.</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Prochaine visite &gt; Prochaine visite ou inspection</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Année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T_PROCHAINE_VISITE.ANNEE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NUMBER, pas de FK. Année recommandée pour la prochaine visite. Même ligne T_PROCHAINE_VISITE que Type de la visite et Mois.</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Prochaine visite &gt; Prochaine visite ou inspection</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Restriction de la circulation pendant la visite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T_PROCHAINE_VISITE.CODE_RESTR_CIRCUL</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T_PROCHAINE_VISITE.CODE_RESTR_CIRCUL → RESTRICT_CIRCUL.CODE_RESTR_CIRCUL. Le dashboard affiche RESTRICT_CIRCUL.LIB_RESTR_CIRCUL. La valeur stockée est le code VARCHAR2(4). Indique si une restriction de circulation sera nécessaire pendant la prochaine inspection.</w:t>
            </w:r>
          </w:p>
        </w:tc>
      </w:tr>
      <w:tr>
        <w:tc>
          <w:tcPr>
            <w:tcW w:type="dxa" w:w="20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Prochaine visite</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Commentaires</w:t>
            </w:r>
          </w:p>
        </w:tc>
        <w:tc>
          <w:tcPr>
            <w:tcW w:type="dxa" w:w="2900"/>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T_PROCHAINE_VISITE.COMMENTAIRE</w:t>
            </w:r>
          </w:p>
        </w:tc>
        <w:tc>
          <w:tcPr>
            <w:tcW w:type="dxa" w:w="7038"/>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VARCHAR2, texte libre, pas de FK. Commentaire sur la prochaine visite recommandée. Stocké dans T_PROCHAINE_VISITE — même table que Type, Mois, Année et Restriction.</w:t>
            </w:r>
          </w:p>
        </w:tc>
      </w:tr>
      <w:tr>
        <w:tc>
          <w:tcPr>
            <w:tcW w:type="dxa" w:w="20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6"/>
                <w:szCs w:val="16"/>
              </w:rPr>
              <w:t xml:space="preserve">Prochaine visite</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Tableau de matériel à prévoir</w:t>
            </w:r>
          </w:p>
        </w:tc>
        <w:tc>
          <w:tcPr>
            <w:tcW w:type="dxa" w:w="2900"/>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T_MATERIEL.CODE_MAT_A_PREV</w:t>
            </w:r>
          </w:p>
        </w:tc>
        <w:tc>
          <w:tcPr>
            <w:tcW w:type="dxa" w:w="7038"/>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555555"/>
                <w:sz w:val="15"/>
                <w:szCs w:val="15"/>
              </w:rPr>
              <w:t xml:space="preserve">FK déclarée : T_MATERIEL.CODE_MAT_A_PREV → MATERIEL_A_PREVOIR.CODE_MAT_A_PREV. Le dashboard affiche MATERIEL_A_PREVOIR.LIB_MAT_A_PREV. FK composite sur la prochaine visite : T_MATERIEL.(IDENTIFIANT, NUMOA, NUM_VISITE) → T_PROCHAINE_VISITE.(IDENTIFIANT, NUMOA, NUM_VISITE). Plusieurs matériels possibles par visite. Ordre d'insertion : VISITE → T_PROCHAINE_VISITE → T_MATERIEL.</w:t>
            </w:r>
          </w:p>
        </w:tc>
      </w:tr>
    </w:tbl>
    <w:p>
      <w:pPr>
        <w:sectPr>
          <w:headerReference w:type="default" r:id="rId8"/>
          <w:footerReference w:type="default" r:id="rId9"/>
          <w:type w:val="nextPage"/>
          <w:pgSz w:w="16838" w:h="11906" w:orient="landscape"/>
          <w:pgMar w:top="1000" w:right="1000" w:bottom="1000" w:left="1000" w:header="708" w:footer="708" w:gutter="0"/>
          <w:pgNumType/>
          <w:docGrid w:linePitch="360"/>
        </w:sectPr>
      </w:pPr>
    </w:p>
    <w:p>
      <w:pPr>
        <w:pStyle w:val="Heading1"/>
        <w:pBdr>
          <w:bottom w:val="single" w:color="2E75B6" w:sz="4" w:space="1"/>
        </w:pBdr>
        <w:shd w:fill="1F4E79" w:val="clear"/>
        <w:spacing w:before="360" w:after="180"/>
        <w:ind w:left="200"/>
      </w:pPr>
      <w:r>
        <w:rPr>
          <w:rFonts w:ascii="Arial" w:cs="Arial" w:eastAsia="Arial" w:hAnsi="Arial"/>
          <w:b/>
          <w:bCs/>
          <w:i w:val="false"/>
          <w:iCs w:val="false"/>
          <w:color w:val="FFFFFF"/>
          <w:sz w:val="28"/>
          <w:szCs w:val="28"/>
        </w:rPr>
        <w:t xml:space="preserve">4. Schema Issues</w:t>
      </w:r>
    </w:p>
    <w:p>
      <w:pPr>
        <w:spacing w:before="80" w:after="160"/>
        <w:jc w:val="left"/>
      </w:pPr>
      <w:r>
        <w:rPr>
          <w:rFonts w:ascii="Arial" w:cs="Arial" w:eastAsia="Arial" w:hAnsi="Arial"/>
          <w:b w:val="false"/>
          <w:bCs w:val="false"/>
          <w:i w:val="false"/>
          <w:iCs w:val="false"/>
          <w:color w:val="1A1A1A"/>
          <w:sz w:val="20"/>
          <w:szCs w:val="20"/>
        </w:rPr>
        <w:t xml:space="preserve">Analysis of the SGOAM2.sql schema revealed four integrity anomalies that should be corrected before or during migration. These anomalies do not prevent the existing application from functioning but present risks for the quality of migrated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C00000" w:val="clear"/>
            <w:tcMar>
              <w:top w:type="dxa" w:w="100"/>
              <w:left w:type="dxa" w:w="100"/>
              <w:bottom w:type="dxa" w:w="100"/>
              <w:right w:type="dxa" w:w="100"/>
            </w:tcMar>
            <w:vAlign w:val="top"/>
          </w:tcPr>
          <w:p>
            <w:pPr>
              <w:spacing w:before="0" w:after="0"/>
              <w:jc w:val="center"/>
            </w:pPr>
            <w:r>
              <w:rPr>
                <w:rFonts w:ascii="Arial" w:cs="Arial" w:eastAsia="Arial" w:hAnsi="Arial"/>
                <w:b/>
                <w:bCs/>
                <w:i w:val="false"/>
                <w:iCs w:val="false"/>
                <w:color w:val="FFFFFF"/>
                <w:sz w:val="26"/>
                <w:szCs w:val="26"/>
              </w:rPr>
              <w:t xml:space="preserve">#1</w:t>
            </w:r>
          </w:p>
        </w:tc>
        <w:tc>
          <w:tcPr>
            <w:tcW w:type="dxa" w:w="9306"/>
            <w:tcBorders>
              <w:top w:val="none" w:color="FFFFFF" w:sz="0"/>
              <w:left w:val="none" w:color="FFFFFF" w:sz="0"/>
              <w:bottom w:val="none" w:color="FFFFFF" w:sz="0"/>
              <w:right w:val="none" w:color="FFFFFF" w:sz="0"/>
            </w:tcBorders>
            <w:shd w:fill="F2F2F2" w:val="clear"/>
            <w:tcMar>
              <w:top w:type="dxa" w:w="80"/>
              <w:left w:type="dxa" w:w="140"/>
              <w:bottom w:type="dxa" w:w="80"/>
              <w:right w:type="dxa" w:w="100"/>
            </w:tcMar>
          </w:tcPr>
          <w:p>
            <w:pPr>
              <w:spacing w:before="0" w:after="60"/>
              <w:jc w:val="left"/>
            </w:pPr>
            <w:r>
              <w:rPr>
                <w:rFonts w:ascii="Arial" w:cs="Arial" w:eastAsia="Arial" w:hAnsi="Arial"/>
                <w:b/>
                <w:bCs/>
                <w:i w:val="false"/>
                <w:iCs w:val="false"/>
                <w:color w:val="C00000"/>
                <w:sz w:val="22"/>
                <w:szCs w:val="22"/>
              </w:rPr>
              <w:t xml:space="preserve">T_FRAN_VFT — Missing unique index</w:t>
            </w:r>
          </w:p>
          <w:p>
            <w:pPr>
              <w:spacing w:before="0" w:after="60"/>
              <w:jc w:val="left"/>
            </w:pPr>
            <w:r>
              <w:rPr>
                <w:rFonts w:ascii="Arial" w:cs="Arial" w:eastAsia="Arial" w:hAnsi="Arial"/>
                <w:b w:val="false"/>
                <w:bCs w:val="false"/>
                <w:i w:val="false"/>
                <w:iCs w:val="false"/>
                <w:color w:val="1A1A1A"/>
                <w:sz w:val="20"/>
                <w:szCs w:val="20"/>
              </w:rPr>
              <w:t xml:space="preserve">Table T_FRAN_VFT has no declared unique index. The logical key is (IDENTIFIANT + CODE_VFT) but nothing prevents insertion of duplicate rows. T_FRAN_VFT links a franchise to the type of obstacle it crosses.</w:t>
            </w:r>
          </w:p>
          <w:p>
            <w:pPr>
              <w:spacing w:before="0" w:after="60"/>
              <w:jc w:val="left"/>
            </w:pPr>
            <w:r>
              <w:rPr>
                <w:rFonts w:ascii="Arial" w:cs="Arial" w:eastAsia="Arial" w:hAnsi="Arial"/>
                <w:b/>
                <w:bCs/>
                <w:i w:val="false"/>
                <w:iCs w:val="false"/>
                <w:color w:val="D35400"/>
                <w:sz w:val="18"/>
                <w:szCs w:val="18"/>
              </w:rPr>
              <w:t xml:space="preserve">⚠ </w:t>
            </w:r>
            <w:r>
              <w:rPr>
                <w:rFonts w:ascii="Arial" w:cs="Arial" w:eastAsia="Arial" w:hAnsi="Arial"/>
                <w:b w:val="false"/>
                <w:bCs w:val="false"/>
                <w:i/>
                <w:iCs/>
                <w:color w:val="1A1A1A"/>
                <w:sz w:val="18"/>
                <w:szCs w:val="18"/>
              </w:rPr>
              <w:t xml:space="preserve">Two identical inserts (IDENTIFIANT='AG134', CODE_VFT='RIV') both succeed. The obstacle "river" appears twice in the dashboard dropdown.</w:t>
            </w:r>
          </w:p>
          <w:p>
            <w:pPr>
              <w:spacing w:before="0" w:after="0"/>
              <w:jc w:val="left"/>
            </w:pPr>
            <w:r>
              <w:rPr>
                <w:rFonts w:ascii="Arial" w:cs="Arial" w:eastAsia="Arial" w:hAnsi="Arial"/>
                <w:b/>
                <w:bCs/>
                <w:i w:val="false"/>
                <w:iCs w:val="false"/>
                <w:color w:val="1E5631"/>
                <w:sz w:val="18"/>
                <w:szCs w:val="18"/>
              </w:rPr>
              <w:t xml:space="preserve">✓ </w:t>
            </w:r>
            <w:r>
              <w:rPr>
                <w:rFonts w:ascii="Arial" w:cs="Arial" w:eastAsia="Arial" w:hAnsi="Arial"/>
                <w:b w:val="false"/>
                <w:bCs w:val="false"/>
                <w:i w:val="false"/>
                <w:iCs w:val="false"/>
                <w:color w:val="1A1A1A"/>
                <w:sz w:val="18"/>
                <w:szCs w:val="18"/>
              </w:rPr>
              <w:t xml:space="preserve">Add: CREATE UNIQUE INDEX IDX_FRAN_VFT_PK ON SGOAM.T_FRAN_VFT (IDENTIFIANT, CODE_VFT);</w:t>
            </w:r>
          </w:p>
        </w:tc>
      </w:tr>
    </w:tbl>
    <w:p>
      <w:pPr>
        <w:spacing w:before="80" w:after="80"/>
        <w:jc w:val="left"/>
      </w:pPr>
      <w:r>
        <w:rPr>
          <w:rFonts w:ascii="Arial" w:cs="Arial" w:eastAsia="Arial" w:hAnsi="Arial"/>
          <w:b w:val="false"/>
          <w:bCs w:val="false"/>
          <w:i w:val="false"/>
          <w:iCs w:val="false"/>
          <w:color w:val="1A1A1A"/>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C00000" w:val="clear"/>
            <w:tcMar>
              <w:top w:type="dxa" w:w="100"/>
              <w:left w:type="dxa" w:w="100"/>
              <w:bottom w:type="dxa" w:w="100"/>
              <w:right w:type="dxa" w:w="100"/>
            </w:tcMar>
            <w:vAlign w:val="top"/>
          </w:tcPr>
          <w:p>
            <w:pPr>
              <w:spacing w:before="0" w:after="0"/>
              <w:jc w:val="center"/>
            </w:pPr>
            <w:r>
              <w:rPr>
                <w:rFonts w:ascii="Arial" w:cs="Arial" w:eastAsia="Arial" w:hAnsi="Arial"/>
                <w:b/>
                <w:bCs/>
                <w:i w:val="false"/>
                <w:iCs w:val="false"/>
                <w:color w:val="FFFFFF"/>
                <w:sz w:val="26"/>
                <w:szCs w:val="26"/>
              </w:rPr>
              <w:t xml:space="preserve">#2</w:t>
            </w:r>
          </w:p>
        </w:tc>
        <w:tc>
          <w:tcPr>
            <w:tcW w:type="dxa" w:w="9306"/>
            <w:tcBorders>
              <w:top w:val="none" w:color="FFFFFF" w:sz="0"/>
              <w:left w:val="none" w:color="FFFFFF" w:sz="0"/>
              <w:bottom w:val="none" w:color="FFFFFF" w:sz="0"/>
              <w:right w:val="none" w:color="FFFFFF" w:sz="0"/>
            </w:tcBorders>
            <w:shd w:fill="F2F2F2" w:val="clear"/>
            <w:tcMar>
              <w:top w:type="dxa" w:w="80"/>
              <w:left w:type="dxa" w:w="140"/>
              <w:bottom w:type="dxa" w:w="80"/>
              <w:right w:type="dxa" w:w="100"/>
            </w:tcMar>
          </w:tcPr>
          <w:p>
            <w:pPr>
              <w:spacing w:before="0" w:after="60"/>
              <w:jc w:val="left"/>
            </w:pPr>
            <w:r>
              <w:rPr>
                <w:rFonts w:ascii="Arial" w:cs="Arial" w:eastAsia="Arial" w:hAnsi="Arial"/>
                <w:b/>
                <w:bCs/>
                <w:i w:val="false"/>
                <w:iCs w:val="false"/>
                <w:color w:val="C00000"/>
                <w:sz w:val="22"/>
                <w:szCs w:val="22"/>
              </w:rPr>
              <w:t xml:space="preserve">HIST_OUV — Missing FK constraints</w:t>
            </w:r>
          </w:p>
          <w:p>
            <w:pPr>
              <w:spacing w:before="0" w:after="60"/>
              <w:jc w:val="left"/>
            </w:pPr>
            <w:r>
              <w:rPr>
                <w:rFonts w:ascii="Arial" w:cs="Arial" w:eastAsia="Arial" w:hAnsi="Arial"/>
                <w:b w:val="false"/>
                <w:bCs w:val="false"/>
                <w:i w:val="false"/>
                <w:iCs w:val="false"/>
                <w:color w:val="1A1A1A"/>
                <w:sz w:val="20"/>
                <w:szCs w:val="20"/>
              </w:rPr>
              <w:t xml:space="preserve">Table HIST_OUV has no declared foreign key constraints at all. Columns IDENTIFIANT and NUMOA should reference OARG but no ALTER TABLE was declared. By comparison, HIST_FRAN correctly declares its FKs to FRANADMIN and PROVINCE.</w:t>
            </w:r>
          </w:p>
          <w:p>
            <w:pPr>
              <w:spacing w:before="0" w:after="60"/>
              <w:jc w:val="left"/>
            </w:pPr>
            <w:r>
              <w:rPr>
                <w:rFonts w:ascii="Arial" w:cs="Arial" w:eastAsia="Arial" w:hAnsi="Arial"/>
                <w:b/>
                <w:bCs/>
                <w:i w:val="false"/>
                <w:iCs w:val="false"/>
                <w:color w:val="D35400"/>
                <w:sz w:val="18"/>
                <w:szCs w:val="18"/>
              </w:rPr>
              <w:t xml:space="preserve">⚠ </w:t>
            </w:r>
            <w:r>
              <w:rPr>
                <w:rFonts w:ascii="Arial" w:cs="Arial" w:eastAsia="Arial" w:hAnsi="Arial"/>
                <w:b w:val="false"/>
                <w:bCs w:val="false"/>
                <w:i/>
                <w:iCs/>
                <w:color w:val="1A1A1A"/>
                <w:sz w:val="18"/>
                <w:szCs w:val="18"/>
              </w:rPr>
              <w:t xml:space="preserve">If an ouvrage is deleted from OARG during data cleanup, corresponding HIST_OUV rows become silent orphans — no constraint blocks the deletion or cascades it.</w:t>
            </w:r>
          </w:p>
          <w:p>
            <w:pPr>
              <w:spacing w:before="0" w:after="0"/>
              <w:jc w:val="left"/>
            </w:pPr>
            <w:r>
              <w:rPr>
                <w:rFonts w:ascii="Arial" w:cs="Arial" w:eastAsia="Arial" w:hAnsi="Arial"/>
                <w:b/>
                <w:bCs/>
                <w:i w:val="false"/>
                <w:iCs w:val="false"/>
                <w:color w:val="1E5631"/>
                <w:sz w:val="18"/>
                <w:szCs w:val="18"/>
              </w:rPr>
              <w:t xml:space="preserve">✓ </w:t>
            </w:r>
            <w:r>
              <w:rPr>
                <w:rFonts w:ascii="Arial" w:cs="Arial" w:eastAsia="Arial" w:hAnsi="Arial"/>
                <w:b w:val="false"/>
                <w:bCs w:val="false"/>
                <w:i w:val="false"/>
                <w:iCs w:val="false"/>
                <w:color w:val="1A1A1A"/>
                <w:sz w:val="18"/>
                <w:szCs w:val="18"/>
              </w:rPr>
              <w:t xml:space="preserve">Add: ALTER TABLE SGOAM.HIST_OUV ADD CONSTRAINT FK_HIST_OUV_OARG FOREIGN KEY (IDENTIFIANT, NUMOA) REFERENCES SGOAM.OARG (IDENTIFIANT, NUMOA);</w:t>
            </w:r>
          </w:p>
        </w:tc>
      </w:tr>
    </w:tbl>
    <w:p>
      <w:pPr>
        <w:spacing w:before="80" w:after="80"/>
        <w:jc w:val="left"/>
      </w:pPr>
      <w:r>
        <w:rPr>
          <w:rFonts w:ascii="Arial" w:cs="Arial" w:eastAsia="Arial" w:hAnsi="Arial"/>
          <w:b w:val="false"/>
          <w:bCs w:val="false"/>
          <w:i w:val="false"/>
          <w:iCs w:val="false"/>
          <w:color w:val="1A1A1A"/>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C00000" w:val="clear"/>
            <w:tcMar>
              <w:top w:type="dxa" w:w="100"/>
              <w:left w:type="dxa" w:w="100"/>
              <w:bottom w:type="dxa" w:w="100"/>
              <w:right w:type="dxa" w:w="100"/>
            </w:tcMar>
            <w:vAlign w:val="top"/>
          </w:tcPr>
          <w:p>
            <w:pPr>
              <w:spacing w:before="0" w:after="0"/>
              <w:jc w:val="center"/>
            </w:pPr>
            <w:r>
              <w:rPr>
                <w:rFonts w:ascii="Arial" w:cs="Arial" w:eastAsia="Arial" w:hAnsi="Arial"/>
                <w:b/>
                <w:bCs/>
                <w:i w:val="false"/>
                <w:iCs w:val="false"/>
                <w:color w:val="FFFFFF"/>
                <w:sz w:val="26"/>
                <w:szCs w:val="26"/>
              </w:rPr>
              <w:t xml:space="preserve">#3</w:t>
            </w:r>
          </w:p>
        </w:tc>
        <w:tc>
          <w:tcPr>
            <w:tcW w:type="dxa" w:w="9306"/>
            <w:tcBorders>
              <w:top w:val="none" w:color="FFFFFF" w:sz="0"/>
              <w:left w:val="none" w:color="FFFFFF" w:sz="0"/>
              <w:bottom w:val="none" w:color="FFFFFF" w:sz="0"/>
              <w:right w:val="none" w:color="FFFFFF" w:sz="0"/>
            </w:tcBorders>
            <w:shd w:fill="F2F2F2" w:val="clear"/>
            <w:tcMar>
              <w:top w:type="dxa" w:w="80"/>
              <w:left w:type="dxa" w:w="140"/>
              <w:bottom w:type="dxa" w:w="80"/>
              <w:right w:type="dxa" w:w="100"/>
            </w:tcMar>
          </w:tcPr>
          <w:p>
            <w:pPr>
              <w:spacing w:before="0" w:after="60"/>
              <w:jc w:val="left"/>
            </w:pPr>
            <w:r>
              <w:rPr>
                <w:rFonts w:ascii="Arial" w:cs="Arial" w:eastAsia="Arial" w:hAnsi="Arial"/>
                <w:b/>
                <w:bCs/>
                <w:i w:val="false"/>
                <w:iCs w:val="false"/>
                <w:color w:val="C00000"/>
                <w:sz w:val="22"/>
                <w:szCs w:val="22"/>
              </w:rPr>
              <w:t xml:space="preserve">T_ACTIONS_PREVUES.EXECUTANT — Missing FK to EXECUTANT lookup table</w:t>
            </w:r>
          </w:p>
          <w:p>
            <w:pPr>
              <w:spacing w:before="0" w:after="60"/>
              <w:jc w:val="left"/>
            </w:pPr>
            <w:r>
              <w:rPr>
                <w:rFonts w:ascii="Arial" w:cs="Arial" w:eastAsia="Arial" w:hAnsi="Arial"/>
                <w:b w:val="false"/>
                <w:bCs w:val="false"/>
                <w:i w:val="false"/>
                <w:iCs w:val="false"/>
                <w:color w:val="1A1A1A"/>
                <w:sz w:val="20"/>
                <w:szCs w:val="20"/>
              </w:rPr>
              <w:t xml:space="preserve">Column T_ACTIONS_PREVUES.EXECUTANT is VARCHAR2(100) with no FK constraint, despite an EXECUTANT lookup table existing in the schema. Free text input allows non-standardised values.</w:t>
            </w:r>
          </w:p>
          <w:p>
            <w:pPr>
              <w:spacing w:before="0" w:after="60"/>
              <w:jc w:val="left"/>
            </w:pPr>
            <w:r>
              <w:rPr>
                <w:rFonts w:ascii="Arial" w:cs="Arial" w:eastAsia="Arial" w:hAnsi="Arial"/>
                <w:b/>
                <w:bCs/>
                <w:i w:val="false"/>
                <w:iCs w:val="false"/>
                <w:color w:val="D35400"/>
                <w:sz w:val="18"/>
                <w:szCs w:val="18"/>
              </w:rPr>
              <w:t xml:space="preserve">⚠ </w:t>
            </w:r>
            <w:r>
              <w:rPr>
                <w:rFonts w:ascii="Arial" w:cs="Arial" w:eastAsia="Arial" w:hAnsi="Arial"/>
                <w:b w:val="false"/>
                <w:bCs w:val="false"/>
                <w:i/>
                <w:iCs/>
                <w:color w:val="1A1A1A"/>
                <w:sz w:val="18"/>
                <w:szCs w:val="18"/>
              </w:rPr>
              <w:t xml:space="preserve">"DPE Tanger", "dpe tanger" and "Direction Provinciale" are all accepted as three different executants, fragmenting action follow-up reports.</w:t>
            </w:r>
          </w:p>
          <w:p>
            <w:pPr>
              <w:spacing w:before="0" w:after="0"/>
              <w:jc w:val="left"/>
            </w:pPr>
            <w:r>
              <w:rPr>
                <w:rFonts w:ascii="Arial" w:cs="Arial" w:eastAsia="Arial" w:hAnsi="Arial"/>
                <w:b/>
                <w:bCs/>
                <w:i w:val="false"/>
                <w:iCs w:val="false"/>
                <w:color w:val="1E5631"/>
                <w:sz w:val="18"/>
                <w:szCs w:val="18"/>
              </w:rPr>
              <w:t xml:space="preserve">✓ </w:t>
            </w:r>
            <w:r>
              <w:rPr>
                <w:rFonts w:ascii="Arial" w:cs="Arial" w:eastAsia="Arial" w:hAnsi="Arial"/>
                <w:b w:val="false"/>
                <w:bCs w:val="false"/>
                <w:i w:val="false"/>
                <w:iCs w:val="false"/>
                <w:color w:val="1A1A1A"/>
                <w:sz w:val="18"/>
                <w:szCs w:val="18"/>
              </w:rPr>
              <w:t xml:space="preserve">Ideally: add CODE_EXECUTANT to EXECUTANT as PK, store the code in T_ACTIONS_PREVUES, declare the FK. At minimum: add a CHECK constraint or validation trigger.</w:t>
            </w:r>
          </w:p>
        </w:tc>
      </w:tr>
    </w:tbl>
    <w:p>
      <w:pPr>
        <w:spacing w:before="80" w:after="80"/>
        <w:jc w:val="left"/>
      </w:pPr>
      <w:r>
        <w:rPr>
          <w:rFonts w:ascii="Arial" w:cs="Arial" w:eastAsia="Arial" w:hAnsi="Arial"/>
          <w:b w:val="false"/>
          <w:bCs w:val="false"/>
          <w:i w:val="false"/>
          <w:iCs w:val="false"/>
          <w:color w:val="1A1A1A"/>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none" w:color="FFFFFF" w:sz="0"/>
              <w:left w:val="none" w:color="FFFFFF" w:sz="0"/>
              <w:bottom w:val="none" w:color="FFFFFF" w:sz="0"/>
              <w:right w:val="none" w:color="FFFFFF" w:sz="0"/>
            </w:tcBorders>
            <w:shd w:fill="C00000" w:val="clear"/>
            <w:tcMar>
              <w:top w:type="dxa" w:w="100"/>
              <w:left w:type="dxa" w:w="100"/>
              <w:bottom w:type="dxa" w:w="100"/>
              <w:right w:type="dxa" w:w="100"/>
            </w:tcMar>
            <w:vAlign w:val="top"/>
          </w:tcPr>
          <w:p>
            <w:pPr>
              <w:spacing w:before="0" w:after="0"/>
              <w:jc w:val="center"/>
            </w:pPr>
            <w:r>
              <w:rPr>
                <w:rFonts w:ascii="Arial" w:cs="Arial" w:eastAsia="Arial" w:hAnsi="Arial"/>
                <w:b/>
                <w:bCs/>
                <w:i w:val="false"/>
                <w:iCs w:val="false"/>
                <w:color w:val="FFFFFF"/>
                <w:sz w:val="26"/>
                <w:szCs w:val="26"/>
              </w:rPr>
              <w:t xml:space="preserve">#4</w:t>
            </w:r>
          </w:p>
        </w:tc>
        <w:tc>
          <w:tcPr>
            <w:tcW w:type="dxa" w:w="9306"/>
            <w:tcBorders>
              <w:top w:val="none" w:color="FFFFFF" w:sz="0"/>
              <w:left w:val="none" w:color="FFFFFF" w:sz="0"/>
              <w:bottom w:val="none" w:color="FFFFFF" w:sz="0"/>
              <w:right w:val="none" w:color="FFFFFF" w:sz="0"/>
            </w:tcBorders>
            <w:shd w:fill="F2F2F2" w:val="clear"/>
            <w:tcMar>
              <w:top w:type="dxa" w:w="80"/>
              <w:left w:type="dxa" w:w="140"/>
              <w:bottom w:type="dxa" w:w="80"/>
              <w:right w:type="dxa" w:w="100"/>
            </w:tcMar>
          </w:tcPr>
          <w:p>
            <w:pPr>
              <w:spacing w:before="0" w:after="60"/>
              <w:jc w:val="left"/>
            </w:pPr>
            <w:r>
              <w:rPr>
                <w:rFonts w:ascii="Arial" w:cs="Arial" w:eastAsia="Arial" w:hAnsi="Arial"/>
                <w:b/>
                <w:bCs/>
                <w:i w:val="false"/>
                <w:iCs w:val="false"/>
                <w:color w:val="C00000"/>
                <w:sz w:val="22"/>
                <w:szCs w:val="22"/>
              </w:rPr>
              <w:t xml:space="preserve">T_SYNTHESE_OA.EVOLUTION_MANIFESTE — Missing FK to reference tables</w:t>
            </w:r>
          </w:p>
          <w:p>
            <w:pPr>
              <w:spacing w:before="0" w:after="60"/>
              <w:jc w:val="left"/>
            </w:pPr>
            <w:r>
              <w:rPr>
                <w:rFonts w:ascii="Arial" w:cs="Arial" w:eastAsia="Arial" w:hAnsi="Arial"/>
                <w:b w:val="false"/>
                <w:bCs w:val="false"/>
                <w:i w:val="false"/>
                <w:iCs w:val="false"/>
                <w:color w:val="1A1A1A"/>
                <w:sz w:val="20"/>
                <w:szCs w:val="20"/>
              </w:rPr>
              <w:t xml:space="preserve">Column T_SYNTHESE_OA.EVOLUTION_MANIFESTE is free text VARCHAR2(500) with no FK, despite two reference tables EVOLUTION_MANIF and EVOLUTION_MANIF_NE existing in the schema. These tables appear orphaned. It is also unclear which one should be used.</w:t>
            </w:r>
          </w:p>
          <w:p>
            <w:pPr>
              <w:spacing w:before="0" w:after="60"/>
              <w:jc w:val="left"/>
            </w:pPr>
            <w:r>
              <w:rPr>
                <w:rFonts w:ascii="Arial" w:cs="Arial" w:eastAsia="Arial" w:hAnsi="Arial"/>
                <w:b/>
                <w:bCs/>
                <w:i w:val="false"/>
                <w:iCs w:val="false"/>
                <w:color w:val="D35400"/>
                <w:sz w:val="18"/>
                <w:szCs w:val="18"/>
              </w:rPr>
              <w:t xml:space="preserve">⚠ </w:t>
            </w:r>
            <w:r>
              <w:rPr>
                <w:rFonts w:ascii="Arial" w:cs="Arial" w:eastAsia="Arial" w:hAnsi="Arial"/>
                <w:b w:val="false"/>
                <w:bCs w:val="false"/>
                <w:i/>
                <w:iCs/>
                <w:color w:val="1A1A1A"/>
                <w:sz w:val="18"/>
                <w:szCs w:val="18"/>
              </w:rPr>
              <w:t xml:space="preserve">"Dégradation rapide", "degradation rapide" and "Dégradation très rapide" are all accepted. National degradation monitoring queries produce fragmented results.</w:t>
            </w:r>
          </w:p>
          <w:p>
            <w:pPr>
              <w:spacing w:before="0" w:after="0"/>
              <w:jc w:val="left"/>
            </w:pPr>
            <w:r>
              <w:rPr>
                <w:rFonts w:ascii="Arial" w:cs="Arial" w:eastAsia="Arial" w:hAnsi="Arial"/>
                <w:b/>
                <w:bCs/>
                <w:i w:val="false"/>
                <w:iCs w:val="false"/>
                <w:color w:val="1E5631"/>
                <w:sz w:val="18"/>
                <w:szCs w:val="18"/>
              </w:rPr>
              <w:t xml:space="preserve">✓ </w:t>
            </w:r>
            <w:r>
              <w:rPr>
                <w:rFonts w:ascii="Arial" w:cs="Arial" w:eastAsia="Arial" w:hAnsi="Arial"/>
                <w:b w:val="false"/>
                <w:bCs w:val="false"/>
                <w:i w:val="false"/>
                <w:iCs w:val="false"/>
                <w:color w:val="1A1A1A"/>
                <w:sz w:val="18"/>
                <w:szCs w:val="18"/>
              </w:rPr>
              <w:t xml:space="preserve">Clarify usage of EVOLUTION_MANIF vs EVOLUTION_MANIF_NE, merge if needed, add a CODE column, change EVOLUTION_MANIFESTE to store the code, and declare the FK.</w:t>
            </w:r>
          </w:p>
        </w:tc>
      </w:tr>
    </w:tbl>
    <w:p>
      <w:pPr>
        <w:spacing w:before="80" w:after="80"/>
        <w:jc w:val="left"/>
      </w:pPr>
      <w:r>
        <w:rPr>
          <w:rFonts w:ascii="Arial" w:cs="Arial" w:eastAsia="Arial" w:hAnsi="Arial"/>
          <w:b w:val="false"/>
          <w:bCs w:val="false"/>
          <w:i w:val="false"/>
          <w:iCs w:val="false"/>
          <w:color w:val="1A1A1A"/>
          <w:sz w:val="22"/>
          <w:szCs w:val="22"/>
        </w:rPr>
        <w:t xml:space="preserve"/>
      </w:r>
    </w:p>
    <w:p>
      <w:pPr>
        <w:spacing w:before="80" w:after="80"/>
        <w:jc w:val="left"/>
      </w:pPr>
      <w:r>
        <w:rPr>
          <w:rFonts w:ascii="Arial" w:cs="Arial" w:eastAsia="Arial" w:hAnsi="Arial"/>
          <w:b w:val="false"/>
          <w:bCs w:val="false"/>
          <w:i w:val="false"/>
          <w:iCs w:val="false"/>
          <w:color w:val="1A1A1A"/>
          <w:sz w:val="22"/>
          <w:szCs w:val="22"/>
        </w:rPr>
        <w:t xml:space="preserve"/>
      </w:r>
    </w:p>
    <w:p>
      <w:pPr>
        <w:pStyle w:val="Heading1"/>
        <w:pBdr>
          <w:bottom w:val="single" w:color="2E75B6" w:sz="4" w:space="1"/>
        </w:pBdr>
        <w:shd w:fill="1F4E79" w:val="clear"/>
        <w:spacing w:before="360" w:after="180"/>
        <w:ind w:left="200"/>
      </w:pPr>
      <w:r>
        <w:rPr>
          <w:rFonts w:ascii="Arial" w:cs="Arial" w:eastAsia="Arial" w:hAnsi="Arial"/>
          <w:b/>
          <w:bCs/>
          <w:i w:val="false"/>
          <w:iCs w:val="false"/>
          <w:color w:val="FFFFFF"/>
          <w:sz w:val="28"/>
          <w:szCs w:val="28"/>
        </w:rPr>
        <w:t xml:space="preserve">5. Unresolved Items</w:t>
      </w:r>
    </w:p>
    <w:p>
      <w:pPr>
        <w:spacing w:before="80" w:after="120"/>
        <w:jc w:val="left"/>
      </w:pPr>
      <w:r>
        <w:rPr>
          <w:rFonts w:ascii="Arial" w:cs="Arial" w:eastAsia="Arial" w:hAnsi="Arial"/>
          <w:b w:val="false"/>
          <w:bCs w:val="false"/>
          <w:i w:val="false"/>
          <w:iCs w:val="false"/>
          <w:color w:val="1A1A1A"/>
          <w:sz w:val="20"/>
          <w:szCs w:val="20"/>
        </w:rPr>
        <w:t xml:space="preserve">The following items were identified during mapping but cannot be resolved without additional information from the client.</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5.1 "Corps du Radier" tab — absent from provided documentation</w:t>
      </w:r>
    </w:p>
    <w:p>
      <w:pPr>
        <w:spacing w:before="60" w:after="80"/>
        <w:jc w:val="left"/>
      </w:pPr>
      <w:r>
        <w:rPr>
          <w:rFonts w:ascii="Arial" w:cs="Arial" w:eastAsia="Arial" w:hAnsi="Arial"/>
          <w:b w:val="false"/>
          <w:bCs w:val="false"/>
          <w:i w:val="false"/>
          <w:iCs w:val="false"/>
          <w:color w:val="1A1A1A"/>
          <w:sz w:val="20"/>
          <w:szCs w:val="20"/>
        </w:rPr>
        <w:t xml:space="preserve">The provided documentation does not include the "Corps du Radier" tab visible in the actual dashboard interface. The corresponding columns and tables have been identified in the schema: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Field</w:t>
            </w:r>
          </w:p>
        </w:tc>
        <w:tc>
          <w:tcPr>
            <w:tcW w:type="dxa" w:w="4953"/>
            <w:tcBorders>
              <w:top w:val="single" w:color="BDD7EE" w:sz="1"/>
              <w:left w:val="single" w:color="BDD7EE" w:sz="1"/>
              <w:bottom w:val="single" w:color="BDD7EE" w:sz="1"/>
              <w:right w:val="single" w:color="BDD7EE" w:sz="1"/>
            </w:tcBorders>
            <w:shd w:fill="1F4E79" w:val="clear"/>
            <w:tcMar>
              <w:top w:type="dxa" w:w="80"/>
              <w:left w:type="dxa" w:w="100"/>
              <w:bottom w:type="dxa" w:w="80"/>
              <w:right w:type="dxa" w:w="100"/>
            </w:tcMar>
            <w:vAlign w:val="center"/>
          </w:tcPr>
          <w:p>
            <w:pPr>
              <w:spacing w:before="0" w:after="0"/>
              <w:jc w:val="left"/>
            </w:pPr>
            <w:r>
              <w:rPr>
                <w:rFonts w:ascii="Arial" w:cs="Arial" w:eastAsia="Arial" w:hAnsi="Arial"/>
                <w:b/>
                <w:bCs/>
                <w:i w:val="false"/>
                <w:iCs w:val="false"/>
                <w:color w:val="FFFFFF"/>
                <w:sz w:val="18"/>
                <w:szCs w:val="18"/>
              </w:rPr>
              <w:t xml:space="preserve">Table.Column</w:t>
            </w:r>
          </w:p>
        </w:tc>
      </w:tr>
      <w:tr>
        <w:tc>
          <w:tcPr>
            <w:tcW w:type="dxa" w:w="4953"/>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Structure materials</w:t>
            </w:r>
          </w:p>
        </w:tc>
        <w:tc>
          <w:tcPr>
            <w:tcW w:type="dxa" w:w="4953"/>
            <w:gridSpan w:val="1"/>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OARG.CODE_RAD_PROTECT → RADIER_PROTECTION.CODE_RAD_PROTECT</w:t>
            </w:r>
          </w:p>
        </w:tc>
      </w:tr>
      <w:tr>
        <w:tc>
          <w:tcPr>
            <w:tcW w:type="dxa" w:w="4953"/>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A1A1A"/>
                <w:sz w:val="18"/>
                <w:szCs w:val="18"/>
              </w:rPr>
              <w:t xml:space="preserve">Protection</w:t>
            </w:r>
          </w:p>
        </w:tc>
        <w:tc>
          <w:tcPr>
            <w:tcW w:type="dxa" w:w="4953"/>
            <w:gridSpan w:val="1"/>
            <w:tcBorders>
              <w:top w:val="single" w:color="BDD7EE" w:sz="1"/>
              <w:left w:val="single" w:color="BDD7EE" w:sz="1"/>
              <w:bottom w:val="single" w:color="BDD7EE" w:sz="1"/>
              <w:right w:val="single" w:color="BDD7EE" w:sz="1"/>
            </w:tcBorders>
            <w:shd w:fill="EBF3FB" w:val="clear"/>
            <w:tcMar>
              <w:top w:type="dxa" w:w="60"/>
              <w:left w:type="dxa" w:w="100"/>
              <w:bottom w:type="dxa" w:w="60"/>
              <w:right w:type="dxa" w:w="100"/>
            </w:tcMar>
            <w:vAlign w:val="top"/>
          </w:tcPr>
          <w:p>
            <w:pPr>
              <w:spacing w:before="0" w:after="0"/>
              <w:jc w:val="left"/>
            </w:pPr>
            <w:r>
              <w:rPr>
                <w:rFonts w:ascii="Arial" w:cs="Arial" w:eastAsia="Arial" w:hAnsi="Arial"/>
                <w:b w:val="false"/>
                <w:bCs w:val="false"/>
                <w:i w:val="false"/>
                <w:iCs w:val="false"/>
                <w:color w:val="1E5631"/>
                <w:sz w:val="16"/>
                <w:szCs w:val="16"/>
              </w:rPr>
              <w:t xml:space="preserve">OARG.CODE_MS_FONDAT → MS_FONDATION_TYPE.CODE_MS_FONDAT</w:t>
            </w:r>
          </w:p>
        </w:tc>
      </w:tr>
    </w:tbl>
    <w:p>
      <w:pPr>
        <w:spacing w:before="80" w:after="120"/>
        <w:jc w:val="left"/>
      </w:pPr>
      <w:r>
        <w:rPr>
          <w:rFonts w:ascii="Arial" w:cs="Arial" w:eastAsia="Arial" w:hAnsi="Arial"/>
          <w:b w:val="false"/>
          <w:bCs w:val="false"/>
          <w:i/>
          <w:iCs/>
          <w:color w:val="555555"/>
          <w:sz w:val="18"/>
          <w:szCs w:val="18"/>
        </w:rPr>
        <w:t xml:space="preserve">These fields will need to be mapped once complete documentation is available.</w:t>
      </w:r>
    </w:p>
    <w:p>
      <w:pPr>
        <w:pStyle w:val="Heading2"/>
        <w:pBdr>
          <w:bottom w:val="single" w:color="BDD7EE" w:sz="2" w:space="1"/>
        </w:pBdr>
        <w:spacing w:before="200" w:after="100"/>
      </w:pPr>
      <w:r>
        <w:rPr>
          <w:rFonts w:ascii="Arial" w:cs="Arial" w:eastAsia="Arial" w:hAnsi="Arial"/>
          <w:b/>
          <w:bCs/>
          <w:i w:val="false"/>
          <w:iCs w:val="false"/>
          <w:color w:val="2E75B6"/>
          <w:sz w:val="22"/>
          <w:szCs w:val="22"/>
        </w:rPr>
        <w:t xml:space="preserve">5.2 EXECUTANT and EVOLUTION_MANIF tables — usage unconfirmed</w:t>
      </w:r>
    </w:p>
    <w:p>
      <w:pPr>
        <w:spacing w:before="60" w:after="160"/>
        <w:jc w:val="left"/>
      </w:pPr>
      <w:r>
        <w:rPr>
          <w:rFonts w:ascii="Arial" w:cs="Arial" w:eastAsia="Arial" w:hAnsi="Arial"/>
          <w:b w:val="false"/>
          <w:bCs w:val="false"/>
          <w:i w:val="false"/>
          <w:iCs w:val="false"/>
          <w:color w:val="1A1A1A"/>
          <w:sz w:val="20"/>
          <w:szCs w:val="20"/>
        </w:rPr>
        <w:t xml:space="preserve">Tables EXECUTANT, EVOLUTION_MANIF and EVOLUTION_MANIF_NE exist in the schema but have no declared FK linking them to the tables that use them. It is recommended to verify whether these tables are populated in the existing system and whether the application actually uses them as dropdown sources.</w:t>
      </w:r>
    </w:p>
    <w:p>
      <w:pPr>
        <w:pStyle w:val="Heading1"/>
        <w:pBdr>
          <w:bottom w:val="single" w:color="2E75B6" w:sz="4" w:space="1"/>
        </w:pBdr>
        <w:shd w:fill="1F4E79" w:val="clear"/>
        <w:spacing w:before="360" w:after="180"/>
        <w:ind w:left="200"/>
      </w:pPr>
      <w:r>
        <w:rPr>
          <w:rFonts w:ascii="Arial" w:cs="Arial" w:eastAsia="Arial" w:hAnsi="Arial"/>
          <w:b/>
          <w:bCs/>
          <w:i w:val="false"/>
          <w:iCs w:val="false"/>
          <w:color w:val="FFFFFF"/>
          <w:sz w:val="28"/>
          <w:szCs w:val="28"/>
        </w:rPr>
        <w:t xml:space="preserve">6. Conclusion</w:t>
      </w:r>
    </w:p>
    <w:p>
      <w:pPr>
        <w:spacing w:before="80" w:after="80"/>
        <w:jc w:val="left"/>
      </w:pPr>
      <w:r>
        <w:rPr>
          <w:rFonts w:ascii="Arial" w:cs="Arial" w:eastAsia="Arial" w:hAnsi="Arial"/>
          <w:b w:val="false"/>
          <w:bCs w:val="false"/>
          <w:i w:val="false"/>
          <w:iCs w:val="false"/>
          <w:color w:val="1A1A1A"/>
          <w:sz w:val="20"/>
          <w:szCs w:val="20"/>
        </w:rPr>
        <w:t xml:space="preserve">The complete mapping of 137 SGOAM dashboard fields to the SGOAM2 database has been carried out and documented in this report. The main findings are:</w:t>
      </w:r>
    </w:p>
    <w:p>
      <w:pPr>
        <w:spacing w:before="20" w:after="20"/>
        <w:ind w:left="360"/>
        <w:jc w:val="left"/>
      </w:pPr>
      <w:r>
        <w:rPr>
          <w:rFonts w:ascii="Arial" w:cs="Arial" w:eastAsia="Arial" w:hAnsi="Arial"/>
          <w:b w:val="false"/>
          <w:bCs w:val="false"/>
          <w:i w:val="false"/>
          <w:iCs w:val="false"/>
          <w:color w:val="1A1A1A"/>
          <w:sz w:val="22"/>
          <w:szCs w:val="22"/>
        </w:rPr>
        <w:t xml:space="preserve">• 137 fields covering 3 screens were mapped to more than 40 tables in the SGOAM2 database.</w:t>
      </w:r>
    </w:p>
    <w:p>
      <w:pPr>
        <w:spacing w:before="20" w:after="20"/>
        <w:ind w:left="360"/>
        <w:jc w:val="left"/>
      </w:pPr>
      <w:r>
        <w:rPr>
          <w:rFonts w:ascii="Arial" w:cs="Arial" w:eastAsia="Arial" w:hAnsi="Arial"/>
          <w:b w:val="false"/>
          <w:bCs w:val="false"/>
          <w:i w:val="false"/>
          <w:iCs w:val="false"/>
          <w:color w:val="1A1A1A"/>
          <w:sz w:val="22"/>
          <w:szCs w:val="22"/>
        </w:rPr>
        <w:t xml:space="preserve">• 4 schema anomalies were identified and documented with correction recommendations.</w:t>
      </w:r>
    </w:p>
    <w:p>
      <w:pPr>
        <w:spacing w:before="20" w:after="20"/>
        <w:ind w:left="360"/>
        <w:jc w:val="left"/>
      </w:pPr>
      <w:r>
        <w:rPr>
          <w:rFonts w:ascii="Arial" w:cs="Arial" w:eastAsia="Arial" w:hAnsi="Arial"/>
          <w:b w:val="false"/>
          <w:bCs w:val="false"/>
          <w:i w:val="false"/>
          <w:iCs w:val="false"/>
          <w:color w:val="1A1A1A"/>
          <w:sz w:val="22"/>
          <w:szCs w:val="22"/>
        </w:rPr>
        <w:t xml:space="preserve">• 3 unresolved items require client confirmation before finalisation.</w:t>
      </w:r>
    </w:p>
    <w:p>
      <w:pPr>
        <w:spacing w:before="20" w:after="80"/>
        <w:ind w:left="360"/>
        <w:jc w:val="left"/>
      </w:pPr>
      <w:r>
        <w:rPr>
          <w:rFonts w:ascii="Arial" w:cs="Arial" w:eastAsia="Arial" w:hAnsi="Arial"/>
          <w:b w:val="false"/>
          <w:bCs w:val="false"/>
          <w:i w:val="false"/>
          <w:iCs w:val="false"/>
          <w:color w:val="1A1A1A"/>
          <w:sz w:val="22"/>
          <w:szCs w:val="22"/>
        </w:rPr>
        <w:t xml:space="preserve">• Insertion order for migration has been documented in the notes of each affected field.</w:t>
      </w:r>
    </w:p>
    <w:p>
      <w:pPr>
        <w:spacing w:before="60" w:after="0"/>
        <w:jc w:val="left"/>
      </w:pPr>
      <w:r>
        <w:rPr>
          <w:rFonts w:ascii="Arial" w:cs="Arial" w:eastAsia="Arial" w:hAnsi="Arial"/>
          <w:b w:val="false"/>
          <w:bCs w:val="false"/>
          <w:i w:val="false"/>
          <w:iCs w:val="false"/>
          <w:color w:val="1A1A1A"/>
          <w:sz w:val="20"/>
          <w:szCs w:val="20"/>
        </w:rPr>
        <w:t xml:space="preserve">This document serves as the technical reference for the migration team. Any changes to the schema or dashboard must be reflected in an updated version of this report.</w:t>
      </w:r>
    </w:p>
    <w:sectPr>
      <w:headerReference w:type="default" r:id="rId10"/>
      <w:footerReference w:type="default" r:id="rId11"/>
      <w:type w:val="nextPage"/>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1"/>
      </w:pBdr>
      <w:spacing w:before="0" w:after="0"/>
      <w:jc w:val="right"/>
    </w:pPr>
    <w:r>
      <w:rPr>
        <w:rFonts w:ascii="Arial" w:cs="Arial" w:eastAsia="Arial" w:hAnsi="Arial"/>
        <w:b w:val="false"/>
        <w:bCs w:val="false"/>
        <w:i w:val="false"/>
        <w:iCs w:val="false"/>
        <w:color w:val="555555"/>
        <w:sz w:val="16"/>
        <w:szCs w:val="16"/>
      </w:rPr>
      <w:t xml:space="preserve">Youssef Elhardouzi — CID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March 2026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Page </w:t>
    </w:r>
    <w:r>
      <w:rPr>
        <w:rFonts w:ascii="Arial" w:cs="Arial" w:eastAsia="Arial" w:hAnsi="Arial"/>
        <w:color w:val="555555"/>
        <w:sz w:val="16"/>
        <w:szCs w:val="16"/>
      </w:rPr>
      <w:t xml:space="preserve">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1"/>
      </w:pBdr>
      <w:spacing w:before="0" w:after="0"/>
      <w:jc w:val="right"/>
    </w:pPr>
    <w:r>
      <w:rPr>
        <w:rFonts w:ascii="Arial" w:cs="Arial" w:eastAsia="Arial" w:hAnsi="Arial"/>
        <w:b w:val="false"/>
        <w:bCs w:val="false"/>
        <w:i w:val="false"/>
        <w:iCs w:val="false"/>
        <w:color w:val="555555"/>
        <w:sz w:val="16"/>
        <w:szCs w:val="16"/>
      </w:rPr>
      <w:t xml:space="preserve">Youssef Elhardouzi — CID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March 2026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Page </w:t>
    </w:r>
    <w:r>
      <w:rPr>
        <w:rFonts w:ascii="Arial" w:cs="Arial" w:eastAsia="Arial" w:hAnsi="Arial"/>
        <w:color w:val="555555"/>
        <w:sz w:val="16"/>
        <w:szCs w:val="16"/>
      </w:rPr>
      <w:t xml:space="preserve">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1"/>
      </w:pBdr>
      <w:spacing w:before="0" w:after="0"/>
      <w:jc w:val="right"/>
    </w:pPr>
    <w:r>
      <w:rPr>
        <w:rFonts w:ascii="Arial" w:cs="Arial" w:eastAsia="Arial" w:hAnsi="Arial"/>
        <w:b w:val="false"/>
        <w:bCs w:val="false"/>
        <w:i w:val="false"/>
        <w:iCs w:val="false"/>
        <w:color w:val="555555"/>
        <w:sz w:val="16"/>
        <w:szCs w:val="16"/>
      </w:rPr>
      <w:t xml:space="preserve">Youssef Elhardouzi — CID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March 2026  </w:t>
    </w:r>
    <w:r>
      <w:rPr>
        <w:rFonts w:ascii="Arial" w:cs="Arial" w:eastAsia="Arial" w:hAnsi="Arial"/>
        <w:b w:val="false"/>
        <w:bCs w:val="false"/>
        <w:i w:val="false"/>
        <w:iCs w:val="false"/>
        <w:color w:val="BDD7EE"/>
        <w:sz w:val="16"/>
        <w:szCs w:val="16"/>
      </w:rPr>
      <w:t xml:space="preserve">|  </w:t>
    </w:r>
    <w:r>
      <w:rPr>
        <w:rFonts w:ascii="Arial" w:cs="Arial" w:eastAsia="Arial" w:hAnsi="Arial"/>
        <w:b w:val="false"/>
        <w:bCs w:val="false"/>
        <w:i w:val="false"/>
        <w:iCs w:val="false"/>
        <w:color w:val="555555"/>
        <w:sz w:val="16"/>
        <w:szCs w:val="16"/>
      </w:rPr>
      <w:t xml:space="preserve">Page </w:t>
    </w:r>
    <w:r>
      <w:rPr>
        <w:rFonts w:ascii="Arial" w:cs="Arial" w:eastAsia="Arial" w:hAnsi="Arial"/>
        <w:color w:val="555555"/>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spacing w:before="0" w:after="0"/>
    </w:pPr>
    <w:r>
      <w:rPr>
        <w:rFonts w:ascii="Arial" w:cs="Arial" w:eastAsia="Arial" w:hAnsi="Arial"/>
        <w:b/>
        <w:bCs/>
        <w:i w:val="false"/>
        <w:iCs w:val="false"/>
        <w:color w:val="2E75B6"/>
        <w:sz w:val="18"/>
        <w:szCs w:val="18"/>
      </w:rPr>
      <w:t xml:space="preserve">CID — SGOAM  </w:t>
    </w:r>
    <w:r>
      <w:rPr>
        <w:rFonts w:ascii="Arial" w:cs="Arial" w:eastAsia="Arial" w:hAnsi="Arial"/>
        <w:b w:val="false"/>
        <w:bCs w:val="false"/>
        <w:i w:val="false"/>
        <w:iCs w:val="false"/>
        <w:color w:val="BDD7EE"/>
        <w:sz w:val="18"/>
        <w:szCs w:val="18"/>
      </w:rPr>
      <w:t xml:space="preserve">|  </w:t>
    </w:r>
    <w:r>
      <w:rPr>
        <w:rFonts w:ascii="Arial" w:cs="Arial" w:eastAsia="Arial" w:hAnsi="Arial"/>
        <w:b w:val="false"/>
        <w:bCs w:val="false"/>
        <w:i w:val="false"/>
        <w:iCs w:val="false"/>
        <w:color w:val="555555"/>
        <w:sz w:val="18"/>
        <w:szCs w:val="18"/>
      </w:rPr>
      <w:t xml:space="preserve">Data Mapping Report — SGOAM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spacing w:before="0" w:after="0"/>
    </w:pPr>
    <w:r>
      <w:rPr>
        <w:rFonts w:ascii="Arial" w:cs="Arial" w:eastAsia="Arial" w:hAnsi="Arial"/>
        <w:b/>
        <w:bCs/>
        <w:i w:val="false"/>
        <w:iCs w:val="false"/>
        <w:color w:val="2E75B6"/>
        <w:sz w:val="18"/>
        <w:szCs w:val="18"/>
      </w:rPr>
      <w:t xml:space="preserve">CID — SGOAM  </w:t>
    </w:r>
    <w:r>
      <w:rPr>
        <w:rFonts w:ascii="Arial" w:cs="Arial" w:eastAsia="Arial" w:hAnsi="Arial"/>
        <w:b w:val="false"/>
        <w:bCs w:val="false"/>
        <w:i w:val="false"/>
        <w:iCs w:val="false"/>
        <w:color w:val="BDD7EE"/>
        <w:sz w:val="18"/>
        <w:szCs w:val="18"/>
      </w:rPr>
      <w:t xml:space="preserve">|  </w:t>
    </w:r>
    <w:r>
      <w:rPr>
        <w:rFonts w:ascii="Arial" w:cs="Arial" w:eastAsia="Arial" w:hAnsi="Arial"/>
        <w:b w:val="false"/>
        <w:bCs w:val="false"/>
        <w:i w:val="false"/>
        <w:iCs w:val="false"/>
        <w:color w:val="555555"/>
        <w:sz w:val="18"/>
        <w:szCs w:val="18"/>
      </w:rPr>
      <w:t xml:space="preserve">Mapping Tables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spacing w:before="0" w:after="0"/>
    </w:pPr>
    <w:r>
      <w:rPr>
        <w:rFonts w:ascii="Arial" w:cs="Arial" w:eastAsia="Arial" w:hAnsi="Arial"/>
        <w:b/>
        <w:bCs/>
        <w:i w:val="false"/>
        <w:iCs w:val="false"/>
        <w:color w:val="2E75B6"/>
        <w:sz w:val="18"/>
        <w:szCs w:val="18"/>
      </w:rPr>
      <w:t xml:space="preserve">CID — SGOAM  </w:t>
    </w:r>
    <w:r>
      <w:rPr>
        <w:rFonts w:ascii="Arial" w:cs="Arial" w:eastAsia="Arial" w:hAnsi="Arial"/>
        <w:b w:val="false"/>
        <w:bCs w:val="false"/>
        <w:i w:val="false"/>
        <w:iCs w:val="false"/>
        <w:color w:val="BDD7EE"/>
        <w:sz w:val="18"/>
        <w:szCs w:val="18"/>
      </w:rPr>
      <w:t xml:space="preserve">|  </w:t>
    </w:r>
    <w:r>
      <w:rPr>
        <w:rFonts w:ascii="Arial" w:cs="Arial" w:eastAsia="Arial" w:hAnsi="Arial"/>
        <w:b w:val="false"/>
        <w:bCs w:val="false"/>
        <w:i w:val="false"/>
        <w:iCs w:val="false"/>
        <w:color w:val="555555"/>
        <w:sz w:val="18"/>
        <w:szCs w:val="18"/>
      </w:rPr>
      <w:t xml:space="preserve">Data Mapping Report — SGOAM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2026-03-22T20:33:28.152Z</dcterms:created>
  <dcterms:modified xsi:type="dcterms:W3CDTF">2026-03-22T20:33:28.152Z</dcterms:modified>
</cp:coreProperties>
</file>

<file path=docProps/custom.xml><?xml version="1.0" encoding="utf-8"?>
<Properties xmlns="http://schemas.openxmlformats.org/officeDocument/2006/custom-properties" xmlns:vt="http://schemas.openxmlformats.org/officeDocument/2006/docPropsVTypes"/>
</file>