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footer8.xml" ContentType="application/vnd.openxmlformats-officedocument.wordprocessingml.footer+xml"/>
  <Override PartName="/word/footer2.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1F4E79"/>
        <w:spacing w:before="0" w:after="0"/>
        <w:rPr>
          <w:lang w:val="fr-FR"/>
        </w:rPr>
      </w:pPr>
      <w:r>
        <w:rPr>
          <w:rFonts w:eastAsia="Arial" w:cs="Arial"/>
          <w:b w:val="false"/>
          <w:bCs w:val="false"/>
          <w:i w:val="false"/>
          <w:iCs w:val="false"/>
          <w:color w:val="1A1A1A"/>
          <w:sz w:val="2"/>
          <w:szCs w:val="2"/>
          <w:lang w:val="fr-FR"/>
        </w:rPr>
        <w:t xml:space="preserve"> </w:t>
      </w:r>
    </w:p>
    <w:p>
      <w:pPr>
        <w:pStyle w:val="Normal"/>
        <w:spacing w:before="80" w:after="80"/>
        <w:jc w:val="start"/>
        <w:rPr>
          <w:lang w:val="fr-FR"/>
        </w:rPr>
      </w:pPr>
      <w:r>
        <w:rPr>
          <w:lang w:val="fr-FR"/>
        </w:rPr>
      </w:r>
    </w:p>
    <w:p>
      <w:pPr>
        <w:pStyle w:val="Normal"/>
        <w:spacing w:before="80" w:after="80"/>
        <w:jc w:val="start"/>
        <w:rPr>
          <w:lang w:val="fr-FR"/>
        </w:rPr>
      </w:pPr>
      <w:r>
        <w:rPr>
          <w:lang w:val="fr-FR"/>
        </w:rPr>
      </w:r>
    </w:p>
    <w:p>
      <w:pPr>
        <w:pStyle w:val="Normal"/>
        <w:spacing w:before="80" w:after="80"/>
        <w:jc w:val="start"/>
        <w:rPr>
          <w:lang w:val="fr-FR"/>
        </w:rPr>
      </w:pPr>
      <w:r>
        <w:rPr>
          <w:lang w:val="fr-FR"/>
        </w:rPr>
      </w:r>
    </w:p>
    <w:p>
      <w:pPr>
        <w:pStyle w:val="Normal"/>
        <w:spacing w:before="80" w:after="80"/>
        <w:jc w:val="start"/>
        <w:rPr>
          <w:lang w:val="fr-FR"/>
        </w:rPr>
      </w:pPr>
      <w:r>
        <w:rPr>
          <w:lang w:val="fr-FR"/>
        </w:rPr>
      </w:r>
    </w:p>
    <w:p>
      <w:pPr>
        <w:pStyle w:val="Normal"/>
        <w:spacing w:before="80" w:after="80"/>
        <w:jc w:val="start"/>
        <w:rPr>
          <w:lang w:val="fr-FR"/>
        </w:rPr>
      </w:pPr>
      <w:r>
        <w:rPr>
          <w:lang w:val="fr-FR"/>
        </w:rPr>
      </w:r>
    </w:p>
    <w:p>
      <w:pPr>
        <w:pStyle w:val="Normal"/>
        <w:spacing w:before="0" w:after="60"/>
        <w:jc w:val="center"/>
        <w:rPr>
          <w:lang w:val="fr-FR"/>
        </w:rPr>
      </w:pPr>
      <w:r>
        <w:rPr>
          <w:rFonts w:eastAsia="Arial" w:cs="Arial"/>
          <w:b/>
          <w:bCs/>
          <w:i w:val="false"/>
          <w:iCs w:val="false"/>
          <w:color w:val="2E75B6"/>
          <w:sz w:val="20"/>
          <w:szCs w:val="20"/>
          <w:lang w:val="fr-FR"/>
        </w:rPr>
        <w:t>CONSEIL INGÉNIERIE ET DÉVELOPPEMENT</w:t>
      </w:r>
    </w:p>
    <w:p>
      <w:pPr>
        <w:pStyle w:val="Normal"/>
        <w:spacing w:before="0" w:after="360"/>
        <w:jc w:val="center"/>
        <w:rPr>
          <w:lang w:val="fr-FR"/>
        </w:rPr>
      </w:pPr>
      <w:r>
        <w:rPr>
          <w:rFonts w:eastAsia="Arial" w:cs="Arial"/>
          <w:b/>
          <w:bCs/>
          <w:i w:val="false"/>
          <w:iCs w:val="false"/>
          <w:color w:val="1F4E79"/>
          <w:sz w:val="44"/>
          <w:szCs w:val="44"/>
          <w:lang w:val="fr-FR"/>
        </w:rPr>
        <w:t>CID</w:t>
      </w:r>
    </w:p>
    <w:p>
      <w:pPr>
        <w:pStyle w:val="Normal"/>
        <w:pBdr>
          <w:top w:val="single" w:sz="6" w:space="10" w:color="2E75B6"/>
        </w:pBdr>
        <w:spacing w:before="0" w:after="80"/>
        <w:jc w:val="center"/>
        <w:rPr>
          <w:lang w:val="fr-FR"/>
        </w:rPr>
      </w:pPr>
      <w:r>
        <w:rPr>
          <w:rFonts w:eastAsia="Arial" w:cs="Arial"/>
          <w:b/>
          <w:bCs/>
          <w:i w:val="false"/>
          <w:iCs w:val="false"/>
          <w:color w:val="1F4E79"/>
          <w:sz w:val="40"/>
          <w:szCs w:val="40"/>
          <w:lang w:val="fr-FR"/>
        </w:rPr>
        <w:t>Rapport de Mapping des Données</w:t>
      </w:r>
    </w:p>
    <w:p>
      <w:pPr>
        <w:pStyle w:val="Normal"/>
        <w:spacing w:before="40" w:after="600"/>
        <w:jc w:val="center"/>
        <w:rPr>
          <w:lang w:val="fr-FR"/>
        </w:rPr>
      </w:pPr>
      <w:r>
        <w:rPr>
          <w:rFonts w:eastAsia="Arial" w:cs="Arial"/>
          <w:b/>
          <w:bCs/>
          <w:i w:val="false"/>
          <w:iCs w:val="false"/>
          <w:color w:val="2E75B6"/>
          <w:sz w:val="26"/>
          <w:szCs w:val="26"/>
          <w:lang w:val="fr-FR"/>
        </w:rPr>
        <w:t>SGOAM — Système de Gestion des Ouvrages d'Art du Maroc</w:t>
      </w:r>
    </w:p>
    <w:tbl>
      <w:tblPr>
        <w:tblW w:w="6000" w:type="dxa"/>
        <w:jc w:val="start"/>
        <w:tblInd w:w="0" w:type="dxa"/>
        <w:tblLayout w:type="fixed"/>
        <w:tblCellMar>
          <w:top w:w="60" w:type="dxa"/>
          <w:start w:w="100" w:type="dxa"/>
          <w:bottom w:w="60" w:type="dxa"/>
          <w:end w:w="100" w:type="dxa"/>
        </w:tblCellMar>
      </w:tblPr>
      <w:tblGrid>
        <w:gridCol w:w="2400"/>
        <w:gridCol w:w="3600"/>
      </w:tblGrid>
      <w:tr>
        <w:trPr/>
        <w:tc>
          <w:tcPr>
            <w:tcW w:w="2400" w:type="dxa"/>
            <w:tcBorders>
              <w:top w:val="single" w:sz="2" w:space="0" w:color="BDD7EE"/>
              <w:start w:val="single" w:sz="2" w:space="0" w:color="BDD7EE"/>
              <w:bottom w:val="single" w:sz="2" w:space="0" w:color="BDD7EE"/>
              <w:end w:val="single" w:sz="2" w:space="0" w:color="BDD7EE"/>
            </w:tcBorders>
            <w:shd w:fill="EBF3FB" w:val="clear"/>
          </w:tcPr>
          <w:p>
            <w:pPr>
              <w:pStyle w:val="Normal"/>
              <w:spacing w:before="0" w:after="0"/>
              <w:jc w:val="start"/>
              <w:rPr>
                <w:lang w:val="fr-FR"/>
              </w:rPr>
            </w:pPr>
            <w:r>
              <w:rPr>
                <w:rFonts w:eastAsia="Arial" w:cs="Arial"/>
                <w:b/>
                <w:bCs/>
                <w:i w:val="false"/>
                <w:iCs w:val="false"/>
                <w:color w:val="1A1A1A"/>
                <w:sz w:val="20"/>
                <w:szCs w:val="20"/>
                <w:lang w:val="fr-FR"/>
              </w:rPr>
              <w:t>Stagiaire</w:t>
            </w:r>
          </w:p>
        </w:tc>
        <w:tc>
          <w:tcPr>
            <w:tcW w:w="3600" w:type="dxa"/>
            <w:tcBorders>
              <w:top w:val="single" w:sz="2" w:space="0" w:color="BDD7EE"/>
              <w:start w:val="single" w:sz="2" w:space="0" w:color="BDD7EE"/>
              <w:bottom w:val="single" w:sz="2" w:space="0" w:color="BDD7EE"/>
              <w:end w:val="single" w:sz="2" w:space="0" w:color="BDD7EE"/>
            </w:tcBorders>
            <w:shd w:fill="FFFFFF" w:val="clear"/>
          </w:tcPr>
          <w:p>
            <w:pPr>
              <w:pStyle w:val="Normal"/>
              <w:spacing w:before="0" w:after="0"/>
              <w:jc w:val="start"/>
              <w:rPr>
                <w:lang w:val="fr-FR"/>
              </w:rPr>
            </w:pPr>
            <w:r>
              <w:rPr>
                <w:rFonts w:eastAsia="Arial" w:cs="Arial"/>
                <w:b w:val="false"/>
                <w:bCs w:val="false"/>
                <w:i w:val="false"/>
                <w:iCs w:val="false"/>
                <w:color w:val="1A1A1A"/>
                <w:sz w:val="20"/>
                <w:szCs w:val="20"/>
                <w:lang w:val="fr-FR"/>
              </w:rPr>
              <w:t>Youssef Elhardouzi</w:t>
            </w:r>
          </w:p>
        </w:tc>
      </w:tr>
      <w:tr>
        <w:trPr/>
        <w:tc>
          <w:tcPr>
            <w:tcW w:w="2400" w:type="dxa"/>
            <w:tcBorders>
              <w:top w:val="single" w:sz="2" w:space="0" w:color="BDD7EE"/>
              <w:start w:val="single" w:sz="2" w:space="0" w:color="BDD7EE"/>
              <w:bottom w:val="single" w:sz="2" w:space="0" w:color="BDD7EE"/>
              <w:end w:val="single" w:sz="2" w:space="0" w:color="BDD7EE"/>
            </w:tcBorders>
            <w:shd w:fill="EBF3FB" w:val="clear"/>
          </w:tcPr>
          <w:p>
            <w:pPr>
              <w:pStyle w:val="Normal"/>
              <w:spacing w:before="0" w:after="0"/>
              <w:jc w:val="start"/>
              <w:rPr>
                <w:lang w:val="fr-FR"/>
              </w:rPr>
            </w:pPr>
            <w:r>
              <w:rPr>
                <w:rFonts w:eastAsia="Arial" w:cs="Arial"/>
                <w:b/>
                <w:bCs/>
                <w:i w:val="false"/>
                <w:iCs w:val="false"/>
                <w:color w:val="1A1A1A"/>
                <w:sz w:val="20"/>
                <w:szCs w:val="20"/>
                <w:lang w:val="fr-FR"/>
              </w:rPr>
              <w:t>Encadrant</w:t>
            </w:r>
          </w:p>
        </w:tc>
        <w:tc>
          <w:tcPr>
            <w:tcW w:w="3600" w:type="dxa"/>
            <w:tcBorders>
              <w:top w:val="single" w:sz="2" w:space="0" w:color="BDD7EE"/>
              <w:start w:val="single" w:sz="2" w:space="0" w:color="BDD7EE"/>
              <w:bottom w:val="single" w:sz="2" w:space="0" w:color="BDD7EE"/>
              <w:end w:val="single" w:sz="2" w:space="0" w:color="BDD7EE"/>
            </w:tcBorders>
            <w:shd w:fill="FFFFFF" w:val="clear"/>
          </w:tcPr>
          <w:p>
            <w:pPr>
              <w:pStyle w:val="Normal"/>
              <w:spacing w:before="0" w:after="0"/>
              <w:jc w:val="start"/>
              <w:rPr>
                <w:lang w:val="fr-FR"/>
              </w:rPr>
            </w:pPr>
            <w:r>
              <w:rPr>
                <w:rFonts w:eastAsia="Arial" w:cs="Arial"/>
                <w:b w:val="false"/>
                <w:bCs w:val="false"/>
                <w:i w:val="false"/>
                <w:iCs w:val="false"/>
                <w:color w:val="1A1A1A"/>
                <w:sz w:val="20"/>
                <w:szCs w:val="20"/>
                <w:lang w:val="fr-FR"/>
              </w:rPr>
              <w:t>Ismail Oubah</w:t>
            </w:r>
          </w:p>
        </w:tc>
      </w:tr>
      <w:tr>
        <w:trPr/>
        <w:tc>
          <w:tcPr>
            <w:tcW w:w="2400" w:type="dxa"/>
            <w:tcBorders>
              <w:top w:val="single" w:sz="2" w:space="0" w:color="BDD7EE"/>
              <w:start w:val="single" w:sz="2" w:space="0" w:color="BDD7EE"/>
              <w:bottom w:val="single" w:sz="2" w:space="0" w:color="BDD7EE"/>
              <w:end w:val="single" w:sz="2" w:space="0" w:color="BDD7EE"/>
            </w:tcBorders>
            <w:shd w:fill="EBF3FB" w:val="clear"/>
          </w:tcPr>
          <w:p>
            <w:pPr>
              <w:pStyle w:val="Normal"/>
              <w:spacing w:before="0" w:after="0"/>
              <w:jc w:val="start"/>
              <w:rPr>
                <w:lang w:val="fr-FR"/>
              </w:rPr>
            </w:pPr>
            <w:r>
              <w:rPr>
                <w:rFonts w:eastAsia="Arial" w:cs="Arial"/>
                <w:b/>
                <w:bCs/>
                <w:i w:val="false"/>
                <w:iCs w:val="false"/>
                <w:color w:val="1A1A1A"/>
                <w:sz w:val="20"/>
                <w:szCs w:val="20"/>
                <w:lang w:val="fr-FR"/>
              </w:rPr>
              <w:t>Établissement</w:t>
            </w:r>
          </w:p>
        </w:tc>
        <w:tc>
          <w:tcPr>
            <w:tcW w:w="3600" w:type="dxa"/>
            <w:tcBorders>
              <w:top w:val="single" w:sz="2" w:space="0" w:color="BDD7EE"/>
              <w:start w:val="single" w:sz="2" w:space="0" w:color="BDD7EE"/>
              <w:bottom w:val="single" w:sz="2" w:space="0" w:color="BDD7EE"/>
              <w:end w:val="single" w:sz="2" w:space="0" w:color="BDD7EE"/>
            </w:tcBorders>
            <w:shd w:fill="FFFFFF" w:val="clear"/>
          </w:tcPr>
          <w:p>
            <w:pPr>
              <w:pStyle w:val="Normal"/>
              <w:spacing w:before="0" w:after="0"/>
              <w:jc w:val="start"/>
              <w:rPr>
                <w:lang w:val="fr-FR"/>
              </w:rPr>
            </w:pPr>
            <w:r>
              <w:rPr>
                <w:rFonts w:eastAsia="Arial" w:cs="Arial"/>
                <w:b w:val="false"/>
                <w:bCs w:val="false"/>
                <w:i w:val="false"/>
                <w:iCs w:val="false"/>
                <w:color w:val="1A1A1A"/>
                <w:sz w:val="20"/>
                <w:szCs w:val="20"/>
                <w:lang w:val="fr-FR"/>
              </w:rPr>
              <w:t>ISMAGI</w:t>
            </w:r>
          </w:p>
        </w:tc>
      </w:tr>
      <w:tr>
        <w:trPr/>
        <w:tc>
          <w:tcPr>
            <w:tcW w:w="2400" w:type="dxa"/>
            <w:tcBorders>
              <w:top w:val="single" w:sz="2" w:space="0" w:color="BDD7EE"/>
              <w:start w:val="single" w:sz="2" w:space="0" w:color="BDD7EE"/>
              <w:bottom w:val="single" w:sz="2" w:space="0" w:color="BDD7EE"/>
              <w:end w:val="single" w:sz="2" w:space="0" w:color="BDD7EE"/>
            </w:tcBorders>
            <w:shd w:fill="EBF3FB" w:val="clear"/>
          </w:tcPr>
          <w:p>
            <w:pPr>
              <w:pStyle w:val="Normal"/>
              <w:spacing w:before="0" w:after="0"/>
              <w:jc w:val="start"/>
              <w:rPr>
                <w:lang w:val="fr-FR"/>
              </w:rPr>
            </w:pPr>
            <w:r>
              <w:rPr>
                <w:rFonts w:eastAsia="Arial" w:cs="Arial"/>
                <w:b/>
                <w:bCs/>
                <w:i w:val="false"/>
                <w:iCs w:val="false"/>
                <w:color w:val="1A1A1A"/>
                <w:sz w:val="20"/>
                <w:szCs w:val="20"/>
                <w:lang w:val="fr-FR"/>
              </w:rPr>
              <w:t>Date</w:t>
            </w:r>
          </w:p>
        </w:tc>
        <w:tc>
          <w:tcPr>
            <w:tcW w:w="3600" w:type="dxa"/>
            <w:tcBorders>
              <w:top w:val="single" w:sz="2" w:space="0" w:color="BDD7EE"/>
              <w:start w:val="single" w:sz="2" w:space="0" w:color="BDD7EE"/>
              <w:bottom w:val="single" w:sz="2" w:space="0" w:color="BDD7EE"/>
              <w:end w:val="single" w:sz="2" w:space="0" w:color="BDD7EE"/>
            </w:tcBorders>
            <w:shd w:fill="FFFFFF" w:val="clear"/>
          </w:tcPr>
          <w:p>
            <w:pPr>
              <w:pStyle w:val="Normal"/>
              <w:spacing w:before="0" w:after="0"/>
              <w:jc w:val="start"/>
              <w:rPr>
                <w:lang w:val="fr-FR"/>
              </w:rPr>
            </w:pPr>
            <w:r>
              <w:rPr>
                <w:rFonts w:eastAsia="Arial" w:cs="Arial"/>
                <w:b w:val="false"/>
                <w:bCs w:val="false"/>
                <w:i w:val="false"/>
                <w:iCs w:val="false"/>
                <w:color w:val="1A1A1A"/>
                <w:sz w:val="20"/>
                <w:szCs w:val="20"/>
                <w:lang w:val="fr-FR"/>
              </w:rPr>
              <w:t>Mars 2026</w:t>
            </w:r>
          </w:p>
        </w:tc>
      </w:tr>
    </w:tbl>
    <w:p>
      <w:pPr>
        <w:pStyle w:val="Normal"/>
        <w:spacing w:before="80" w:after="80"/>
        <w:jc w:val="start"/>
        <w:rPr>
          <w:lang w:val="fr-FR"/>
        </w:rPr>
      </w:pPr>
      <w:r>
        <w:rPr>
          <w:lang w:val="fr-FR"/>
        </w:rPr>
      </w:r>
    </w:p>
    <w:p>
      <w:pPr>
        <w:pStyle w:val="Normal"/>
        <w:spacing w:before="80" w:after="80"/>
        <w:jc w:val="start"/>
        <w:rPr>
          <w:lang w:val="fr-FR"/>
        </w:rPr>
      </w:pPr>
      <w:r>
        <w:rPr>
          <w:lang w:val="fr-FR"/>
        </w:rPr>
      </w:r>
    </w:p>
    <w:p>
      <w:pPr>
        <w:pStyle w:val="Normal"/>
        <w:shd w:val="clear" w:fill="1F4E79"/>
        <w:spacing w:before="360" w:after="0"/>
        <w:rPr>
          <w:lang w:val="fr-FR"/>
        </w:rPr>
        <w:sectPr>
          <w:type w:val="nextPage"/>
          <w:pgSz w:w="11906" w:h="16838"/>
          <w:pgMar w:left="1000" w:right="1000" w:gutter="0" w:header="0" w:top="1000" w:footer="0" w:bottom="1000"/>
          <w:pgNumType w:fmt="decimal"/>
          <w:formProt w:val="false"/>
          <w:textDirection w:val="lrTb"/>
          <w:docGrid w:type="default" w:linePitch="360" w:charSpace="0"/>
        </w:sectPr>
      </w:pPr>
      <w:r>
        <w:rPr>
          <w:rFonts w:eastAsia="Arial" w:cs="Arial"/>
          <w:b w:val="false"/>
          <w:bCs w:val="false"/>
          <w:i w:val="false"/>
          <w:iCs w:val="false"/>
          <w:color w:val="1A1A1A"/>
          <w:sz w:val="2"/>
          <w:szCs w:val="2"/>
          <w:lang w:val="fr-FR"/>
        </w:rPr>
        <w:t xml:space="preserve"> </w:t>
      </w:r>
    </w:p>
    <w:p>
      <w:pPr>
        <w:pStyle w:val="Heading1"/>
        <w:rPr>
          <w:lang w:val="fr-FR"/>
        </w:rPr>
      </w:pPr>
      <w:bookmarkStart w:id="0" w:name="__RefHeading___Toc2535_1145092829"/>
      <w:bookmarkEnd w:id="0"/>
      <w:r>
        <w:rPr>
          <w:rFonts w:eastAsia="Arial" w:cs="Arial" w:ascii="Arial" w:hAnsi="Arial"/>
          <w:b/>
          <w:bCs/>
          <w:i w:val="false"/>
          <w:iCs w:val="false"/>
          <w:color w:val="1F4E79"/>
          <w:sz w:val="32"/>
          <w:szCs w:val="32"/>
          <w:lang w:val="fr-FR"/>
        </w:rPr>
        <w:t>Table des matières</w:t>
      </w:r>
    </w:p>
    <w:sdt>
      <w:sdtPr>
        <w:docPartObj>
          <w:docPartGallery w:val="Table of Contents"/>
          <w:docPartUnique w:val="true"/>
        </w:docPartObj>
      </w:sdtPr>
      <w:sdtContent>
        <w:p>
          <w:pPr>
            <w:pStyle w:val="TOC1"/>
            <w:tabs>
              <w:tab w:val="clear" w:pos="9906"/>
              <w:tab w:val="right" w:pos="9905" w:leader="dot"/>
            </w:tabs>
            <w:rPr/>
          </w:pPr>
          <w:r>
            <w:fldChar w:fldCharType="begin"/>
          </w:r>
          <w:r>
            <w:rPr>
              <w:rStyle w:val="IndexLink"/>
              <w:i w:val="false"/>
              <w:iCs w:val="false"/>
            </w:rPr>
            <w:instrText xml:space="preserve"> TOC \o "1-3" \h</w:instrText>
          </w:r>
          <w:r>
            <w:rPr>
              <w:rStyle w:val="IndexLink"/>
              <w:i w:val="false"/>
              <w:iCs w:val="false"/>
            </w:rPr>
            <w:fldChar w:fldCharType="separate"/>
          </w:r>
          <w:hyperlink w:anchor="__RefHeading___Toc2535_1145092829" w:tooltip="Table des matières">
            <w:r>
              <w:rPr>
                <w:rStyle w:val="IndexLink"/>
                <w:i w:val="false"/>
                <w:iCs w:val="false"/>
              </w:rPr>
              <w:t>Table des matières</w:t>
            </w:r>
            <w:r>
              <w:rPr>
                <w:rStyle w:val="IndexLink"/>
              </w:rPr>
              <w:tab/>
              <w:t>2</w:t>
            </w:r>
          </w:hyperlink>
        </w:p>
        <w:p>
          <w:pPr>
            <w:pStyle w:val="TOC1"/>
            <w:tabs>
              <w:tab w:val="clear" w:pos="9906"/>
              <w:tab w:val="right" w:pos="9905" w:leader="dot"/>
            </w:tabs>
            <w:rPr/>
          </w:pPr>
          <w:hyperlink w:anchor="__RefHeading___Toc2537_1145092829" w:tooltip="1. Introduction">
            <w:r>
              <w:rPr>
                <w:rStyle w:val="IndexLink"/>
                <w:i w:val="false"/>
                <w:iCs w:val="false"/>
              </w:rPr>
              <w:t>1. Introduction</w:t>
            </w:r>
            <w:r>
              <w:rPr>
                <w:rStyle w:val="IndexLink"/>
              </w:rPr>
              <w:tab/>
              <w:t>3</w:t>
            </w:r>
          </w:hyperlink>
        </w:p>
        <w:p>
          <w:pPr>
            <w:pStyle w:val="TOC2"/>
            <w:tabs>
              <w:tab w:val="clear" w:pos="9623"/>
              <w:tab w:val="right" w:pos="9905" w:leader="dot"/>
            </w:tabs>
            <w:rPr/>
          </w:pPr>
          <w:hyperlink w:anchor="__RefHeading___Toc2539_1145092829" w:tooltip="1.1 Contexte">
            <w:r>
              <w:rPr>
                <w:rStyle w:val="IndexLink"/>
                <w:i w:val="false"/>
                <w:iCs w:val="false"/>
              </w:rPr>
              <w:t>1.1 Contexte</w:t>
            </w:r>
            <w:r>
              <w:rPr>
                <w:rStyle w:val="IndexLink"/>
              </w:rPr>
              <w:tab/>
              <w:t>3</w:t>
            </w:r>
          </w:hyperlink>
        </w:p>
        <w:p>
          <w:pPr>
            <w:pStyle w:val="TOC2"/>
            <w:tabs>
              <w:tab w:val="clear" w:pos="9623"/>
              <w:tab w:val="right" w:pos="9905" w:leader="dot"/>
            </w:tabs>
            <w:rPr/>
          </w:pPr>
          <w:hyperlink w:anchor="__RefHeading___Toc2541_1145092829" w:tooltip="1.2 Périmètre">
            <w:r>
              <w:rPr>
                <w:rStyle w:val="IndexLink"/>
                <w:i w:val="false"/>
                <w:iCs w:val="false"/>
              </w:rPr>
              <w:t>1.2 Périmètre</w:t>
            </w:r>
            <w:r>
              <w:rPr>
                <w:rStyle w:val="IndexLink"/>
              </w:rPr>
              <w:tab/>
              <w:t>3</w:t>
            </w:r>
          </w:hyperlink>
        </w:p>
        <w:p>
          <w:pPr>
            <w:pStyle w:val="TOC1"/>
            <w:tabs>
              <w:tab w:val="clear" w:pos="9906"/>
              <w:tab w:val="right" w:pos="9905" w:leader="dot"/>
            </w:tabs>
            <w:rPr/>
          </w:pPr>
          <w:hyperlink w:anchor="__RefHeading___Toc2543_1145092829" w:tooltip="2. Méthodologie">
            <w:r>
              <w:rPr>
                <w:rStyle w:val="IndexLink"/>
                <w:i w:val="false"/>
                <w:iCs w:val="false"/>
              </w:rPr>
              <w:t>2. Méthodologie</w:t>
            </w:r>
            <w:r>
              <w:rPr>
                <w:rStyle w:val="IndexLink"/>
              </w:rPr>
              <w:tab/>
              <w:t>4</w:t>
            </w:r>
          </w:hyperlink>
        </w:p>
        <w:p>
          <w:pPr>
            <w:pStyle w:val="TOC2"/>
            <w:tabs>
              <w:tab w:val="clear" w:pos="9623"/>
              <w:tab w:val="right" w:pos="9905" w:leader="dot"/>
            </w:tabs>
            <w:rPr/>
          </w:pPr>
          <w:hyperlink w:anchor="__RefHeading___Toc2545_1145092829" w:tooltip="Règle 1 — Code stocké, pas libellé affiché">
            <w:r>
              <w:rPr>
                <w:rStyle w:val="IndexLink"/>
                <w:i w:val="false"/>
                <w:iCs w:val="false"/>
              </w:rPr>
              <w:t>Règle 1 — Code stocké, pas libellé affiché</w:t>
            </w:r>
            <w:r>
              <w:rPr>
                <w:rStyle w:val="IndexLink"/>
              </w:rPr>
              <w:tab/>
              <w:t>4</w:t>
            </w:r>
          </w:hyperlink>
        </w:p>
        <w:p>
          <w:pPr>
            <w:pStyle w:val="TOC2"/>
            <w:tabs>
              <w:tab w:val="clear" w:pos="9623"/>
              <w:tab w:val="right" w:pos="9905" w:leader="dot"/>
            </w:tabs>
            <w:rPr/>
          </w:pPr>
          <w:hyperlink w:anchor="__RefHeading___Toc2547_1145092829" w:tooltip="Règle 2 — Tous les champs de données, y compris les boutons">
            <w:r>
              <w:rPr>
                <w:rStyle w:val="IndexLink"/>
                <w:i w:val="false"/>
                <w:iCs w:val="false"/>
              </w:rPr>
              <w:t>Règle 2 — Tous les champs de données, y compris les boutons</w:t>
            </w:r>
            <w:r>
              <w:rPr>
                <w:rStyle w:val="IndexLink"/>
              </w:rPr>
              <w:tab/>
              <w:t>4</w:t>
            </w:r>
          </w:hyperlink>
        </w:p>
        <w:p>
          <w:pPr>
            <w:pStyle w:val="TOC2"/>
            <w:tabs>
              <w:tab w:val="clear" w:pos="9623"/>
              <w:tab w:val="right" w:pos="9905" w:leader="dot"/>
            </w:tabs>
            <w:rPr/>
          </w:pPr>
          <w:hyperlink w:anchor="__RefHeading___Toc2549_1145092829" w:tooltip="Règle 3 — Clés composites">
            <w:r>
              <w:rPr>
                <w:rStyle w:val="IndexLink"/>
                <w:i w:val="false"/>
                <w:iCs w:val="false"/>
              </w:rPr>
              <w:t>Règle 3 — Clés composites</w:t>
            </w:r>
            <w:r>
              <w:rPr>
                <w:rStyle w:val="IndexLink"/>
              </w:rPr>
              <w:tab/>
              <w:t>4</w:t>
            </w:r>
          </w:hyperlink>
        </w:p>
        <w:p>
          <w:pPr>
            <w:pStyle w:val="TOC2"/>
            <w:tabs>
              <w:tab w:val="clear" w:pos="9623"/>
              <w:tab w:val="right" w:pos="9905" w:leader="dot"/>
            </w:tabs>
            <w:rPr/>
          </w:pPr>
          <w:hyperlink w:anchor="__RefHeading___Toc2551_1145092829" w:tooltip="Règle 4 — Ordre d'insertion">
            <w:r>
              <w:rPr>
                <w:rStyle w:val="IndexLink"/>
                <w:i w:val="false"/>
                <w:iCs w:val="false"/>
              </w:rPr>
              <w:t>Règle 4 — Ordre d'insertion</w:t>
            </w:r>
            <w:r>
              <w:rPr>
                <w:rStyle w:val="IndexLink"/>
              </w:rPr>
              <w:tab/>
              <w:t>4</w:t>
            </w:r>
          </w:hyperlink>
        </w:p>
        <w:p>
          <w:pPr>
            <w:pStyle w:val="TOC2"/>
            <w:tabs>
              <w:tab w:val="clear" w:pos="9623"/>
              <w:tab w:val="right" w:pos="9905" w:leader="dot"/>
            </w:tabs>
            <w:rPr/>
          </w:pPr>
          <w:hyperlink w:anchor="__RefHeading___Toc2553_1145092829" w:tooltip="Sources utilisées">
            <w:r>
              <w:rPr>
                <w:rStyle w:val="IndexLink"/>
                <w:i w:val="false"/>
                <w:iCs w:val="false"/>
              </w:rPr>
              <w:t>Sources utilisées</w:t>
            </w:r>
            <w:r>
              <w:rPr>
                <w:rStyle w:val="IndexLink"/>
              </w:rPr>
              <w:tab/>
              <w:t>4</w:t>
            </w:r>
          </w:hyperlink>
        </w:p>
        <w:p>
          <w:pPr>
            <w:pStyle w:val="TOC1"/>
            <w:tabs>
              <w:tab w:val="clear" w:pos="9906"/>
              <w:tab w:val="right" w:pos="9905" w:leader="dot"/>
            </w:tabs>
            <w:rPr/>
          </w:pPr>
          <w:hyperlink w:anchor="__RefHeading___Toc2555_1145092829" w:tooltip="3. Tableaux de Mapping">
            <w:r>
              <w:rPr>
                <w:rStyle w:val="IndexLink"/>
                <w:i w:val="false"/>
                <w:iCs w:val="false"/>
              </w:rPr>
              <w:t>3. Tableaux de Mapping</w:t>
            </w:r>
            <w:r>
              <w:rPr>
                <w:rStyle w:val="IndexLink"/>
              </w:rPr>
              <w:tab/>
              <w:t>5</w:t>
            </w:r>
          </w:hyperlink>
        </w:p>
        <w:p>
          <w:pPr>
            <w:pStyle w:val="TOC2"/>
            <w:tabs>
              <w:tab w:val="clear" w:pos="9623"/>
              <w:tab w:val="right" w:pos="9905" w:leader="dot"/>
            </w:tabs>
            <w:rPr/>
          </w:pPr>
          <w:hyperlink w:anchor="__RefHeading___Toc2557_1145092829" w:tooltip="3.1 Franchissement">
            <w:r>
              <w:rPr>
                <w:rStyle w:val="IndexLink"/>
                <w:i w:val="false"/>
                <w:iCs w:val="false"/>
              </w:rPr>
              <w:t>3.1 Franchissement</w:t>
            </w:r>
            <w:r>
              <w:rPr>
                <w:rStyle w:val="IndexLink"/>
              </w:rPr>
              <w:tab/>
              <w:t>6</w:t>
            </w:r>
          </w:hyperlink>
        </w:p>
        <w:p>
          <w:pPr>
            <w:pStyle w:val="TOC2"/>
            <w:tabs>
              <w:tab w:val="clear" w:pos="9623"/>
              <w:tab w:val="right" w:pos="9905" w:leader="dot"/>
            </w:tabs>
            <w:rPr/>
          </w:pPr>
          <w:hyperlink w:anchor="__RefHeading___Toc2559_1145092829" w:tooltip="3.2 Détails Ouvrage">
            <w:r>
              <w:rPr>
                <w:rStyle w:val="IndexLink"/>
                <w:i w:val="false"/>
                <w:iCs w:val="false"/>
              </w:rPr>
              <w:t>3.2 Détails Ouvrage</w:t>
            </w:r>
            <w:r>
              <w:rPr>
                <w:rStyle w:val="IndexLink"/>
              </w:rPr>
              <w:tab/>
              <w:t>10</w:t>
            </w:r>
          </w:hyperlink>
        </w:p>
        <w:p>
          <w:pPr>
            <w:pStyle w:val="TOC2"/>
            <w:tabs>
              <w:tab w:val="clear" w:pos="9623"/>
              <w:tab w:val="right" w:pos="9905" w:leader="dot"/>
            </w:tabs>
            <w:rPr/>
          </w:pPr>
          <w:hyperlink w:anchor="__RefHeading___Toc2561_1145092829" w:tooltip="3.3 Visite">
            <w:r>
              <w:rPr>
                <w:rStyle w:val="IndexLink"/>
                <w:i w:val="false"/>
                <w:iCs w:val="false"/>
              </w:rPr>
              <w:t>3.3 Visite</w:t>
            </w:r>
            <w:r>
              <w:rPr>
                <w:rStyle w:val="IndexLink"/>
              </w:rPr>
              <w:tab/>
              <w:t>20</w:t>
            </w:r>
          </w:hyperlink>
        </w:p>
        <w:p>
          <w:pPr>
            <w:pStyle w:val="TOC1"/>
            <w:tabs>
              <w:tab w:val="clear" w:pos="9906"/>
              <w:tab w:val="right" w:pos="9905" w:leader="dot"/>
            </w:tabs>
            <w:rPr/>
          </w:pPr>
          <w:hyperlink w:anchor="__RefHeading___Toc2563_1145092829" w:tooltip="4. Anomalies du Schéma">
            <w:r>
              <w:rPr>
                <w:rStyle w:val="IndexLink"/>
                <w:i w:val="false"/>
                <w:iCs w:val="false"/>
              </w:rPr>
              <w:t>4. Anomalies du Schéma</w:t>
            </w:r>
            <w:r>
              <w:rPr>
                <w:rStyle w:val="IndexLink"/>
              </w:rPr>
              <w:tab/>
              <w:t>28</w:t>
            </w:r>
          </w:hyperlink>
        </w:p>
        <w:p>
          <w:pPr>
            <w:pStyle w:val="TOC1"/>
            <w:tabs>
              <w:tab w:val="clear" w:pos="9906"/>
              <w:tab w:val="right" w:pos="9905" w:leader="dot"/>
            </w:tabs>
            <w:rPr/>
          </w:pPr>
          <w:hyperlink w:anchor="__RefHeading___Toc2565_1145092829" w:tooltip="5. Points Non Résolus">
            <w:r>
              <w:rPr>
                <w:rStyle w:val="IndexLink"/>
                <w:i w:val="false"/>
                <w:iCs w:val="false"/>
              </w:rPr>
              <w:t>5. Points Non Résolus</w:t>
            </w:r>
            <w:r>
              <w:rPr>
                <w:rStyle w:val="IndexLink"/>
              </w:rPr>
              <w:tab/>
              <w:t>28</w:t>
            </w:r>
          </w:hyperlink>
        </w:p>
        <w:p>
          <w:pPr>
            <w:pStyle w:val="TOC2"/>
            <w:tabs>
              <w:tab w:val="clear" w:pos="9623"/>
              <w:tab w:val="right" w:pos="9905" w:leader="dot"/>
            </w:tabs>
            <w:rPr/>
          </w:pPr>
          <w:hyperlink w:anchor="__RefHeading___Toc2567_1145092829" w:tooltip="5.1 Onglet &quot;Corps du Radier&quot; — absent de la documentation fournie">
            <w:r>
              <w:rPr>
                <w:rStyle w:val="IndexLink"/>
                <w:i w:val="false"/>
                <w:iCs w:val="false"/>
              </w:rPr>
              <w:t>5.1 Onglet "Corps du Radier" — absent de la documentation fournie</w:t>
            </w:r>
            <w:r>
              <w:rPr>
                <w:rStyle w:val="IndexLink"/>
              </w:rPr>
              <w:tab/>
              <w:t>29</w:t>
            </w:r>
          </w:hyperlink>
        </w:p>
        <w:p>
          <w:pPr>
            <w:pStyle w:val="TOC2"/>
            <w:tabs>
              <w:tab w:val="clear" w:pos="9623"/>
              <w:tab w:val="right" w:pos="9905" w:leader="dot"/>
            </w:tabs>
            <w:rPr/>
          </w:pPr>
          <w:hyperlink w:anchor="__RefHeading___Toc2569_1145092829" w:tooltip="5.2 Tables EXECUTANT et EVOLUTION_MANIF — usage non confirmé">
            <w:r>
              <w:rPr>
                <w:rStyle w:val="IndexLink"/>
                <w:i w:val="false"/>
                <w:iCs w:val="false"/>
              </w:rPr>
              <w:t>5.2 Tables EXECUTANT et EVOLUTION_MANIF — usage non confirmé</w:t>
            </w:r>
            <w:r>
              <w:rPr>
                <w:rStyle w:val="IndexLink"/>
              </w:rPr>
              <w:tab/>
              <w:t>29</w:t>
            </w:r>
          </w:hyperlink>
        </w:p>
        <w:p>
          <w:pPr>
            <w:pStyle w:val="TOC1"/>
            <w:tabs>
              <w:tab w:val="clear" w:pos="9906"/>
              <w:tab w:val="right" w:pos="9905" w:leader="dot"/>
            </w:tabs>
            <w:rPr/>
          </w:pPr>
          <w:hyperlink w:anchor="__RefHeading___Toc2571_1145092829" w:tooltip="6. Conclusion">
            <w:r>
              <w:rPr>
                <w:rStyle w:val="IndexLink"/>
                <w:i w:val="false"/>
                <w:iCs w:val="false"/>
              </w:rPr>
              <w:t>6. Conclusion</w:t>
            </w:r>
            <w:r>
              <w:rPr>
                <w:rStyle w:val="IndexLink"/>
              </w:rPr>
              <w:tab/>
              <w:t>29</w:t>
            </w:r>
          </w:hyperlink>
          <w:r>
            <w:rPr>
              <w:rStyle w:val="IndexLink"/>
            </w:rPr>
            <w:fldChar w:fldCharType="end"/>
          </w:r>
        </w:p>
      </w:sdtContent>
    </w:sdt>
    <w:p>
      <w:pPr>
        <w:pStyle w:val="Normal"/>
        <w:rPr>
          <w:lang w:val="fr-FR"/>
        </w:rPr>
      </w:pPr>
      <w:r>
        <w:rPr>
          <w:lang w:val="fr-FR"/>
        </w:rPr>
      </w:r>
    </w:p>
    <w:p>
      <w:pPr>
        <w:pStyle w:val="Normal"/>
        <w:rPr>
          <w:lang w:val="fr-FR"/>
        </w:rPr>
      </w:pPr>
      <w:r>
        <w:rPr>
          <w:lang w:val="fr-FR"/>
        </w:rPr>
      </w:r>
      <w:r>
        <w:br w:type="page"/>
      </w:r>
    </w:p>
    <w:p>
      <w:pPr>
        <w:pStyle w:val="Heading1"/>
        <w:pBdr>
          <w:bottom w:val="single" w:sz="4" w:space="1" w:color="2E75B6"/>
        </w:pBdr>
        <w:shd w:val="clear" w:fill="1F4E79"/>
        <w:spacing w:before="0" w:after="180"/>
        <w:ind w:start="200"/>
        <w:rPr>
          <w:lang w:val="fr-FR"/>
        </w:rPr>
      </w:pPr>
      <w:bookmarkStart w:id="1" w:name="__RefHeading___Toc2537_1145092829"/>
      <w:bookmarkEnd w:id="1"/>
      <w:r>
        <w:rPr>
          <w:rFonts w:eastAsia="Arial" w:cs="Arial" w:ascii="Arial" w:hAnsi="Arial"/>
          <w:b/>
          <w:bCs/>
          <w:i w:val="false"/>
          <w:iCs w:val="false"/>
          <w:color w:val="FFFFFF"/>
          <w:sz w:val="28"/>
          <w:szCs w:val="28"/>
          <w:lang w:val="fr-FR"/>
        </w:rPr>
        <w:t>1. Introduction</w:t>
      </w:r>
    </w:p>
    <w:p>
      <w:pPr>
        <w:pStyle w:val="Normal"/>
        <w:spacing w:before="80" w:after="80"/>
        <w:jc w:val="start"/>
        <w:rPr>
          <w:lang w:val="fr-FR"/>
        </w:rPr>
      </w:pPr>
      <w:r>
        <w:rPr>
          <w:lang w:val="fr-FR"/>
        </w:rPr>
      </w:r>
    </w:p>
    <w:p>
      <w:pPr>
        <w:pStyle w:val="Normal"/>
        <w:spacing w:before="80" w:after="80"/>
        <w:jc w:val="start"/>
        <w:rPr>
          <w:lang w:val="fr-FR"/>
        </w:rPr>
      </w:pPr>
      <w:r>
        <w:rPr>
          <w:rFonts w:eastAsia="Arial" w:cs="Arial"/>
          <w:b w:val="false"/>
          <w:bCs w:val="false"/>
          <w:i w:val="false"/>
          <w:iCs w:val="false"/>
          <w:color w:val="1A1A1A"/>
          <w:sz w:val="20"/>
          <w:szCs w:val="20"/>
          <w:lang w:val="fr-FR"/>
        </w:rPr>
        <w:t>Ce document constitue le rapport de mapping des données du système SGOAM. Il documente la correspondance entre les champs du tableau de bord existant et les colonnes de la base de données Oracle cible (SGOAM2), dans le cadre de la migration des données.</w:t>
      </w:r>
    </w:p>
    <w:p>
      <w:pPr>
        <w:pStyle w:val="Normal"/>
        <w:spacing w:before="40" w:after="160"/>
        <w:jc w:val="start"/>
        <w:rPr>
          <w:lang w:val="fr-FR"/>
        </w:rPr>
      </w:pPr>
      <w:r>
        <w:rPr>
          <w:rFonts w:eastAsia="Arial" w:cs="Arial"/>
          <w:b w:val="false"/>
          <w:bCs w:val="false"/>
          <w:i w:val="false"/>
          <w:iCs w:val="false"/>
          <w:color w:val="1A1A1A"/>
          <w:sz w:val="20"/>
          <w:szCs w:val="20"/>
          <w:lang w:val="fr-FR"/>
        </w:rPr>
        <w:t>Le mapping a été réalisé par analyse croisée du schéma SQL SGOAM2.sql (223 tables, 155 contraintes FK) et de la documentation du tableau de bord fournie par CID.</w:t>
      </w:r>
    </w:p>
    <w:p>
      <w:pPr>
        <w:pStyle w:val="Heading2"/>
        <w:pBdr>
          <w:bottom w:val="single" w:sz="2" w:space="1" w:color="BDD7EE"/>
        </w:pBdr>
        <w:spacing w:before="200" w:after="100"/>
        <w:rPr>
          <w:lang w:val="fr-FR"/>
        </w:rPr>
      </w:pPr>
      <w:bookmarkStart w:id="2" w:name="__RefHeading___Toc2539_1145092829"/>
      <w:bookmarkEnd w:id="2"/>
      <w:r>
        <w:rPr>
          <w:rFonts w:eastAsia="Arial" w:cs="Arial" w:ascii="Arial" w:hAnsi="Arial"/>
          <w:b/>
          <w:bCs/>
          <w:i w:val="false"/>
          <w:iCs w:val="false"/>
          <w:color w:val="2E75B6"/>
          <w:sz w:val="22"/>
          <w:szCs w:val="22"/>
          <w:lang w:val="fr-FR"/>
        </w:rPr>
        <w:t>1.1 Contexte</w:t>
      </w:r>
    </w:p>
    <w:p>
      <w:pPr>
        <w:pStyle w:val="Normal"/>
        <w:spacing w:before="60" w:after="160"/>
        <w:jc w:val="start"/>
        <w:rPr>
          <w:lang w:val="fr-FR"/>
        </w:rPr>
      </w:pPr>
      <w:r>
        <w:rPr>
          <w:rFonts w:eastAsia="Arial" w:cs="Arial"/>
          <w:b w:val="false"/>
          <w:bCs w:val="false"/>
          <w:i w:val="false"/>
          <w:iCs w:val="false"/>
          <w:color w:val="1A1A1A"/>
          <w:sz w:val="20"/>
          <w:szCs w:val="20"/>
          <w:lang w:val="fr-FR"/>
        </w:rPr>
        <w:t>SGOAM (Système de Gestion des Ouvrages d'Art du Maroc) est le système national de gestion et d'inspection des ouvrages d'art au Maroc (ponts, viaducs, dalots, buses, etc.). La tâche consiste à préparer la migration des données depuis le système existant vers la nouvelle base de données Oracle SGOAM2 composée de 223 tables et 155 contraintes de clés étrangères déclarées.</w:t>
      </w:r>
    </w:p>
    <w:p>
      <w:pPr>
        <w:pStyle w:val="Heading2"/>
        <w:pBdr>
          <w:bottom w:val="single" w:sz="2" w:space="1" w:color="BDD7EE"/>
        </w:pBdr>
        <w:spacing w:before="200" w:after="100"/>
        <w:rPr>
          <w:lang w:val="fr-FR"/>
        </w:rPr>
      </w:pPr>
      <w:bookmarkStart w:id="3" w:name="__RefHeading___Toc2541_1145092829"/>
      <w:bookmarkEnd w:id="3"/>
      <w:r>
        <w:rPr>
          <w:rFonts w:eastAsia="Arial" w:cs="Arial" w:ascii="Arial" w:hAnsi="Arial"/>
          <w:b/>
          <w:bCs/>
          <w:i w:val="false"/>
          <w:iCs w:val="false"/>
          <w:color w:val="2E75B6"/>
          <w:sz w:val="22"/>
          <w:szCs w:val="22"/>
          <w:lang w:val="fr-FR"/>
        </w:rPr>
        <w:t>1.2 Périmètre</w:t>
      </w:r>
    </w:p>
    <w:p>
      <w:pPr>
        <w:pStyle w:val="Normal"/>
        <w:spacing w:before="60" w:after="40"/>
        <w:jc w:val="start"/>
        <w:rPr>
          <w:lang w:val="fr-FR"/>
        </w:rPr>
      </w:pPr>
      <w:r>
        <w:rPr>
          <w:rFonts w:eastAsia="Arial" w:cs="Arial"/>
          <w:b w:val="false"/>
          <w:bCs w:val="false"/>
          <w:i w:val="false"/>
          <w:iCs w:val="false"/>
          <w:color w:val="1A1A1A"/>
          <w:sz w:val="20"/>
          <w:szCs w:val="20"/>
          <w:lang w:val="fr-FR"/>
        </w:rPr>
        <w:t>Le mapping couvre les trois écrans du tableau de bord existant :</w:t>
      </w:r>
    </w:p>
    <w:p>
      <w:pPr>
        <w:pStyle w:val="Normal"/>
        <w:spacing w:before="20" w:after="20"/>
        <w:ind w:start="360"/>
        <w:jc w:val="start"/>
        <w:rPr>
          <w:lang w:val="fr-FR"/>
        </w:rPr>
      </w:pPr>
      <w:r>
        <w:rPr>
          <w:rFonts w:eastAsia="Arial" w:cs="Arial"/>
          <w:b w:val="false"/>
          <w:bCs w:val="false"/>
          <w:i w:val="false"/>
          <w:iCs w:val="false"/>
          <w:color w:val="1A1A1A"/>
          <w:sz w:val="22"/>
          <w:szCs w:val="22"/>
          <w:lang w:val="fr-FR"/>
        </w:rPr>
        <w:t xml:space="preserve">• </w:t>
      </w:r>
      <w:r>
        <w:rPr>
          <w:rFonts w:eastAsia="Arial" w:cs="Arial"/>
          <w:b w:val="false"/>
          <w:bCs w:val="false"/>
          <w:i w:val="false"/>
          <w:iCs w:val="false"/>
          <w:color w:val="1A1A1A"/>
          <w:sz w:val="22"/>
          <w:szCs w:val="22"/>
          <w:lang w:val="fr-FR"/>
        </w:rPr>
        <w:t>Franchissement — 28 champs</w:t>
      </w:r>
    </w:p>
    <w:p>
      <w:pPr>
        <w:pStyle w:val="Normal"/>
        <w:spacing w:before="20" w:after="20"/>
        <w:ind w:start="360"/>
        <w:jc w:val="start"/>
        <w:rPr>
          <w:lang w:val="fr-FR"/>
        </w:rPr>
      </w:pPr>
      <w:r>
        <w:rPr>
          <w:rFonts w:eastAsia="Arial" w:cs="Arial"/>
          <w:b w:val="false"/>
          <w:bCs w:val="false"/>
          <w:i w:val="false"/>
          <w:iCs w:val="false"/>
          <w:color w:val="1A1A1A"/>
          <w:sz w:val="22"/>
          <w:szCs w:val="22"/>
          <w:lang w:val="fr-FR"/>
        </w:rPr>
        <w:t xml:space="preserve">• </w:t>
      </w:r>
      <w:r>
        <w:rPr>
          <w:rFonts w:eastAsia="Arial" w:cs="Arial"/>
          <w:b w:val="false"/>
          <w:bCs w:val="false"/>
          <w:i w:val="false"/>
          <w:iCs w:val="false"/>
          <w:color w:val="1A1A1A"/>
          <w:sz w:val="22"/>
          <w:szCs w:val="22"/>
          <w:lang w:val="fr-FR"/>
        </w:rPr>
        <w:t>Détails Ouvrage — 63 champs</w:t>
      </w:r>
    </w:p>
    <w:p>
      <w:pPr>
        <w:pStyle w:val="Normal"/>
        <w:spacing w:before="20" w:after="80"/>
        <w:ind w:start="360"/>
        <w:jc w:val="start"/>
        <w:rPr>
          <w:lang w:val="fr-FR"/>
        </w:rPr>
      </w:pPr>
      <w:r>
        <w:rPr>
          <w:rFonts w:eastAsia="Arial" w:cs="Arial"/>
          <w:b w:val="false"/>
          <w:bCs w:val="false"/>
          <w:i w:val="false"/>
          <w:iCs w:val="false"/>
          <w:color w:val="1A1A1A"/>
          <w:sz w:val="22"/>
          <w:szCs w:val="22"/>
          <w:lang w:val="fr-FR"/>
        </w:rPr>
        <w:t xml:space="preserve">• </w:t>
      </w:r>
      <w:r>
        <w:rPr>
          <w:rFonts w:eastAsia="Arial" w:cs="Arial"/>
          <w:b w:val="false"/>
          <w:bCs w:val="false"/>
          <w:i w:val="false"/>
          <w:iCs w:val="false"/>
          <w:color w:val="1A1A1A"/>
          <w:sz w:val="22"/>
          <w:szCs w:val="22"/>
          <w:lang w:val="fr-FR"/>
        </w:rPr>
        <w:t>Visite — 46 champs</w:t>
      </w:r>
    </w:p>
    <w:p>
      <w:pPr>
        <w:pStyle w:val="Normal"/>
        <w:spacing w:before="20" w:after="160"/>
        <w:jc w:val="start"/>
        <w:rPr>
          <w:lang w:val="fr-FR"/>
        </w:rPr>
      </w:pPr>
      <w:r>
        <w:rPr>
          <w:rFonts w:eastAsia="Arial" w:cs="Arial"/>
          <w:b/>
          <w:bCs/>
          <w:i w:val="false"/>
          <w:iCs w:val="false"/>
          <w:color w:val="1A1A1A"/>
          <w:sz w:val="20"/>
          <w:szCs w:val="20"/>
          <w:lang w:val="fr-FR"/>
        </w:rPr>
        <w:t>Total : 137 champs.</w:t>
      </w:r>
    </w:p>
    <w:p>
      <w:pPr>
        <w:pStyle w:val="Normal"/>
        <w:rPr>
          <w:lang w:val="fr-FR"/>
        </w:rPr>
      </w:pPr>
      <w:r>
        <w:rPr>
          <w:lang w:val="fr-FR"/>
        </w:rPr>
      </w:r>
      <w:r>
        <w:br w:type="page"/>
      </w:r>
    </w:p>
    <w:p>
      <w:pPr>
        <w:pStyle w:val="Heading1"/>
        <w:pBdr>
          <w:bottom w:val="single" w:sz="4" w:space="1" w:color="2E75B6"/>
        </w:pBdr>
        <w:shd w:val="clear" w:fill="1F4E79"/>
        <w:spacing w:before="0" w:after="180"/>
        <w:ind w:start="200"/>
        <w:rPr>
          <w:lang w:val="fr-FR"/>
        </w:rPr>
      </w:pPr>
      <w:bookmarkStart w:id="4" w:name="__RefHeading___Toc2543_1145092829"/>
      <w:bookmarkEnd w:id="4"/>
      <w:r>
        <w:rPr>
          <w:rFonts w:eastAsia="Arial" w:cs="Arial" w:ascii="Arial" w:hAnsi="Arial"/>
          <w:b/>
          <w:bCs/>
          <w:i w:val="false"/>
          <w:iCs w:val="false"/>
          <w:color w:val="FFFFFF"/>
          <w:sz w:val="28"/>
          <w:szCs w:val="28"/>
          <w:lang w:val="fr-FR"/>
        </w:rPr>
        <w:t>2. Méthodologie</w:t>
      </w:r>
    </w:p>
    <w:p>
      <w:pPr>
        <w:pStyle w:val="Normal"/>
        <w:spacing w:before="80" w:after="80"/>
        <w:jc w:val="start"/>
        <w:rPr>
          <w:lang w:val="fr-FR"/>
        </w:rPr>
      </w:pPr>
      <w:r>
        <w:rPr>
          <w:lang w:val="fr-FR"/>
        </w:rPr>
      </w:r>
    </w:p>
    <w:p>
      <w:pPr>
        <w:pStyle w:val="Normal"/>
        <w:spacing w:before="80" w:after="120"/>
        <w:jc w:val="start"/>
        <w:rPr>
          <w:lang w:val="fr-FR"/>
        </w:rPr>
      </w:pPr>
      <w:r>
        <w:rPr>
          <w:rFonts w:eastAsia="Arial" w:cs="Arial"/>
          <w:b w:val="false"/>
          <w:bCs w:val="false"/>
          <w:i w:val="false"/>
          <w:iCs w:val="false"/>
          <w:color w:val="1A1A1A"/>
          <w:sz w:val="20"/>
          <w:szCs w:val="20"/>
          <w:lang w:val="fr-FR"/>
        </w:rPr>
        <w:t>La méthodologie de mapping a suivi les règles suivantes, établies et appliquées de manière cohérente tout au long du travail.</w:t>
      </w:r>
    </w:p>
    <w:p>
      <w:pPr>
        <w:pStyle w:val="Heading2"/>
        <w:pBdr>
          <w:bottom w:val="single" w:sz="2" w:space="1" w:color="BDD7EE"/>
        </w:pBdr>
        <w:spacing w:before="200" w:after="100"/>
        <w:rPr>
          <w:lang w:val="fr-FR"/>
        </w:rPr>
      </w:pPr>
      <w:bookmarkStart w:id="5" w:name="__RefHeading___Toc2545_1145092829"/>
      <w:bookmarkEnd w:id="5"/>
      <w:r>
        <w:rPr>
          <w:rFonts w:eastAsia="Arial" w:cs="Arial" w:ascii="Arial" w:hAnsi="Arial"/>
          <w:b/>
          <w:bCs/>
          <w:i w:val="false"/>
          <w:iCs w:val="false"/>
          <w:color w:val="2E75B6"/>
          <w:sz w:val="22"/>
          <w:szCs w:val="22"/>
          <w:lang w:val="fr-FR"/>
        </w:rPr>
        <w:t>Règle 1 — Code stocké, pas libellé affiché</w:t>
      </w:r>
    </w:p>
    <w:p>
      <w:pPr>
        <w:pStyle w:val="Normal"/>
        <w:spacing w:before="60" w:after="120"/>
        <w:jc w:val="start"/>
        <w:rPr>
          <w:lang w:val="fr-FR"/>
        </w:rPr>
      </w:pPr>
      <w:r>
        <w:rPr>
          <w:rFonts w:eastAsia="Arial" w:cs="Arial"/>
          <w:b w:val="false"/>
          <w:bCs w:val="false"/>
          <w:i w:val="false"/>
          <w:iCs w:val="false"/>
          <w:color w:val="1A1A1A"/>
          <w:sz w:val="20"/>
          <w:szCs w:val="20"/>
          <w:lang w:val="fr-FR"/>
        </w:rPr>
        <w:t>Pour chaque champ de type liste de choix, le mapping pointe vers la colonne de code stockée dans la base (ex. CODE_VPT) et non vers la colonne de libellé affichée (ex. LIB_VP_TYPE). Le libellé est résolu automatiquement par l'application via jointure. Exception documentée : les champs en lecture seule dont la seule valeur utile pour la migration est le libellé (ex. Type de Voie Franchie → VOIES_FRANCHIES_TYPE.LIB_VFT).</w:t>
      </w:r>
    </w:p>
    <w:p>
      <w:pPr>
        <w:pStyle w:val="Heading2"/>
        <w:pBdr>
          <w:bottom w:val="single" w:sz="2" w:space="1" w:color="BDD7EE"/>
        </w:pBdr>
        <w:spacing w:before="200" w:after="100"/>
        <w:rPr>
          <w:lang w:val="fr-FR"/>
        </w:rPr>
      </w:pPr>
      <w:bookmarkStart w:id="6" w:name="__RefHeading___Toc2547_1145092829"/>
      <w:bookmarkEnd w:id="6"/>
      <w:r>
        <w:rPr>
          <w:rFonts w:eastAsia="Arial" w:cs="Arial" w:ascii="Arial" w:hAnsi="Arial"/>
          <w:b/>
          <w:bCs/>
          <w:i w:val="false"/>
          <w:iCs w:val="false"/>
          <w:color w:val="2E75B6"/>
          <w:sz w:val="22"/>
          <w:szCs w:val="22"/>
          <w:lang w:val="fr-FR"/>
        </w:rPr>
        <w:t>Règle 2 — Tous les champs de données, y compris les boutons</w:t>
      </w:r>
    </w:p>
    <w:p>
      <w:pPr>
        <w:pStyle w:val="Normal"/>
        <w:spacing w:before="60" w:after="120"/>
        <w:jc w:val="start"/>
        <w:rPr>
          <w:lang w:val="fr-FR"/>
        </w:rPr>
      </w:pPr>
      <w:r>
        <w:rPr>
          <w:rFonts w:eastAsia="Arial" w:cs="Arial"/>
          <w:b w:val="false"/>
          <w:bCs w:val="false"/>
          <w:i w:val="false"/>
          <w:iCs w:val="false"/>
          <w:color w:val="1A1A1A"/>
          <w:sz w:val="20"/>
          <w:szCs w:val="20"/>
          <w:lang w:val="fr-FR"/>
        </w:rPr>
        <w:t>Tout champ qui affiche ou stocke des données est mappé, qu'il soit saisissable ou en lecture seule, et qu'il soit représenté par un champ texte ou un bouton dans le dashboard. Seuls les boutons de navigation pure (Retour, Allez au niveau…) sont laissés sans mapping. Les boutons qui ouvrent une vue de données (Historique, Photos visite) sont mappés vers la table cible.</w:t>
      </w:r>
    </w:p>
    <w:p>
      <w:pPr>
        <w:pStyle w:val="Heading2"/>
        <w:pBdr>
          <w:bottom w:val="single" w:sz="2" w:space="1" w:color="BDD7EE"/>
        </w:pBdr>
        <w:spacing w:before="200" w:after="100"/>
        <w:rPr>
          <w:lang w:val="fr-FR"/>
        </w:rPr>
      </w:pPr>
      <w:bookmarkStart w:id="7" w:name="__RefHeading___Toc2549_1145092829"/>
      <w:bookmarkEnd w:id="7"/>
      <w:r>
        <w:rPr>
          <w:rFonts w:eastAsia="Arial" w:cs="Arial" w:ascii="Arial" w:hAnsi="Arial"/>
          <w:b/>
          <w:bCs/>
          <w:i w:val="false"/>
          <w:iCs w:val="false"/>
          <w:color w:val="2E75B6"/>
          <w:sz w:val="22"/>
          <w:szCs w:val="22"/>
          <w:lang w:val="fr-FR"/>
        </w:rPr>
        <w:t>Règle 3 — Clés composites</w:t>
      </w:r>
    </w:p>
    <w:p>
      <w:pPr>
        <w:pStyle w:val="Normal"/>
        <w:spacing w:before="60" w:after="120"/>
        <w:jc w:val="start"/>
        <w:rPr>
          <w:lang w:val="fr-FR"/>
        </w:rPr>
      </w:pPr>
      <w:r>
        <w:rPr>
          <w:rFonts w:eastAsia="Arial" w:cs="Arial"/>
          <w:b w:val="false"/>
          <w:bCs w:val="false"/>
          <w:i w:val="false"/>
          <w:iCs w:val="false"/>
          <w:color w:val="1A1A1A"/>
          <w:sz w:val="20"/>
          <w:szCs w:val="20"/>
          <w:lang w:val="fr-FR"/>
        </w:rPr>
        <w:t>Lorsqu'un champ correspond à une table avec une clé composite (ex. T_FRAN_VFT dont la clé logique est IDENTIFIANT + CODE_VFT), les deux colonnes sont documentées dans les colonnes mappées et dans la note.</w:t>
      </w:r>
    </w:p>
    <w:p>
      <w:pPr>
        <w:pStyle w:val="Heading2"/>
        <w:pBdr>
          <w:bottom w:val="single" w:sz="2" w:space="1" w:color="BDD7EE"/>
        </w:pBdr>
        <w:spacing w:before="200" w:after="100"/>
        <w:rPr>
          <w:lang w:val="fr-FR"/>
        </w:rPr>
      </w:pPr>
      <w:bookmarkStart w:id="8" w:name="__RefHeading___Toc2551_1145092829"/>
      <w:bookmarkEnd w:id="8"/>
      <w:r>
        <w:rPr>
          <w:rFonts w:eastAsia="Arial" w:cs="Arial" w:ascii="Arial" w:hAnsi="Arial"/>
          <w:b/>
          <w:bCs/>
          <w:i w:val="false"/>
          <w:iCs w:val="false"/>
          <w:color w:val="2E75B6"/>
          <w:sz w:val="22"/>
          <w:szCs w:val="22"/>
          <w:lang w:val="fr-FR"/>
        </w:rPr>
        <w:t>Règle 4 — Ordre d'insertion</w:t>
      </w:r>
    </w:p>
    <w:p>
      <w:pPr>
        <w:pStyle w:val="Normal"/>
        <w:spacing w:before="60" w:after="120"/>
        <w:jc w:val="start"/>
        <w:rPr>
          <w:lang w:val="fr-FR"/>
        </w:rPr>
      </w:pPr>
      <w:r>
        <w:rPr>
          <w:rFonts w:eastAsia="Arial" w:cs="Arial"/>
          <w:b w:val="false"/>
          <w:bCs w:val="false"/>
          <w:i w:val="false"/>
          <w:iCs w:val="false"/>
          <w:color w:val="1A1A1A"/>
          <w:sz w:val="20"/>
          <w:szCs w:val="20"/>
          <w:lang w:val="fr-FR"/>
        </w:rPr>
        <w:t>Pour les tables liées par contraintes FK, l'ordre d'insertion requis est documenté dans les notes. L'ordre général pour la visite est : VISITE → T_SYNTHESE_OA → T_ACTIONS_PREVUES, et VISITE → T_PROCHAINE_VISITE → T_MATERIEL.</w:t>
      </w:r>
    </w:p>
    <w:p>
      <w:pPr>
        <w:pStyle w:val="Heading2"/>
        <w:pBdr>
          <w:bottom w:val="single" w:sz="2" w:space="1" w:color="BDD7EE"/>
        </w:pBdr>
        <w:spacing w:before="200" w:after="100"/>
        <w:rPr>
          <w:lang w:val="fr-FR"/>
        </w:rPr>
      </w:pPr>
      <w:bookmarkStart w:id="9" w:name="__RefHeading___Toc2553_1145092829"/>
      <w:bookmarkEnd w:id="9"/>
      <w:r>
        <w:rPr>
          <w:rFonts w:eastAsia="Arial" w:cs="Arial" w:ascii="Arial" w:hAnsi="Arial"/>
          <w:b/>
          <w:bCs/>
          <w:i w:val="false"/>
          <w:iCs w:val="false"/>
          <w:color w:val="2E75B6"/>
          <w:sz w:val="22"/>
          <w:szCs w:val="22"/>
          <w:lang w:val="fr-FR"/>
        </w:rPr>
        <w:t>Sources utilisées</w:t>
      </w:r>
    </w:p>
    <w:p>
      <w:pPr>
        <w:pStyle w:val="Normal"/>
        <w:spacing w:before="40" w:after="20"/>
        <w:jc w:val="start"/>
        <w:rPr>
          <w:lang w:val="fr-FR"/>
        </w:rPr>
      </w:pPr>
      <w:r>
        <w:rPr>
          <w:rFonts w:eastAsia="Arial" w:cs="Arial"/>
          <w:b w:val="false"/>
          <w:bCs w:val="false"/>
          <w:i w:val="false"/>
          <w:iCs w:val="false"/>
          <w:color w:val="1A1A1A"/>
          <w:sz w:val="20"/>
          <w:szCs w:val="20"/>
          <w:lang w:val="fr-FR"/>
        </w:rPr>
        <w:t xml:space="preserve">• </w:t>
      </w:r>
      <w:r>
        <w:rPr>
          <w:rFonts w:eastAsia="Arial" w:cs="Arial"/>
          <w:b w:val="false"/>
          <w:bCs w:val="false"/>
          <w:i w:val="false"/>
          <w:iCs w:val="false"/>
          <w:color w:val="1A1A1A"/>
          <w:sz w:val="20"/>
          <w:szCs w:val="20"/>
          <w:lang w:val="fr-FR"/>
        </w:rPr>
        <w:t>Schéma Oracle : SGOAM2.sql (223 tables, 155 contraintes FK extraites par script Python)</w:t>
      </w:r>
    </w:p>
    <w:p>
      <w:pPr>
        <w:pStyle w:val="Normal"/>
        <w:spacing w:before="20" w:after="20"/>
        <w:jc w:val="start"/>
        <w:rPr>
          <w:lang w:val="fr-FR"/>
        </w:rPr>
      </w:pPr>
      <w:r>
        <w:rPr>
          <w:rFonts w:eastAsia="Arial" w:cs="Arial"/>
          <w:b w:val="false"/>
          <w:bCs w:val="false"/>
          <w:i w:val="false"/>
          <w:iCs w:val="false"/>
          <w:color w:val="1A1A1A"/>
          <w:sz w:val="20"/>
          <w:szCs w:val="20"/>
          <w:lang w:val="fr-FR"/>
        </w:rPr>
        <w:t xml:space="preserve">• </w:t>
      </w:r>
      <w:r>
        <w:rPr>
          <w:rFonts w:eastAsia="Arial" w:cs="Arial"/>
          <w:b w:val="false"/>
          <w:bCs w:val="false"/>
          <w:i w:val="false"/>
          <w:iCs w:val="false"/>
          <w:color w:val="1A1A1A"/>
          <w:sz w:val="20"/>
          <w:szCs w:val="20"/>
          <w:lang w:val="fr-FR"/>
        </w:rPr>
        <w:t>Documentation tableau de bord : "Arborescences fenêtres SGOAM — Outil existant.xlsx" (3 feuilles : Franchissement, Détails Ouvrage, Visite)</w:t>
      </w:r>
    </w:p>
    <w:p>
      <w:pPr>
        <w:pStyle w:val="Normal"/>
        <w:spacing w:before="20" w:after="0"/>
        <w:jc w:val="start"/>
        <w:rPr>
          <w:lang w:val="fr-FR"/>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00" w:right="1000" w:gutter="0" w:header="708" w:top="1000" w:footer="708" w:bottom="1000"/>
          <w:pgNumType w:fmt="decimal"/>
          <w:formProt w:val="false"/>
          <w:textDirection w:val="lrTb"/>
          <w:docGrid w:type="default" w:linePitch="360" w:charSpace="0"/>
        </w:sectPr>
      </w:pPr>
      <w:r>
        <w:rPr>
          <w:rFonts w:eastAsia="Arial" w:cs="Arial"/>
          <w:b w:val="false"/>
          <w:bCs w:val="false"/>
          <w:i w:val="false"/>
          <w:iCs w:val="false"/>
          <w:color w:val="1A1A1A"/>
          <w:sz w:val="20"/>
          <w:szCs w:val="20"/>
          <w:lang w:val="fr-FR"/>
        </w:rPr>
        <w:t xml:space="preserve">• </w:t>
      </w:r>
      <w:r>
        <w:rPr>
          <w:rFonts w:eastAsia="Arial" w:cs="Arial"/>
          <w:b w:val="false"/>
          <w:bCs w:val="false"/>
          <w:i w:val="false"/>
          <w:iCs w:val="false"/>
          <w:color w:val="1A1A1A"/>
          <w:sz w:val="20"/>
          <w:szCs w:val="20"/>
          <w:lang w:val="fr-FR"/>
        </w:rPr>
        <w:t>Données d'exemple : example-data.xlsx (tables VISITE, T_CULEE, T_TRAVEES, TYPE_ACTION)</w:t>
      </w:r>
    </w:p>
    <w:p>
      <w:pPr>
        <w:pStyle w:val="Heading1"/>
        <w:pBdr>
          <w:bottom w:val="single" w:sz="4" w:space="1" w:color="2E75B6"/>
        </w:pBdr>
        <w:shd w:val="clear" w:fill="1F4E79"/>
        <w:spacing w:before="360" w:after="180"/>
        <w:ind w:start="200"/>
        <w:rPr>
          <w:lang w:val="fr-FR"/>
        </w:rPr>
      </w:pPr>
      <w:bookmarkStart w:id="10" w:name="__RefHeading___Toc2555_1145092829"/>
      <w:bookmarkEnd w:id="10"/>
      <w:r>
        <w:rPr>
          <w:rFonts w:eastAsia="Arial" w:cs="Arial" w:ascii="Arial" w:hAnsi="Arial"/>
          <w:b/>
          <w:bCs/>
          <w:i w:val="false"/>
          <w:iCs w:val="false"/>
          <w:color w:val="FFFFFF"/>
          <w:sz w:val="28"/>
          <w:szCs w:val="28"/>
          <w:lang w:val="fr-FR"/>
        </w:rPr>
        <w:t>3. Tableaux de Mapping</w:t>
      </w:r>
    </w:p>
    <w:p>
      <w:pPr>
        <w:pStyle w:val="Normal"/>
        <w:spacing w:before="80" w:after="120"/>
        <w:jc w:val="start"/>
        <w:rPr>
          <w:lang w:val="fr-FR"/>
        </w:rPr>
      </w:pPr>
      <w:r>
        <w:rPr>
          <w:rFonts w:eastAsia="Arial" w:cs="Arial"/>
          <w:b w:val="false"/>
          <w:bCs w:val="false"/>
          <w:i w:val="false"/>
          <w:iCs w:val="false"/>
          <w:color w:val="1A1A1A"/>
          <w:sz w:val="20"/>
          <w:szCs w:val="20"/>
          <w:lang w:val="fr-FR"/>
        </w:rPr>
        <w:t>Les tableaux suivants documentent le mapping complet des 137 champs du tableau de bord vers les colonnes de la base de données SGOAM2. Chaque ligne indique le chemin dans le dashboard, le nom du champ, la table et colonne cible, et une note explicative.</w:t>
      </w:r>
    </w:p>
    <w:p>
      <w:pPr>
        <w:pStyle w:val="Normal"/>
        <w:rPr>
          <w:lang w:val="fr-FR"/>
        </w:rPr>
      </w:pPr>
      <w:r>
        <w:rPr>
          <w:lang w:val="fr-FR"/>
        </w:rPr>
      </w:r>
      <w:r>
        <w:br w:type="page"/>
      </w:r>
    </w:p>
    <w:p>
      <w:pPr>
        <w:pStyle w:val="Heading2"/>
        <w:pBdr>
          <w:bottom w:val="single" w:sz="2" w:space="1" w:color="BDD7EE"/>
        </w:pBdr>
        <w:spacing w:before="0" w:after="100"/>
        <w:rPr>
          <w:lang w:val="fr-FR"/>
        </w:rPr>
      </w:pPr>
      <w:bookmarkStart w:id="11" w:name="__RefHeading___Toc2557_1145092829"/>
      <w:bookmarkEnd w:id="11"/>
      <w:r>
        <w:rPr>
          <w:rFonts w:eastAsia="Arial" w:cs="Arial" w:ascii="Arial" w:hAnsi="Arial"/>
          <w:b/>
          <w:bCs/>
          <w:i w:val="false"/>
          <w:iCs w:val="false"/>
          <w:color w:val="2E75B6"/>
          <w:sz w:val="22"/>
          <w:szCs w:val="22"/>
          <w:lang w:val="fr-FR"/>
        </w:rPr>
        <w:t>3.1 Franchissement</w:t>
      </w:r>
    </w:p>
    <w:p>
      <w:pPr>
        <w:pStyle w:val="Normal"/>
        <w:spacing w:before="80" w:after="80"/>
        <w:jc w:val="start"/>
        <w:rPr>
          <w:lang w:val="fr-FR"/>
        </w:rPr>
      </w:pPr>
      <w:r>
        <w:rPr>
          <w:lang w:val="fr-FR"/>
        </w:rPr>
      </w:r>
    </w:p>
    <w:tbl>
      <w:tblPr>
        <w:tblW w:w="14838" w:type="dxa"/>
        <w:jc w:val="start"/>
        <w:tblInd w:w="0" w:type="dxa"/>
        <w:tblLayout w:type="fixed"/>
        <w:tblCellMar>
          <w:top w:w="80" w:type="dxa"/>
          <w:start w:w="100" w:type="dxa"/>
          <w:bottom w:w="80" w:type="dxa"/>
          <w:end w:w="100" w:type="dxa"/>
        </w:tblCellMar>
      </w:tblPr>
      <w:tblGrid>
        <w:gridCol w:w="1744"/>
        <w:gridCol w:w="1746"/>
        <w:gridCol w:w="2618"/>
        <w:gridCol w:w="2619"/>
        <w:gridCol w:w="6111"/>
      </w:tblGrid>
      <w:tr>
        <w:trPr>
          <w:tblHeader w:val="true"/>
        </w:trPr>
        <w:tc>
          <w:tcPr>
            <w:tcW w:w="1744" w:type="dxa"/>
            <w:tcBorders>
              <w:top w:val="single" w:sz="2" w:space="0" w:color="BDD7EE"/>
              <w:start w:val="single" w:sz="2" w:space="0" w:color="BDD7EE"/>
              <w:bottom w:val="single" w:sz="2" w:space="0" w:color="BDD7EE"/>
              <w:end w:val="single" w:sz="2" w:space="0" w:color="BDD7EE"/>
            </w:tcBorders>
            <w:shd w:fill="1F4E79" w:val="clear"/>
            <w:vAlign w:val="center"/>
          </w:tcPr>
          <w:p>
            <w:pPr>
              <w:pStyle w:val="Normal"/>
              <w:rPr>
                <w:lang w:val="fr-FR"/>
              </w:rPr>
            </w:pPr>
            <w:r>
              <w:rPr>
                <w:lang w:val="fr-FR"/>
              </w:rPr>
              <w:t>Chemin</w:t>
            </w:r>
          </w:p>
        </w:tc>
        <w:tc>
          <w:tcPr>
            <w:tcW w:w="1746" w:type="dxa"/>
            <w:tcBorders>
              <w:top w:val="single" w:sz="2" w:space="0" w:color="BDD7EE"/>
              <w:start w:val="single" w:sz="2" w:space="0" w:color="BDD7EE"/>
              <w:bottom w:val="single" w:sz="2" w:space="0" w:color="BDD7EE"/>
              <w:end w:val="single" w:sz="2" w:space="0" w:color="BDD7EE"/>
            </w:tcBorders>
            <w:shd w:fill="1F4E79" w:val="clear"/>
            <w:vAlign w:val="center"/>
          </w:tcPr>
          <w:p>
            <w:pPr>
              <w:pStyle w:val="Normal"/>
              <w:rPr>
                <w:lang w:val="fr-FR"/>
              </w:rPr>
            </w:pPr>
            <w:r>
              <w:rPr>
                <w:lang w:val="fr-FR"/>
              </w:rPr>
              <w:t>Champ</w:t>
            </w:r>
          </w:p>
        </w:tc>
        <w:tc>
          <w:tcPr>
            <w:tcW w:w="2618" w:type="dxa"/>
            <w:tcBorders>
              <w:top w:val="single" w:sz="2" w:space="0" w:color="BDD7EE"/>
              <w:start w:val="single" w:sz="2" w:space="0" w:color="BDD7EE"/>
              <w:bottom w:val="single" w:sz="2" w:space="0" w:color="BDD7EE"/>
            </w:tcBorders>
            <w:shd w:fill="1F4E79" w:val="clear"/>
            <w:vAlign w:val="center"/>
          </w:tcPr>
          <w:p>
            <w:pPr>
              <w:pStyle w:val="Normal"/>
              <w:rPr>
                <w:lang w:val="fr-FR"/>
              </w:rPr>
            </w:pPr>
            <w:r>
              <w:rPr>
                <w:lang w:val="fr-FR"/>
              </w:rPr>
              <w:t>Table.Colonne</w:t>
            </w:r>
          </w:p>
        </w:tc>
        <w:tc>
          <w:tcPr>
            <w:tcW w:w="2619" w:type="dxa"/>
            <w:tcBorders>
              <w:top w:val="single" w:sz="2" w:space="0" w:color="BDD7EE"/>
              <w:start w:val="single" w:sz="2" w:space="0" w:color="BDD7EE"/>
              <w:bottom w:val="single" w:sz="2" w:space="0" w:color="BDD7EE"/>
            </w:tcBorders>
            <w:shd w:fill="1F4E79" w:val="clear"/>
            <w:vAlign w:val="center"/>
          </w:tcPr>
          <w:p>
            <w:pPr>
              <w:pStyle w:val="Normal"/>
              <w:rPr>
                <w:lang w:val="fr-FR"/>
              </w:rPr>
            </w:pPr>
            <w:r>
              <w:rPr>
                <w:lang w:val="fr-FR"/>
              </w:rPr>
              <w:t>Type</w:t>
            </w:r>
          </w:p>
        </w:tc>
        <w:tc>
          <w:tcPr>
            <w:tcW w:w="6111" w:type="dxa"/>
            <w:tcBorders>
              <w:top w:val="single" w:sz="2" w:space="0" w:color="BDD7EE"/>
              <w:start w:val="single" w:sz="2" w:space="0" w:color="BDD7EE"/>
              <w:bottom w:val="single" w:sz="2" w:space="0" w:color="BDD7EE"/>
              <w:end w:val="single" w:sz="2" w:space="0" w:color="BDD7EE"/>
            </w:tcBorders>
            <w:shd w:fill="1F4E79" w:val="clear"/>
            <w:vAlign w:val="center"/>
          </w:tcPr>
          <w:p>
            <w:pPr>
              <w:pStyle w:val="Normal"/>
              <w:widowControl/>
              <w:bidi w:val="0"/>
              <w:spacing w:before="0" w:after="0"/>
              <w:jc w:val="start"/>
              <w:rPr>
                <w:lang w:val="fr-FR"/>
              </w:rPr>
            </w:pPr>
            <w:r>
              <w:rPr>
                <w:lang w:val="fr-FR"/>
              </w:rPr>
              <w:t>Note</w:t>
            </w:r>
          </w:p>
        </w:tc>
      </w:tr>
      <w:tr>
        <w:trPr/>
        <w:tc>
          <w:tcPr>
            <w:tcW w:w="1744"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r>
          </w:p>
        </w:tc>
        <w:tc>
          <w:tcPr>
            <w:tcW w:w="1746"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DRE</w:t>
            </w:r>
          </w:p>
        </w:tc>
        <w:tc>
          <w:tcPr>
            <w:tcW w:w="2618"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FRANADMIN.CODE_REGION</w:t>
            </w:r>
          </w:p>
        </w:tc>
        <w:tc>
          <w:tcPr>
            <w:tcW w:w="2619"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VARCHAR2(4 BYTE)            NOT NULL</w:t>
            </w:r>
          </w:p>
        </w:tc>
        <w:tc>
          <w:tcPr>
            <w:tcW w:w="6111"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CODE_REGION est dénormalisé dans FRANADMIN sans FK déclarée vers REGION. Le chemin normalisé est FRANADMIN.CODE_PROV → PROVINCE.CODE_PROV → PROVINCE.CODE_REG → REGION.CODE_REG. La valeur insérée doit être cohérente avec CODE_PROV.</w:t>
            </w:r>
          </w:p>
        </w:tc>
      </w:tr>
      <w:tr>
        <w:trPr/>
        <w:tc>
          <w:tcPr>
            <w:tcW w:w="1744"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r>
          </w:p>
        </w:tc>
        <w:tc>
          <w:tcPr>
            <w:tcW w:w="1746"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DPE</w:t>
            </w:r>
          </w:p>
        </w:tc>
        <w:tc>
          <w:tcPr>
            <w:tcW w:w="2618"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FRANADMIN.CODE_PROV</w:t>
            </w:r>
          </w:p>
        </w:tc>
        <w:tc>
          <w:tcPr>
            <w:tcW w:w="2619"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VARCHAR2(4 BYTE)            NOT NULL</w:t>
            </w:r>
          </w:p>
        </w:tc>
        <w:tc>
          <w:tcPr>
            <w:tcW w:w="6111"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déclarée : FRANADMIN.CODE_PROV → PROVINCE.CODE_PROV. Le libellé de la province est dans PROVINCE.LIB_PROV.</w:t>
            </w:r>
          </w:p>
        </w:tc>
      </w:tr>
      <w:tr>
        <w:trPr/>
        <w:tc>
          <w:tcPr>
            <w:tcW w:w="1744"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r>
          </w:p>
        </w:tc>
        <w:tc>
          <w:tcPr>
            <w:tcW w:w="1746"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Fiche établie le:</w:t>
            </w:r>
          </w:p>
        </w:tc>
        <w:tc>
          <w:tcPr>
            <w:tcW w:w="2618"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FRANADMIN.DATESAISIE</w:t>
            </w:r>
          </w:p>
        </w:tc>
        <w:tc>
          <w:tcPr>
            <w:tcW w:w="2619"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DATE</w:t>
            </w:r>
          </w:p>
        </w:tc>
        <w:tc>
          <w:tcPr>
            <w:tcW w:w="6111"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Date de création de la fiche. Type DATE, pas de FK.</w:t>
            </w:r>
          </w:p>
        </w:tc>
      </w:tr>
      <w:tr>
        <w:trPr/>
        <w:tc>
          <w:tcPr>
            <w:tcW w:w="1744"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r>
          </w:p>
        </w:tc>
        <w:tc>
          <w:tcPr>
            <w:tcW w:w="1746"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Date dernière MAJ</w:t>
            </w:r>
          </w:p>
        </w:tc>
        <w:tc>
          <w:tcPr>
            <w:tcW w:w="2618"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FRANADMIN.DATEMAJ</w:t>
            </w:r>
          </w:p>
        </w:tc>
        <w:tc>
          <w:tcPr>
            <w:tcW w:w="2619"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DATE</w:t>
            </w:r>
          </w:p>
        </w:tc>
        <w:tc>
          <w:tcPr>
            <w:tcW w:w="6111"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Date de dernière mise à jour générale. DATEMAJ_FRAN existe aussi pour les mises à jour spécifiques au franchissement. Lors de la migration, renseigner les deux colonnes.</w:t>
            </w:r>
          </w:p>
        </w:tc>
      </w:tr>
      <w:tr>
        <w:trPr/>
        <w:tc>
          <w:tcPr>
            <w:tcW w:w="1744"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r>
          </w:p>
        </w:tc>
        <w:tc>
          <w:tcPr>
            <w:tcW w:w="1746"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Numéro d'incrémentation</w:t>
            </w:r>
          </w:p>
        </w:tc>
        <w:tc>
          <w:tcPr>
            <w:tcW w:w="2618"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FRANADMIN.IDENTIFIANT</w:t>
            </w:r>
          </w:p>
        </w:tc>
        <w:tc>
          <w:tcPr>
            <w:tcW w:w="2619"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VARCHAR2(8 BYTE)            NOT NULL</w:t>
            </w:r>
          </w:p>
        </w:tc>
        <w:tc>
          <w:tcPr>
            <w:tcW w:w="6111"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Clé primaire VARCHAR2(8), générée automatiquement. Référencée comme FK dans OARG, VISITE, T_FRAN_VFT, HIST_FRAN, PHOTOS_OUV.</w:t>
            </w:r>
          </w:p>
        </w:tc>
      </w:tr>
      <w:tr>
        <w:trPr/>
        <w:tc>
          <w:tcPr>
            <w:tcW w:w="1744"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r>
          </w:p>
        </w:tc>
        <w:tc>
          <w:tcPr>
            <w:tcW w:w="1746"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Historique</w:t>
            </w:r>
          </w:p>
        </w:tc>
        <w:tc>
          <w:tcPr>
            <w:tcW w:w="2618"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HIST_FRAN.IDENTIFIANT</w:t>
            </w:r>
          </w:p>
        </w:tc>
        <w:tc>
          <w:tcPr>
            <w:tcW w:w="2619"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VARCHAR2(8 BYTE)                 NOT NULL</w:t>
            </w:r>
          </w:p>
        </w:tc>
        <w:tc>
          <w:tcPr>
            <w:tcW w:w="6111"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Données historiques du franchissement. Écrites automatiquement par l'application à chaque modification dans HIST_FRAN. Pour la migration, les données historiques existantes doivent être insérées dans HIST_FRAN avec HIST_FRAN.IDENTIFIANT → FRANADMIN.IDENTIFIANT et HIST_FRAN.CODE_PROV → PROVINCE.CODE_PROV.</w:t>
            </w:r>
          </w:p>
        </w:tc>
      </w:tr>
      <w:tr>
        <w:trPr/>
        <w:tc>
          <w:tcPr>
            <w:tcW w:w="1744"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Voie portée</w:t>
            </w:r>
          </w:p>
        </w:tc>
        <w:tc>
          <w:tcPr>
            <w:tcW w:w="1746"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Type</w:t>
            </w:r>
          </w:p>
        </w:tc>
        <w:tc>
          <w:tcPr>
            <w:tcW w:w="2618"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FRANADMIN.CODE_VPT</w:t>
            </w:r>
          </w:p>
        </w:tc>
        <w:tc>
          <w:tcPr>
            <w:tcW w:w="2619"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VARCHAR2(4 BYTE)            NOT NULL</w:t>
            </w:r>
          </w:p>
        </w:tc>
        <w:tc>
          <w:tcPr>
            <w:tcW w:w="6111"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FK déclarée : FRANADMIN.CODE_VPT → VOIES_PORTEE_TYPE.CODE_VPT. Libellé dans VOIES_PORTEE_TYPE.LIB_VP_TYPE.</w:t>
            </w:r>
          </w:p>
        </w:tc>
      </w:tr>
      <w:tr>
        <w:trPr/>
        <w:tc>
          <w:tcPr>
            <w:tcW w:w="1744"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Voie portée</w:t>
            </w:r>
          </w:p>
        </w:tc>
        <w:tc>
          <w:tcPr>
            <w:tcW w:w="1746"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Numéro</w:t>
            </w:r>
          </w:p>
        </w:tc>
        <w:tc>
          <w:tcPr>
            <w:tcW w:w="2618"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FRANADMIN.VP_NUM</w:t>
            </w:r>
          </w:p>
        </w:tc>
        <w:tc>
          <w:tcPr>
            <w:tcW w:w="2619"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NUMBER(5)</w:t>
            </w:r>
          </w:p>
        </w:tc>
        <w:tc>
          <w:tcPr>
            <w:tcW w:w="6111"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Numéro de la route portante. NUMBER(5), pas de FK.</w:t>
            </w:r>
          </w:p>
        </w:tc>
      </w:tr>
      <w:tr>
        <w:trPr/>
        <w:tc>
          <w:tcPr>
            <w:tcW w:w="1744"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Voie portée</w:t>
            </w:r>
          </w:p>
        </w:tc>
        <w:tc>
          <w:tcPr>
            <w:tcW w:w="1746"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Pk</w:t>
            </w:r>
          </w:p>
        </w:tc>
        <w:tc>
          <w:tcPr>
            <w:tcW w:w="2618"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FRANADMIN.VP_PK</w:t>
            </w:r>
          </w:p>
        </w:tc>
        <w:tc>
          <w:tcPr>
            <w:tcW w:w="2619"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NUMBER(8,3)</w:t>
            </w:r>
          </w:p>
        </w:tc>
        <w:tc>
          <w:tcPr>
            <w:tcW w:w="6111"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Point kilométrique. NUMBER(8,3), pas de FK.</w:t>
            </w:r>
          </w:p>
        </w:tc>
      </w:tr>
      <w:tr>
        <w:trPr/>
        <w:tc>
          <w:tcPr>
            <w:tcW w:w="1744"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Voie portée</w:t>
            </w:r>
          </w:p>
        </w:tc>
        <w:tc>
          <w:tcPr>
            <w:tcW w:w="1746"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Implantation</w:t>
            </w:r>
          </w:p>
        </w:tc>
        <w:tc>
          <w:tcPr>
            <w:tcW w:w="2618"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FRANADMIN.CODE_IMP_VP</w:t>
            </w:r>
          </w:p>
        </w:tc>
        <w:tc>
          <w:tcPr>
            <w:tcW w:w="2619"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VARCHAR2(4 BYTE)            NOT NULL</w:t>
            </w:r>
          </w:p>
        </w:tc>
        <w:tc>
          <w:tcPr>
            <w:tcW w:w="6111"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déclarée : FRANADMIN.CODE_IMP_VP → IMPLANTATION_TRACE.CODE_IMP_VP. Concerne le tracé de la voie portante (en alignement, en courbe, etc.).</w:t>
            </w:r>
          </w:p>
        </w:tc>
      </w:tr>
      <w:tr>
        <w:trPr/>
        <w:tc>
          <w:tcPr>
            <w:tcW w:w="1744"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Voie portée</w:t>
            </w:r>
          </w:p>
        </w:tc>
        <w:tc>
          <w:tcPr>
            <w:tcW w:w="1746"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Longueur totale franchissement</w:t>
            </w:r>
          </w:p>
        </w:tc>
        <w:tc>
          <w:tcPr>
            <w:tcW w:w="2618"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FRANADMIN.LONGUEUR</w:t>
            </w:r>
          </w:p>
        </w:tc>
        <w:tc>
          <w:tcPr>
            <w:tcW w:w="2619"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NUMBER(7,2)</w:t>
            </w:r>
          </w:p>
        </w:tc>
        <w:tc>
          <w:tcPr>
            <w:tcW w:w="6111"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Longueur totale du franchissement en mètres. NUMBER(7,2), pas de FK.</w:t>
            </w:r>
          </w:p>
        </w:tc>
      </w:tr>
      <w:tr>
        <w:trPr/>
        <w:tc>
          <w:tcPr>
            <w:tcW w:w="1744"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Voie portée</w:t>
            </w:r>
          </w:p>
        </w:tc>
        <w:tc>
          <w:tcPr>
            <w:tcW w:w="1746"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Revêtement</w:t>
            </w:r>
          </w:p>
        </w:tc>
        <w:tc>
          <w:tcPr>
            <w:tcW w:w="2618"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FRANADMIN.CODE_REVET_CH</w:t>
            </w:r>
          </w:p>
        </w:tc>
        <w:tc>
          <w:tcPr>
            <w:tcW w:w="2619"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VARCHAR2(4 BYTE)            NOT NULL</w:t>
            </w:r>
          </w:p>
        </w:tc>
        <w:tc>
          <w:tcPr>
            <w:tcW w:w="6111"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déclarée : FRANADMIN.CODE_REVET_CH → REVET_CHAUSSEE.CODE_REVET_CH. Libellé dans REVET_CHAUSSEE.LIB_REVET_CH.</w:t>
            </w:r>
          </w:p>
        </w:tc>
      </w:tr>
      <w:tr>
        <w:trPr/>
        <w:tc>
          <w:tcPr>
            <w:tcW w:w="1744"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Voie portée</w:t>
            </w:r>
          </w:p>
        </w:tc>
        <w:tc>
          <w:tcPr>
            <w:tcW w:w="1746"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Possibilité de déviation</w:t>
            </w:r>
          </w:p>
        </w:tc>
        <w:tc>
          <w:tcPr>
            <w:tcW w:w="2618"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FRANADMIN.DEVIATION</w:t>
            </w:r>
          </w:p>
        </w:tc>
        <w:tc>
          <w:tcPr>
            <w:tcW w:w="2619"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VARCHAR2(3 BYTE)</w:t>
            </w:r>
          </w:p>
        </w:tc>
        <w:tc>
          <w:tcPr>
            <w:tcW w:w="6111"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Booléen VARCHAR2(3), valeurs O/N ou OUI/NON. Pas de FK.</w:t>
            </w:r>
          </w:p>
        </w:tc>
      </w:tr>
      <w:tr>
        <w:trPr/>
        <w:tc>
          <w:tcPr>
            <w:tcW w:w="1744"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Voie portée</w:t>
            </w:r>
          </w:p>
        </w:tc>
        <w:tc>
          <w:tcPr>
            <w:tcW w:w="1746"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Classe trafic</w:t>
            </w:r>
          </w:p>
        </w:tc>
        <w:tc>
          <w:tcPr>
            <w:tcW w:w="2618"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FRANADMIN.CODE_CL_TRAFIC</w:t>
            </w:r>
          </w:p>
        </w:tc>
        <w:tc>
          <w:tcPr>
            <w:tcW w:w="2619"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VARCHAR2(4 BYTE)            NOT NULL</w:t>
            </w:r>
          </w:p>
        </w:tc>
        <w:tc>
          <w:tcPr>
            <w:tcW w:w="6111"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déclarée : FRANADMIN.CODE_CL_TRAFIC → CLASSE_TRAFIC.CODE_CL_TRAFIC. Libellé dans CLASSE_TRAFIC.LIB_CL_TRAFIC.</w:t>
            </w:r>
          </w:p>
        </w:tc>
      </w:tr>
      <w:tr>
        <w:trPr/>
        <w:tc>
          <w:tcPr>
            <w:tcW w:w="1744"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Voie portée</w:t>
            </w:r>
          </w:p>
        </w:tc>
        <w:tc>
          <w:tcPr>
            <w:tcW w:w="1746"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Pont sur:</w:t>
            </w:r>
          </w:p>
        </w:tc>
        <w:tc>
          <w:tcPr>
            <w:tcW w:w="2618"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T_FRAN_VFT.IDENTIFIANT, T_FRAN_VFT.CODE_VFT</w:t>
            </w:r>
          </w:p>
        </w:tc>
        <w:tc>
          <w:tcPr>
            <w:tcW w:w="2619"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VARCHAR2(8 BYTE)                 NOT NULL, VARCHAR2(4 BYTE)                 NOT NULL</w:t>
            </w:r>
          </w:p>
        </w:tc>
        <w:tc>
          <w:tcPr>
            <w:tcW w:w="6111"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Ne va pas dans FRANADMIN. Table de jonction T_FRAN_VFT car un franchissement peut croiser plusieurs obstacles. FK déclarées : T_FRAN_VFT.CODE_VFT → VOIES_FRANCHIES_TYPE.CODE_VFT, T_FRAN_VFT.IDENTIFIANT → FRANADMIN.IDENTIFIANT, T_FRAN_VFT.CODE_PROV → PROVINCE.CODE_PROV. CODE_VFT + IDENTIFIANT forment la clé logique unique (pas d'index unique déclaré dans le SQL). CODE_PROV est copié depuis FRANADMIN par dénormalisation.</w:t>
            </w:r>
          </w:p>
        </w:tc>
      </w:tr>
      <w:tr>
        <w:trPr/>
        <w:tc>
          <w:tcPr>
            <w:tcW w:w="1744"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Voie portée &gt; Restriction d'exploitation</w:t>
            </w:r>
          </w:p>
        </w:tc>
        <w:tc>
          <w:tcPr>
            <w:tcW w:w="1746"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Restriction de circulation</w:t>
            </w:r>
          </w:p>
        </w:tc>
        <w:tc>
          <w:tcPr>
            <w:tcW w:w="2618"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FRANADMIN.RESTRICTION</w:t>
            </w:r>
          </w:p>
        </w:tc>
        <w:tc>
          <w:tcPr>
            <w:tcW w:w="2619"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VARCHAR2(3 BYTE)</w:t>
            </w:r>
          </w:p>
        </w:tc>
        <w:tc>
          <w:tcPr>
            <w:tcW w:w="6111"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Booléen VARCHAR2(3), pas de FK.</w:t>
            </w:r>
          </w:p>
        </w:tc>
      </w:tr>
      <w:tr>
        <w:trPr/>
        <w:tc>
          <w:tcPr>
            <w:tcW w:w="1744"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Voie portée &gt; Restriction d'exploitation</w:t>
            </w:r>
          </w:p>
        </w:tc>
        <w:tc>
          <w:tcPr>
            <w:tcW w:w="1746"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PTC</w:t>
            </w:r>
          </w:p>
        </w:tc>
        <w:tc>
          <w:tcPr>
            <w:tcW w:w="2618"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FRANADMIN.PTC</w:t>
            </w:r>
          </w:p>
        </w:tc>
        <w:tc>
          <w:tcPr>
            <w:tcW w:w="2619"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NUMBER(2)</w:t>
            </w:r>
          </w:p>
        </w:tc>
        <w:tc>
          <w:tcPr>
            <w:tcW w:w="6111"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Port total en charge en tonnes. NUMBER(2), pas de FK. Valeur importée depuis les données officielles de restriction de charge.</w:t>
            </w:r>
          </w:p>
        </w:tc>
      </w:tr>
      <w:tr>
        <w:trPr/>
        <w:tc>
          <w:tcPr>
            <w:tcW w:w="1744"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Voie portée &gt; Restriction d'exploitation</w:t>
            </w:r>
          </w:p>
        </w:tc>
        <w:tc>
          <w:tcPr>
            <w:tcW w:w="1746"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Vitesse Limite Signalée</w:t>
            </w:r>
          </w:p>
        </w:tc>
        <w:tc>
          <w:tcPr>
            <w:tcW w:w="2618"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FRANADMIN.VL_VP</w:t>
            </w:r>
          </w:p>
        </w:tc>
        <w:tc>
          <w:tcPr>
            <w:tcW w:w="2619"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NUMBER(3)</w:t>
            </w:r>
          </w:p>
        </w:tc>
        <w:tc>
          <w:tcPr>
            <w:tcW w:w="6111"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Vitesse limite en km/h. NUMBER(3), pas de FK. VL = Vitesse Limite, VP = Voie Portée.</w:t>
            </w:r>
          </w:p>
        </w:tc>
      </w:tr>
      <w:tr>
        <w:trPr/>
        <w:tc>
          <w:tcPr>
            <w:tcW w:w="1744"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Voie portée &gt; Restriction d'exploitation</w:t>
            </w:r>
          </w:p>
        </w:tc>
        <w:tc>
          <w:tcPr>
            <w:tcW w:w="1746"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Hauteur Limite Signalée</w:t>
            </w:r>
          </w:p>
        </w:tc>
        <w:tc>
          <w:tcPr>
            <w:tcW w:w="2618"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FRANADMIN.HL_VP</w:t>
            </w:r>
          </w:p>
        </w:tc>
        <w:tc>
          <w:tcPr>
            <w:tcW w:w="2619"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NUMBER(7,2)</w:t>
            </w:r>
          </w:p>
        </w:tc>
        <w:tc>
          <w:tcPr>
            <w:tcW w:w="6111"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Hauteur limite en mètres. NUMBER(7,2), pas de FK. HL = Hauteur Limite, VP = Voie Portée.</w:t>
            </w:r>
          </w:p>
        </w:tc>
      </w:tr>
      <w:tr>
        <w:trPr/>
        <w:tc>
          <w:tcPr>
            <w:tcW w:w="1744"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Voie portée &gt; Restriction d'exploitation</w:t>
            </w:r>
          </w:p>
        </w:tc>
        <w:tc>
          <w:tcPr>
            <w:tcW w:w="1746"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Largeur Limite Signalée</w:t>
            </w:r>
          </w:p>
        </w:tc>
        <w:tc>
          <w:tcPr>
            <w:tcW w:w="2618"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FRANADMIN.LL_VP</w:t>
            </w:r>
          </w:p>
        </w:tc>
        <w:tc>
          <w:tcPr>
            <w:tcW w:w="2619"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NUMBER(7,2)</w:t>
            </w:r>
          </w:p>
        </w:tc>
        <w:tc>
          <w:tcPr>
            <w:tcW w:w="6111"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Largeur limite en mètres. NUMBER(7,2), pas de FK. LL = Largeur Limite, VP = Voie Portée.</w:t>
            </w:r>
          </w:p>
        </w:tc>
      </w:tr>
      <w:tr>
        <w:trPr/>
        <w:tc>
          <w:tcPr>
            <w:tcW w:w="1744"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Voie Franchie &gt; Type</w:t>
            </w:r>
          </w:p>
        </w:tc>
        <w:tc>
          <w:tcPr>
            <w:tcW w:w="1746"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Code</w:t>
            </w:r>
          </w:p>
        </w:tc>
        <w:tc>
          <w:tcPr>
            <w:tcW w:w="2618"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T_FRAN_VFT.CODE_VFT</w:t>
            </w:r>
          </w:p>
        </w:tc>
        <w:tc>
          <w:tcPr>
            <w:tcW w:w="2619"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VARCHAR2(4 BYTE)                 NOT NULL</w:t>
            </w:r>
          </w:p>
        </w:tc>
        <w:tc>
          <w:tcPr>
            <w:tcW w:w="6111"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Même table et même colonne que "Pont sur". Code et Type de Voie Franchie sont deux représentations du même champ dans T_FRAN_VFT. FK : T_FRAN_VFT.CODE_VFT → VOIES_FRANCHIES_TYPE.CODE_VFT.</w:t>
            </w:r>
          </w:p>
        </w:tc>
      </w:tr>
      <w:tr>
        <w:trPr/>
        <w:tc>
          <w:tcPr>
            <w:tcW w:w="1744"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Voie Franchie &gt; Type</w:t>
            </w:r>
          </w:p>
        </w:tc>
        <w:tc>
          <w:tcPr>
            <w:tcW w:w="1746"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Type de Voie Franchie</w:t>
            </w:r>
          </w:p>
        </w:tc>
        <w:tc>
          <w:tcPr>
            <w:tcW w:w="2618"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VOIES_FRANCHIES_TYPE.LIB_VFT</w:t>
            </w:r>
          </w:p>
        </w:tc>
        <w:tc>
          <w:tcPr>
            <w:tcW w:w="2619"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VARCHAR2(20 BYTE)                  NOT NULL</w:t>
            </w:r>
          </w:p>
        </w:tc>
        <w:tc>
          <w:tcPr>
            <w:tcW w:w="6111"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Valeur affichée en lecture seule — le dashboard résout le libellé par jointure : T_FRAN_VFT.CODE_VFT → VOIES_FRANCHIES_TYPE.LIB_VFT. La valeur stockée est le code dans T_FRAN_VFT.CODE_VFT (mappé séparément via le champ Code). Pas d'insertion directe dans VOIES_FRANCHIES_TYPE lors de la migration.</w:t>
            </w:r>
          </w:p>
        </w:tc>
      </w:tr>
      <w:tr>
        <w:trPr/>
        <w:tc>
          <w:tcPr>
            <w:tcW w:w="1744"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Détail des Ouvrages</w:t>
            </w:r>
          </w:p>
        </w:tc>
        <w:tc>
          <w:tcPr>
            <w:tcW w:w="1746"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Nombre d'ouvrage(s)</w:t>
            </w:r>
          </w:p>
        </w:tc>
        <w:tc>
          <w:tcPr>
            <w:tcW w:w="2618"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FRANADMIN.NBOA</w:t>
            </w:r>
          </w:p>
        </w:tc>
        <w:tc>
          <w:tcPr>
            <w:tcW w:w="2619"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NUMBER(2)</w:t>
            </w:r>
          </w:p>
        </w:tc>
        <w:tc>
          <w:tcPr>
            <w:tcW w:w="6111"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Valeur dénormalisée NUMBER(2). Maintenue automatiquement par l'application à chaque ajout ou suppression d'un ouvrage. Pas de FK. Peut être recalculée par COUNT sur OARG.IDENTIFIANT.</w:t>
            </w:r>
          </w:p>
        </w:tc>
      </w:tr>
      <w:tr>
        <w:trPr/>
        <w:tc>
          <w:tcPr>
            <w:tcW w:w="1744"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Détail des Ouvrages &gt; Liste</w:t>
            </w:r>
          </w:p>
        </w:tc>
        <w:tc>
          <w:tcPr>
            <w:tcW w:w="1746"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 d'ordre</w:t>
            </w:r>
          </w:p>
        </w:tc>
        <w:tc>
          <w:tcPr>
            <w:tcW w:w="2618"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OARG.NUM_ORDRE</w:t>
            </w:r>
          </w:p>
        </w:tc>
        <w:tc>
          <w:tcPr>
            <w:tcW w:w="2619"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NUMBER(2)          NOT NULL</w:t>
            </w:r>
          </w:p>
        </w:tc>
        <w:tc>
          <w:tcPr>
            <w:tcW w:w="6111"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Numéro d'ordre de l'ouvrage dans le franchissement, ordonné par PK croissant. NUMBER(2). FK : OARG.IDENTIFIANT → FRANADMIN.IDENTIFIANT. Type Bouton dans le dashboard mais c'est un vrai champ de données.</w:t>
            </w:r>
          </w:p>
        </w:tc>
      </w:tr>
      <w:tr>
        <w:trPr/>
        <w:tc>
          <w:tcPr>
            <w:tcW w:w="1744"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Détail des Ouvrages &gt; Liste</w:t>
            </w:r>
          </w:p>
        </w:tc>
        <w:tc>
          <w:tcPr>
            <w:tcW w:w="1746"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Désignation</w:t>
            </w:r>
          </w:p>
        </w:tc>
        <w:tc>
          <w:tcPr>
            <w:tcW w:w="2618"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OARG.IDENTIFIANT_TXT</w:t>
            </w:r>
          </w:p>
        </w:tc>
        <w:tc>
          <w:tcPr>
            <w:tcW w:w="2619"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VARCHAR2(8 BYTE)</w:t>
            </w:r>
          </w:p>
        </w:tc>
        <w:tc>
          <w:tcPr>
            <w:tcW w:w="6111"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Désignation de l'ouvrage dans la liste du franchissement. OARG.IDENTIFIANT_TXT est le candidat le plus probable (VARCHAR2(8), texte de l'identifiant). Cependant ce champ est NULL dans les données d'exemple — à confirmer avec le client. L'alternative est OARG.IDENTIFIANT lui-même.</w:t>
            </w:r>
          </w:p>
        </w:tc>
      </w:tr>
      <w:tr>
        <w:trPr/>
        <w:tc>
          <w:tcPr>
            <w:tcW w:w="1744"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Détail des Ouvrages &gt; Liste</w:t>
            </w:r>
          </w:p>
        </w:tc>
        <w:tc>
          <w:tcPr>
            <w:tcW w:w="1746"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Long Biaise</w:t>
            </w:r>
          </w:p>
        </w:tc>
        <w:tc>
          <w:tcPr>
            <w:tcW w:w="2618"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OARG.LONG_BIAISE</w:t>
            </w:r>
          </w:p>
        </w:tc>
        <w:tc>
          <w:tcPr>
            <w:tcW w:w="2619"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NUMBER(7,2)</w:t>
            </w:r>
          </w:p>
        </w:tc>
        <w:tc>
          <w:tcPr>
            <w:tcW w:w="6111"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Longueur biaisée de l'ouvrage individuel en mètres. NUMBER(7,2). Valeur importée depuis OARG via FK : OARG.IDENTIFIANT → FRANADMIN.IDENTIFIANT. Affiché en lecture seule dans l'écran Franchissement.</w:t>
            </w:r>
          </w:p>
        </w:tc>
      </w:tr>
      <w:tr>
        <w:trPr/>
        <w:tc>
          <w:tcPr>
            <w:tcW w:w="1744"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Détail des Ouvrages &gt; Liste</w:t>
            </w:r>
          </w:p>
        </w:tc>
        <w:tc>
          <w:tcPr>
            <w:tcW w:w="1746"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Ajouter un ouvrage</w:t>
            </w:r>
          </w:p>
        </w:tc>
        <w:tc>
          <w:tcPr>
            <w:tcW w:w="2618"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w:t>
            </w:r>
          </w:p>
        </w:tc>
        <w:tc>
          <w:tcPr>
            <w:tcW w:w="2619"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r>
          </w:p>
        </w:tc>
        <w:tc>
          <w:tcPr>
            <w:tcW w:w="6111"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Bouton de navigation uniquement. Ouvre l'écran Détails Ouvrage pour créer un nouvel enregistrement OARG. La saisie des données se fait dans cet écran, pas dans Franchissement.</w:t>
            </w:r>
          </w:p>
        </w:tc>
      </w:tr>
      <w:tr>
        <w:trPr/>
        <w:tc>
          <w:tcPr>
            <w:tcW w:w="1744"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Voie Franchie</w:t>
            </w:r>
          </w:p>
        </w:tc>
        <w:tc>
          <w:tcPr>
            <w:tcW w:w="1746"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Implantation</w:t>
            </w:r>
          </w:p>
        </w:tc>
        <w:tc>
          <w:tcPr>
            <w:tcW w:w="2618"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FRANADMIN.CODE_IMP_VF</w:t>
            </w:r>
          </w:p>
        </w:tc>
        <w:tc>
          <w:tcPr>
            <w:tcW w:w="2619"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VARCHAR2(4 BYTE)            NOT NULL</w:t>
            </w:r>
          </w:p>
        </w:tc>
        <w:tc>
          <w:tcPr>
            <w:tcW w:w="6111"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déclarée : FRANADMIN.CODE_IMP_VF → IMPLANTATION_OBSTACLE.CODE_IMP_VF. Concerne l'implantation de l'obstacle franchi. Différent de CODE_IMP_VP (voie portée) qui utilise IMPLANTATION_TRACE — deux tables de référence distinctes.</w:t>
            </w:r>
          </w:p>
        </w:tc>
      </w:tr>
    </w:tbl>
    <w:p>
      <w:pPr>
        <w:pStyle w:val="Normal"/>
        <w:rPr>
          <w:lang w:val="fr-FR"/>
        </w:rPr>
      </w:pPr>
      <w:r>
        <w:rPr>
          <w:lang w:val="fr-FR"/>
        </w:rPr>
      </w:r>
      <w:r>
        <w:br w:type="page"/>
      </w:r>
    </w:p>
    <w:p>
      <w:pPr>
        <w:pStyle w:val="Heading2"/>
        <w:pBdr>
          <w:bottom w:val="single" w:sz="2" w:space="1" w:color="BDD7EE"/>
        </w:pBdr>
        <w:spacing w:before="0" w:after="100"/>
        <w:rPr>
          <w:lang w:val="fr-FR"/>
        </w:rPr>
      </w:pPr>
      <w:bookmarkStart w:id="12" w:name="__RefHeading___Toc2559_1145092829"/>
      <w:bookmarkEnd w:id="12"/>
      <w:r>
        <w:rPr>
          <w:rFonts w:eastAsia="Arial" w:cs="Arial" w:ascii="Arial" w:hAnsi="Arial"/>
          <w:b/>
          <w:bCs/>
          <w:i w:val="false"/>
          <w:iCs w:val="false"/>
          <w:color w:val="2E75B6"/>
          <w:sz w:val="22"/>
          <w:szCs w:val="22"/>
          <w:lang w:val="fr-FR"/>
        </w:rPr>
        <w:t>3.2 Détails Ouvrage</w:t>
      </w:r>
    </w:p>
    <w:p>
      <w:pPr>
        <w:pStyle w:val="Normal"/>
        <w:spacing w:before="80" w:after="80"/>
        <w:jc w:val="start"/>
        <w:rPr>
          <w:lang w:val="fr-FR"/>
        </w:rPr>
      </w:pPr>
      <w:r>
        <w:rPr>
          <w:lang w:val="fr-FR"/>
        </w:rPr>
      </w:r>
    </w:p>
    <w:tbl>
      <w:tblPr>
        <w:tblW w:w="14838" w:type="dxa"/>
        <w:jc w:val="start"/>
        <w:tblInd w:w="0" w:type="dxa"/>
        <w:tblLayout w:type="fixed"/>
        <w:tblCellMar>
          <w:top w:w="80" w:type="dxa"/>
          <w:start w:w="100" w:type="dxa"/>
          <w:bottom w:w="80" w:type="dxa"/>
          <w:end w:w="100" w:type="dxa"/>
        </w:tblCellMar>
      </w:tblPr>
      <w:tblGrid>
        <w:gridCol w:w="2118"/>
        <w:gridCol w:w="2120"/>
        <w:gridCol w:w="2120"/>
        <w:gridCol w:w="2120"/>
        <w:gridCol w:w="6360"/>
      </w:tblGrid>
      <w:tr>
        <w:trPr>
          <w:tblHeader w:val="true"/>
        </w:trPr>
        <w:tc>
          <w:tcPr>
            <w:tcW w:w="2118" w:type="dxa"/>
            <w:tcBorders>
              <w:top w:val="single" w:sz="2" w:space="0" w:color="BDD7EE"/>
              <w:start w:val="single" w:sz="2" w:space="0" w:color="BDD7EE"/>
              <w:bottom w:val="single" w:sz="2" w:space="0" w:color="BDD7EE"/>
              <w:end w:val="single" w:sz="2" w:space="0" w:color="BDD7EE"/>
            </w:tcBorders>
            <w:shd w:fill="1F4E79" w:val="clear"/>
            <w:vAlign w:val="center"/>
          </w:tcPr>
          <w:p>
            <w:pPr>
              <w:pStyle w:val="Normal"/>
              <w:rPr>
                <w:lang w:val="fr-FR"/>
              </w:rPr>
            </w:pPr>
            <w:r>
              <w:rPr>
                <w:lang w:val="fr-FR"/>
              </w:rPr>
              <w:t>Chemin</w:t>
            </w:r>
          </w:p>
        </w:tc>
        <w:tc>
          <w:tcPr>
            <w:tcW w:w="2120" w:type="dxa"/>
            <w:tcBorders>
              <w:top w:val="single" w:sz="2" w:space="0" w:color="BDD7EE"/>
              <w:start w:val="single" w:sz="2" w:space="0" w:color="BDD7EE"/>
              <w:bottom w:val="single" w:sz="2" w:space="0" w:color="BDD7EE"/>
              <w:end w:val="single" w:sz="2" w:space="0" w:color="BDD7EE"/>
            </w:tcBorders>
            <w:shd w:fill="1F4E79" w:val="clear"/>
            <w:vAlign w:val="center"/>
          </w:tcPr>
          <w:p>
            <w:pPr>
              <w:pStyle w:val="Normal"/>
              <w:rPr>
                <w:lang w:val="fr-FR"/>
              </w:rPr>
            </w:pPr>
            <w:r>
              <w:rPr>
                <w:lang w:val="fr-FR"/>
              </w:rPr>
              <w:t>Champ</w:t>
            </w:r>
          </w:p>
        </w:tc>
        <w:tc>
          <w:tcPr>
            <w:tcW w:w="2120" w:type="dxa"/>
            <w:tcBorders>
              <w:top w:val="single" w:sz="2" w:space="0" w:color="BDD7EE"/>
              <w:start w:val="single" w:sz="2" w:space="0" w:color="BDD7EE"/>
              <w:bottom w:val="single" w:sz="2" w:space="0" w:color="BDD7EE"/>
              <w:end w:val="single" w:sz="2" w:space="0" w:color="BDD7EE"/>
            </w:tcBorders>
            <w:shd w:fill="1F4E79" w:val="clear"/>
            <w:vAlign w:val="center"/>
          </w:tcPr>
          <w:p>
            <w:pPr>
              <w:pStyle w:val="Normal"/>
              <w:rPr>
                <w:lang w:val="fr-FR"/>
              </w:rPr>
            </w:pPr>
            <w:r>
              <w:rPr>
                <w:lang w:val="fr-FR"/>
              </w:rPr>
              <w:t>Table.Colonne</w:t>
            </w:r>
          </w:p>
        </w:tc>
        <w:tc>
          <w:tcPr>
            <w:tcW w:w="2120" w:type="dxa"/>
            <w:tcBorders>
              <w:top w:val="single" w:sz="2" w:space="0" w:color="BDD7EE"/>
              <w:start w:val="single" w:sz="2" w:space="0" w:color="BDD7EE"/>
              <w:bottom w:val="single" w:sz="2" w:space="0" w:color="BDD7EE"/>
            </w:tcBorders>
            <w:shd w:fill="1F4E79" w:val="clear"/>
            <w:vAlign w:val="center"/>
          </w:tcPr>
          <w:p>
            <w:pPr>
              <w:pStyle w:val="Normal"/>
              <w:rPr>
                <w:lang w:val="fr-FR"/>
              </w:rPr>
            </w:pPr>
            <w:r>
              <w:rPr>
                <w:lang w:val="fr-FR"/>
              </w:rPr>
              <w:t>Type</w:t>
            </w:r>
          </w:p>
        </w:tc>
        <w:tc>
          <w:tcPr>
            <w:tcW w:w="6360" w:type="dxa"/>
            <w:tcBorders>
              <w:top w:val="single" w:sz="2" w:space="0" w:color="BDD7EE"/>
              <w:start w:val="single" w:sz="2" w:space="0" w:color="BDD7EE"/>
              <w:bottom w:val="single" w:sz="2" w:space="0" w:color="BDD7EE"/>
              <w:end w:val="single" w:sz="2" w:space="0" w:color="BDD7EE"/>
            </w:tcBorders>
            <w:shd w:fill="1F4E79" w:val="clear"/>
            <w:vAlign w:val="center"/>
          </w:tcPr>
          <w:p>
            <w:pPr>
              <w:pStyle w:val="Normal"/>
              <w:rPr>
                <w:lang w:val="fr-FR"/>
              </w:rPr>
            </w:pPr>
            <w:r>
              <w:rPr>
                <w:lang w:val="fr-FR"/>
              </w:rPr>
              <w:t>Note</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Photo de Franchissement</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PHOTOS_OUV.IDENTIFIANT</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VARCHAR2(8 BYTE)             NOT NULL</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Photos du franchissement parent. FK déclarée : PHOTOS_OUV.IDENTIFIANT → FRANADMIN.IDENTIFIANT. Autres colonnes : CODE_PROV, PHOTOS (BLOB), DATESAISIE. Pour la migration, les photos existantes du franchissement doivent être insérées dans PHOTOS_OUV.</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Historique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HIST_OUV.IDENTIFIANT</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VARCHAR2(8 BYTE)           NOT NULL</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Historique de l'ouvrage. Colonnes : IDENTIFIANT, NUMOA, DATEMAJ, LONG_BIAISE, CODE_FAMILLE_HIST, NBRE_TRAVEE, LARGEUR, CODE_SF. Écrit automatiquement par l'application. Pour la migration : clé composite HIST_OUV.(IDENTIFIANT, NUMOA) identifie l'ouvrage historisé.</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Aide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HELP_PHOTOS.CODE_FAMILLE</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VARCHAR2(4 BYTE)                NOT NULL</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Historique de l'ouvrage. Colonnes : IDENTIFIANT, NUMOA, DATEMAJ, LONG_BIAISE, CODE_FAMILLE_HIST, NBRE_TRAVEE, LARGEUR, CODE_SF. Écrit automatiquement par l'application. Pour la migration : clé composite HIST_OUV.(IDENTIFIANT, NUMOA) identifie l'ouvrage historisé.</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Allez au niveau visite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Bouton de navigation pure — change d'écran uniquement. Aucune donnée affichée ou stockée.</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Retour au niveau Franchissement</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Bouton de navigation pure — retour à l'écran Franchissement. Aucune donnée affichée ou stockée.</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Photos visite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T_ALBUM_PHOTOS.IDENTIFIANT</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VARCHAR2(8 BYTE)                 NOT NULL</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Photos de visite de l'ouvrage. FK composite déclarée : T_ALBUM_PHOTOS.(IDENTIFIANT, NUMOA) → OARG.(IDENTIFIANT, NUMOA). Autres colonnes : NUM_ORDRE (séquence photo), IMAGE (BLOB), COMMENTAIRE, DATE_PHOTOS. Pour la migration, les photos de visite doivent être insérées dans T_ALBUM_PHOTOS.</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Numéro d'ouvrage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OARG.NUMOA</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NUMBER(2)          NOT NULL</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NUMOA = Numéro d'Ouvrage d'Art. NUMBER(2), séquence de l'ouvrage dans le franchissement parent. Valeur importée — attribuée automatiquement. Avec OARG.IDENTIFIANT, forme la clé composite unique de l'ouvrage. FK : OARG.IDENTIFIANT → FRANADMIN.IDENTIFIANT.</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Type de route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FRANADMIN.CODE_VPT</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VARCHAR2(4 BYTE)            NOT NULL</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Valeur importée depuis le franchissement parent — affiché en lecture seule. La valeur stockée est le code FRANADMIN.CODE_VPT. Le dashboard affiche le libellé via jointure : FRANADMIN.CODE_VPT → VOIES_PORTEE_TYPE.LIB_VP_TYPE. Chemin : OARG.IDENTIFIANT → FRANADMIN.IDENTIFIANT → FRANADMIN.CODE_VPT. Pas d'insertion dans OARG.</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Numéro de route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FRANADMIN.VP_NUM</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NUMBER(5)</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Valeur importée depuis le franchissement parent — affiché en lecture seule. La valeur stockée est le numéro NUMBER(5) dans FRANADMIN.VP_NUM. Chemin : OARG.IDENTIFIANT → FRANADMIN.IDENTIFIANT → FRANADMIN.VP_NUM. Pas d'insertion dans OARG.</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Pk</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FRANADMIN.VP_PK</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NUMBER(8,3)</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Valeur importée depuis le franchissement parent — affiché en lecture seule. La valeur stockée est NUMBER(8,3) dans FRANADMIN.VP_PK. Chemin : OARG.IDENTIFIANT → FRANADMIN.IDENTIFIANT → FRANADMIN.VP_PK. Pas d'insertion dans OARG.</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Région</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REGION.CODE_REG</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VARCHAR2(4 BYTE)                   NOT NULL</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Valeur affichée en lecture seule. La valeur stockée est REGION.CODE_REG — le code de la région VARCHAR2(4). Le dashboard affiche le libellé REGION.LIB_REG. Chemin de dérivation depuis l'ouvrage : OARG.CODE_PROV → PROVINCE.CODE_PROV → PROVINCE.CODE_REG → REGION.CODE_REG. Pas d'insertion directe — la région est dérivée de la province.</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Numéro d'ordre (Pk croissant)</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OARG.NUM_ORDRE</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NUMBER(2)          NOT NULL</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Numéro d'ordre de l'ouvrage dans le franchissement, trié par PK croissant. NUMBER(2), pas de FK. Lié au franchissement via OARG.IDENTIFIANT → FRANADMIN.IDENTIFIANT. Valeur importée — calculée automatiquement par l'application.</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Famille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OARG.CODE_FAMILLE</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VARCHAR2(4 BYTE)</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FK déclarée : OARG.CODE_FAMILLE → FAMILLE_OA.CODE_FAMILLE. Le dashboard affiche le libellé via FAMILLE_OA.LIB_FAMILLE. CODE_FAMILLE conditionne en cascade les listes filtrées de : sous-famille, coupe-travers, matériaux tablier, dispositifs, réseaux portés. Doit être inséré en premier parmi les codes OARG.</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Province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OARG.CODE_PROV</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VARCHAR2(4 BYTE)   NOT NULL</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déclarée : OARG.CODE_PROV → PROVINCE.CODE_PROV. Le dashboard affiche le libellé via PROVINCE.LIB_PROV. Valeur importée depuis le franchissement mais dénormalisée dans OARG. CODE_PROV est aussi requis dans toutes les tables détail : T_CULEE, PILE, T_TRAVEES, T_ASSAINISSEMENT, etc.</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Données générales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Sous Famille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OARG.CODE_SF</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VARCHAR2(4 BYTE)</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FK composite déclarée : OARG.(CODE_SF, CODE_FAMILLE) → SOUS_FAMILLE_OA.(CODE_SF, CODE_FAMILLE). Le dashboard affiche SOUS_FAMILLE_OA.LIB_SF. La liste est filtrée par CODE_FAMILLE — doit être renseigné après Famille.</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Données générales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Type d'ouvrage (autres précisions)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OARG.OA_TYPE</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VARCHAR2(70 BYTE)</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Texte libre VARCHAR2(70), pas de FK. Complément de description au-delà de la famille et sous-famille. Valeur saisie directement par l'inspecteur.</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Données générales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Année d'achèvement des travaux</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OARG.CONSTRDATFIN</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DATE</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Type DATE, pas de FK. L'application extrait et affiche l'année uniquement. La valeur complète est stockée en DATE Oracle. Pour la migration, formater en date complète (01/01/YYYY si seule l'année est connue).</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Données générales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Ouvrage est-il une transformation d'ouvrage ancien (O/N)</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OARG.OA_TRANS</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VARCHAR2(1 BYTE)</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Booléen VARCHAR2(1), valeurs O/N. Pas de FK. Indique si l'ouvrage est une transformation d'un ancien ouvrage existant plutôt qu'une construction neuve.</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Données générales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Ouvrage Submersible (O/N)</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OARG.SUBMERSIBLE</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VARCHAR2(1 BYTE)</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Booléen VARCHAR2(1), valeurs O/N. Pas de FK. Indique si l'ouvrage est conçu pour être submersible (passage à gué surélevé, radier submersible, etc.).</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Données générales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Existence Dossier d'ouvrage (O/N)</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OARG.DOSSIER_OA</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VARCHAR2(1 BYTE)</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Booléen VARCHAR2(1), valeurs O/N. Pas de FK. Indique si un dossier technique d'ouvrage existe pour cette structure.</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Données générales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Forme de l'ouvrage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OARG.CODE_FORME</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VARCHAR2(4 BYTE)</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FK déclarée : OARG.CODE_FORME → FORME_OA.CODE_FORME. Le dashboard affiche le libellé via FORME_OA.LIB_FORME. La valeur stockée est le code VARCHAR2(4).</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Données géométriques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Longueur biaise de l'ouvrage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OARG.LONG_BIAISE</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NUMBER(7,2)</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NUMBER(7,2), pas de FK. Longueur mesurée selon l'axe biais de l'ouvrage en mètres. Différent de FRANADMIN.LONGUEUR qui est la longueur totale du franchissement.</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Données géométriques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Biais (grades)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OARG.BIAIS</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NUMBER(5,2)</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NUMBER(5,2), pas de FK. Angle de biais en grades (pas en degrés). 100 grades = angle droit. Un ouvrage perpendiculaire a BIAIS = 100.</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Données géométriques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Nombre de travées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OARG.NBRE_TRAVEE</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NUMBER(2)</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NUMBER(2), pas de FK. Doit correspondre au nombre de lignes dans T_TRAVEES pour cet ouvrage (IDENTIFIANT, NUMOA). Vérifier la cohérence lors de la migration.</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Données géométriques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Hauteur Max Sous Tablier</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OARG.H_MAX_SOUS_TABLIER</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NUMBER(7,2)</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NUMBER(7,2), pas de FK. Hauteur maximale libre sous le tablier en mètres. Détermine le gabarit de navigation pour les ouvrages sur cours d'eau.</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Données géométriques &gt; Portées/Flèche/Ouverture des travées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Num travée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T_TRAVEES.NUM_TRAVEE</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NUMBER(2)                    NOT NULL</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composite déclarée : T_TRAVEES.(IDENTIFIANT, NUMOA) → OARG.(IDENTIFIANT, NUMOA). NUM_TRAVEE est le numéro séquentiel de la travée NUMBER(2). Aussi : T_TRAVEES.CODE_PROV → PROVINCE.CODE_PROV (dénormalisé).</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Données géométriques &gt; Portées/Flèche/Ouverture des travées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Portée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T_TRAVEES.PORTEE</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NUMBER(7,2)</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NUMBER(7,2), pas de FK. Portée de la travée en mètres — distance horizontale entre appuis consécutifs.</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Données géométriques &gt; Portées/Flèche/Ouverture des travées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Flèche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T_TRAVEES.FLECHE</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NUMBER(7,2)</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NUMBER(7,2), pas de FK. Flèche de la travée en mètres — déflexion ou cambrure. Pertinent principalement pour les arches.</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Données géométriques &gt; Portées/Flèche/Ouverture des travées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Ouverture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T_TRAVEES.OUVERTURE</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NUMBER(7,2)</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NUMBER(7,2), pas de FK. Ouverture hydraulique en mètres — largeur libre au niveau des eaux. Critique pour les ouvrages sur cours d'eau (capacité hydraulique).</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Données géométriques &gt; Profil en travers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Trottoir/accotement de gauche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OARG.LARGTG</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NUMBER(5,2)</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NUMBER(5,2), pas de FK. Largeur du trottoir ou accotement gauche en mètres. TG = Trottoir Gauche. Les 5 colonnes de profil (LARGTG, LARGPCG, LARG_CH, LARGPCD, LARGTD) décrivent la coupe transversale du tablier de gauche à droite.</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Données géométriques &gt; Profil en travers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Piste cyclable gauche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OARG.LARGPCG</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NUMBER(5,2)</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NUMBER(5,2), pas de FK. Largeur de la piste cyclable gauche en mètres. PCG = Piste Cyclable Gauche.</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Données géométriques &gt; Profil en travers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Chaussée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OARG.LARG_CH</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NUMBER(5,2)</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NUMBER(5,2), pas de FK. Largeur de la chaussée en mètres — surface circulable pour les véhicules. Largeur utile principale du tablier.</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Données géométriques &gt; Profil en travers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Pyste cyclable droite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OARG.LARGPCD</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NUMBER(5,2)</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NUMBER(5,2), pas de FK. Largeur de la piste cyclable droite en mètres. PCD = Piste Cyclable Droite.</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Données géométriques &gt; Profil en travers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Trottoir/accotement de droite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OARG.LARGTD</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NUMBER(5,2)</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NUMBER(5,2), pas de FK. Largeur du trottoir ou accotement droit en mètres. TD = Trottoir Droit. Somme des 5 largeurs = largeur totale utile du tablier.</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Structure de tablier</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Franchissement structurel</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OARG.CODE_FONCT_OA</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VARCHAR2(4 BYTE)</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FK déclarée : OARG.CODE_FONCT_OA → FONCTION_OA.CODE_FONCT_OA. Le dashboard affiche FONCTION_OA.LIB_FONCT_OA. La valeur stockée est le code VARCHAR2(4). Exemples : pont, viaduc, passage supérieur, passage inférieur, dalot, buse.</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Structure de tablier</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Coupe en travers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OARG.CODE_COUPE_TR</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VARCHAR2(4 BYTE)</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composite sur 3 colonnes : OARG.(CODE_COUPE_TR, CODE_FAMILLE, CODE_SF) → COUPE_TRAVERS.(CODE_COUPE_TR, CODE_FAMILLE, CODE_SF). Le dashboard affiche le libellé via COUPE_TRAVERS.CODE_COUPE_TR → TYPE_COUPE_TRAVERS.LIB_COUPE_TRAVERS. Liste filtrée par famille et sous-famille. Les 3 colonnes doivent être cohérentes lors de la migration.</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Structure de tablier</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Matériaux de tablier</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OARG.CODE_MATERIAUX</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VARCHAR2(4 BYTE)</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 xml:space="preserve"> </w:t>
            </w:r>
            <w:r>
              <w:rPr>
                <w:lang w:val="fr-FR"/>
              </w:rPr>
              <w:t>composite sur 3 colonnes : OARG.(CODE_MATERIAUX, CODE_FAMILLE, CODE_SF) → MATERIAUX_TABLIER.(CODE_MATERIAUX, CODE_FAMILLE, CODE_SF). Le dashboard affiche le libellé via MATERIAUX_TABLIER.CODE_MATERIAUX → TYPE_MATERIAUX_TABLIER.LIB_MATERIAUX. Même pattern que Coupe en travers.</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Appuis &gt; Culées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Numéro culée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T_CULEE.NUM_CULEE</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NUMBER(2)                 NOT NULL</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composite : T_CULEE.(IDENTIFIANT, NUMOA) → OARG.(IDENTIFIANT, NUMOA). NUM_CULEE = numéro séquentiel de la culée NUMBER(2) — généralement 1 et 2 pour les deux extrémités. Aussi : T_CULEE.CODE_PROV → PROVINCE.CODE_PROV (dénormalisé).</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Appuis &gt; Culées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Type culée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T_CULEE.CODE_TYPE_CULEE</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VARCHAR2(4 BYTE)          NOT NULL</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FK déclarée : T_CULEE.CODE_TYPE_CULEE → CULEE_TYPE.CODE_TYPE_CULEE. Le dashboard affiche CULEE_TYPE.LIB_TYPE_CULEE. La valeur stockée est le code VARCHAR2(4).</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Appuis &gt; Culées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Matériaux culée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T_CULEE.CODE_MATERIAUX_PC</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VARCHAR2(4 BYTE)</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déclarée : T_CULEE.CODE_MATERIAUX_PC → PC_MATERIAUX.CODE_MATERIAUX_PC. Le dashboard affiche PC_MATERIAUX.LIB_MATERIAUX_PC. PC = Piles et Culées — même table partagée avec les piles.</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Appuis &gt; Culées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Murs type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T_CULEE.CODE_MUR_TYPE</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VARCHAR2(4 BYTE)</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FK déclarée : T_CULEE.CODE_MUR_TYPE → CULEE_MUR_TYPE.CODE_MUR_TYPE. Le dashboard affiche CULEE_MUR_TYPE.LIB_MUR_TYPE. Concerne les murs en aile ou en retour de la culée.</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Appuis &gt; Culées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Murs matériaux</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T_CULEE.CODE_MUR_MATERIAUX</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VARCHAR2(4 BYTE)</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déclarée : T_CULEE.CODE_MUR_MATERIAUX → CULEE_MUR_MATERIAUX.CODE_MUR_MATERIAUX. Le dashboard affiche CULEE_MUR_MATERIAUX.LIB_MUR_MATERIAUX. Peut différer du matériau de la culée elle-même.</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Appuis &gt; Culées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Fondations culée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T_CULEE.CODE_FONDATION_PC</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VARCHAR2(4 BYTE)</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FK déclarée : T_CULEE.CODE_FONDATION_PC → FONDATION_TYPE.CODE_FONDATION_PC. Le dashboard affiche FONDATION_TYPE.LIB_FONDATION_PC. PC = Piles et Culées — même table partagée avec les piles.</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Appuis &gt; Culées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Protection culée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T_CULEE.CODE_PROTECTION_PC</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VARCHAR2(4 BYTE)</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déclarée : T_CULEE.CODE_PROTECTION_PC → PC_PROTECTION_TYPE.CODE_PROTECTION_PC. Le dashboard affiche PC_PROTECTION_TYPE.LIB_PROTECTION_PC. Protection anti-affouillement autour des fondations. PC = Piles et Culées.</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Appuis &gt; Piles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Numéro pile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PILE.NUM_PILE</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NUMBER(2)                 NOT NULL</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FK composite : PILE.(IDENTIFIANT, NUMOA) → OARG.(IDENTIFIANT, NUMOA). NUM_PILE = numéro séquentiel de la pile NUMBER(2). Une pile par travée intermédiaire. Aussi : PILE.CODE_PROV → PROVINCE.CODE_PROV (dénormalisé).</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Appuis &gt; Piles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Type pile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PILE.CODE_TYPE_PILE</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VARCHAR2(4 BYTE)          NOT NULL</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déclarée : PILE.CODE_TYPE_PILE → TYPE_PILE.CODE_TYPE_PILE. Le dashboard affiche TYPE_PILE.LIB_TYPE_PILE. La valeur stockée est le code VARCHAR2(4).</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Appuis &gt; Piles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Matériaux pile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PILE.CODE_MATERIAUX_PC</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VARCHAR2(4 BYTE)</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FK déclarée : PILE.CODE_MATERIAUX_PC → PC_MATERIAUX.CODE_MATERIAUX_PC. Le dashboard affiche PC_MATERIAUX.LIB_MATERIAUX_PC. Même table de référence que matériaux culée — PC = Piles et Culées.</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Appuis &gt; Piles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Fondations pile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PILE.CODE_FONDATION_PC</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VARCHAR2(4 BYTE)</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déclarée : PILE.CODE_FONDATION_PC → FONDATION_TYPE.CODE_FONDATION_PC. Même table que fondations culée — PC = Piles et Culées.</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Appuis &gt; Piles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Protection pile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PILE.CODE_PROTECTION_PC</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VARCHAR2(4 BYTE)</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FK déclarée : PILE.CODE_PROTECTION_PC → PC_PROTECTION_TYPE.CODE_PROTECTION_PC. Même table que protection culée. Protection anti-affouillement autour des fondations de pile en rivière.</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Equipements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Chape d'étanchéité</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OARG.CODE_CHAPE_ETANCH</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VARCHAR2(4 BYTE)</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déclarée : OARG.CODE_CHAPE_ETANCH → CHAPE_ETANCH_TYPE.CODE_CHAPE_ETANCH. Le dashboard affiche CHAPE_ETANCH_TYPE.LIB_CHAPE_ETANCH. Stocké directement dans OARG car unique par ouvrage.</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Equipements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Joint de chaussée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T_JOINT_CHAUSSEE.CODE_TYPE_JOINT_CT</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VARCHAR2(4 BYTE)          NOT NULL</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FK composite : T_JOINT_CHAUSSEE.(IDENTIFIANT, NUMOA) → OARG.(IDENTIFIANT, NUMOA). FK sur le code : T_JOINT_CHAUSSEE.CODE_TYPE_JOINT_CT → JOINT_CHAUSEE_TROTTOIR_TYPE.CODE_TYPE_JOINT_CT. Le dashboard affiche LIB_TYPE_JOINT_CT. Plusieurs joints possibles par ouvrage — séquence via SEQ_JOINT_CH.</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Equipements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Appareil d'appui</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T_APPAREILS_APPUIS.CODE_TYPE_APP</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VARCHAR2(4 BYTE)         NOT NULL</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composite : T_APPAREILS_APPUIS.(IDENTIFIANT, NUMOA) → OARG.(IDENTIFIANT, NUMOA). FK sur le code : T_APPAREILS_APPUIS.CODE_TYPE_APP → APPAREIL_APPUIS_TYPE.CODE_TYPE_APP. Le dashboard affiche LIB_TYPE_APP. Plusieurs appareils possibles — séquence via SEQ_APPAREIL_APPUIS. Note : APPAREIL_APPUIS_TYPE a aussi une FK sur CODE_FAMILLE.</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Equipements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Dispositif de retenue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T_DISP_RETENU.CODE_DISP_RETEN_TYPE</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VARCHAR2(4 BYTE)</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FK composite sur 3 colonnes : T_DISP_RETENU.(IDENTIFIANT, NUMOA) → OARG.(IDENTIFIANT, NUMOA). FK sur code : T_DISP_RETENU.(CODE_DISP_RETEN_TYPE, CODE_FAMILLE, CODE_SF) → DISP_RETENU_TYPE.(CODE_DISP_RETEN_TYPE, CODE_FAMILLE, CODE_SF). Le libellé final est dans TYPE_DISP_RETENU_TYPE.LIB_DISP_RETEN_TYPE via DISP_RETENU_TYPE. Filtrée par famille et sous-famille.</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Equipements &gt; Trottoirs et joints de trottoir</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Type trottoir</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T_TROTTOIR.CODE_TYPE_TROTTOIR</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VARCHAR2(4 BYTE)          NOT NULL</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composite : T_TROTTOIR.(IDENTIFIANT, NUMOA) → OARG.(IDENTIFIANT, NUMOA). FK sur le code : T_TROTTOIR.CODE_TYPE_TROTTOIR → TYPE_TROTTOIR.CODE_TYPE_TROTTOIR. Le dashboard affiche TYPE_TROTTOIR.LIB_TYPE_TROTTOIR. Plusieurs trottoirs possibles — séquence via SEQ_TROTTOIR.</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Equipements &gt; Trottoirs et joints de trottoir</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Type joint</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T_TROTTOIR.CODE_TYPE_JOINT_CT</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VARCHAR2(4 BYTE)</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Même table T_TROTTOIR que Type trottoir — même ligne. FK : T_TROTTOIR.CODE_TYPE_JOINT_CT → JOINT_CHAUSEE_TROTTOIR_TYPE.CODE_TYPE_JOINT_CT. Le dashboard affiche LIB_TYPE_JOINT_CT. Joint du trottoir stocké dans la même ligne que le type de trottoir.</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Equipements &gt; Dispositif de drainage des eaux de chaussée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Type de dispositif de drainage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T_ASSAINISSEMENT.CODE_ASSAINISSEMENT</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VARCHAR2(2 BYTE)</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composite sur 3 colonnes : T_ASSAINISSEMENT.(IDENTIFIANT, NUMOA) → OARG.(IDENTIFIANT, NUMOA). FK sur code : T_ASSAINISSEMENT.(CODE_ASSAINISSEMENT, CODE_FAMILLE, CODE_SF) → DISP_ASSAINISSEMENT.(CODE_ASSAINISSEMENT, CODE_FAMILLE, CODE_SF). Le libellé final est dans TYPE_DISP_ASSAINISSEMENT via DISP_ASSAINISSEMENT. Filtrée par famille et sous-famille.</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Equipements &gt; Dispositif de drainage des eaux de chaussée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Nombre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T_ASSAINISSEMENT.NOMBRE</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NUMBER(2)</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NUMBER(2), pas de FK. Quantité de dispositifs de drainage. Même ligne T_ASSAINISSEMENT que le type de dispositif.</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Autres équipements &gt; Réseau porté - Nature / Localisation</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Nature du réseau porté</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T_RES_PORTE.CODE_RES_P_NAT</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VARCHAR2(4 BYTE)</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composite sur 3 colonnes : T_RES_PORTE.(IDENTIFIANT, NUMOA) → OARG.(IDENTIFIANT, NUMOA). FK sur code : T_RES_PORTE.(CODE_RES_P_NAT, CODE_FAMILLE, CODE_SF) → RESEAU_P_NATURE.(CODE_RES_P_NAT, CODE_FAMILLE, CODE_SF). Le libellé final est dans TYPE_RESEAU_P_NATURE via RESEAU_P_NATURE. Nature : eau, électricité, télécoms, gaz, etc.</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Autres équipements &gt; Réseau porté - Nature / Localisation</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Localisation du réseau porté</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T_RES_PORTE.CODE_RES_P_LOC</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VARCHAR2(4 BYTE)</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FK composite sur 3 colonnes dans la même ligne T_RES_PORTE : T_RES_PORTE.(CODE_RES_P_LOC, CODE_FAMILLE, CODE_SF) → RESEAU_P_LOCALISATION.(CODE_RES_P_LOC, CODE_FAMILLE, CODE_SF). Le libellé final est dans TYPE_RESEAU_P_LOCALISATION. Localisation : sous tablier, en encorbellement, en caniveau, etc.</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Autres équipements &gt; Réseau porté - Nature / Localisation</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Diamètre en mm</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T_RES_PORTE.DIAMETRE</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NUMBER(7,2)</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NUMBER(7,2), pas de FK. Diamètre du réseau porté en millimètres. Même ligne T_RES_PORTE que nature et localisation.</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Autres équipements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Dispositif permanent de visite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T_DISP_VISITE.CODE_DISP_VISITE</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VARCHAR2(4 BYTE)</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FK composite sur 3 colonnes : T_DISP_VISITE.(IDENTIFIANT, NUMOA) → OARG.(IDENTIFIANT, NUMOA). FK sur code : T_DISP_VISITE.(CODE_DISP_VISITE, CODE_FAMILLE, CODE_SF) → DISP_PERMAN_VISITE.(CODE_DISP_VISITE, CODE_FAMILLE, CODE_SF). Le libellé final est dans TYPE_DISP_PERMAN_VISITE via DISP_PERMAN_VISITE. Équipements d'accès inspection permanents : passerelles, échelles, nacelles fixes.</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Autres équipements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Dispositif permanent de suivi</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T_DISP_SUIVI.CODE_DISP_SUIV</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VARCHAR2(4 BYTE)</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composite sur 3 colonnes : T_DISP_SUIVI.(IDENTIFIANT, NUMOA) → OARG.(IDENTIFIANT, NUMOA). FK sur code : T_DISP_SUIVI.(CODE_DISP_SUIV, CODE_FAMILLE, CODE_SF) → DISP_PERMAN_SUIVI.(CODE_DISP_SUIV, CODE_FAMILLE, CODE_SF). Le libellé final est dans TYPE_DISP_PERMAN_SUIVI via DISP_PERMAN_SUIVI. Instruments de surveillance permanente : jauges de fissuration, capteurs de déplacement.</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Commentaires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Commentaires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COMMENTAIRE_OARG.COMMENTAIRE</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VARCHAR2(500 BYTE)</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 xml:space="preserve"> </w:t>
            </w:r>
            <w:r>
              <w:rPr>
                <w:lang w:val="fr-FR"/>
              </w:rPr>
              <w:t>composite : COMMENTAIRE_OARG.(IDENTIFIANT, NUMOA) → OARG.(IDENTIFIANT, NUMOA). Aussi : COMMENTAIRE_OARG.CODE_PROV → PROVINCE.CODE_PROV. COMMENTAIRE VARCHAR2(500), texte libre. Une ligne par ouvrage. Stocké dans une table séparée pour permettre un suivi indépendant via CTRL1.</w:t>
            </w:r>
          </w:p>
        </w:tc>
      </w:tr>
    </w:tbl>
    <w:p>
      <w:pPr>
        <w:pStyle w:val="Normal"/>
        <w:rPr>
          <w:lang w:val="fr-FR"/>
        </w:rPr>
      </w:pPr>
      <w:r>
        <w:rPr>
          <w:lang w:val="fr-FR"/>
        </w:rPr>
      </w:r>
      <w:r>
        <w:br w:type="page"/>
      </w:r>
    </w:p>
    <w:p>
      <w:pPr>
        <w:pStyle w:val="Heading2"/>
        <w:pBdr>
          <w:bottom w:val="single" w:sz="2" w:space="1" w:color="BDD7EE"/>
        </w:pBdr>
        <w:spacing w:before="0" w:after="100"/>
        <w:rPr>
          <w:lang w:val="fr-FR"/>
        </w:rPr>
      </w:pPr>
      <w:bookmarkStart w:id="13" w:name="__RefHeading___Toc2561_1145092829"/>
      <w:bookmarkEnd w:id="13"/>
      <w:r>
        <w:rPr>
          <w:rFonts w:eastAsia="Arial" w:cs="Arial" w:ascii="Arial" w:hAnsi="Arial"/>
          <w:b/>
          <w:bCs/>
          <w:i w:val="false"/>
          <w:iCs w:val="false"/>
          <w:color w:val="2E75B6"/>
          <w:sz w:val="22"/>
          <w:szCs w:val="22"/>
          <w:lang w:val="fr-FR"/>
        </w:rPr>
        <w:t>3.3 Visite</w:t>
      </w:r>
    </w:p>
    <w:p>
      <w:pPr>
        <w:pStyle w:val="Normal"/>
        <w:spacing w:before="80" w:after="80"/>
        <w:jc w:val="start"/>
        <w:rPr>
          <w:lang w:val="fr-FR"/>
        </w:rPr>
      </w:pPr>
      <w:r>
        <w:rPr>
          <w:lang w:val="fr-FR"/>
        </w:rPr>
      </w:r>
    </w:p>
    <w:tbl>
      <w:tblPr>
        <w:tblW w:w="14838" w:type="dxa"/>
        <w:jc w:val="start"/>
        <w:tblInd w:w="0" w:type="dxa"/>
        <w:tblLayout w:type="fixed"/>
        <w:tblCellMar>
          <w:top w:w="80" w:type="dxa"/>
          <w:start w:w="100" w:type="dxa"/>
          <w:bottom w:w="80" w:type="dxa"/>
          <w:end w:w="100" w:type="dxa"/>
        </w:tblCellMar>
      </w:tblPr>
      <w:tblGrid>
        <w:gridCol w:w="2118"/>
        <w:gridCol w:w="2120"/>
        <w:gridCol w:w="2120"/>
        <w:gridCol w:w="2120"/>
        <w:gridCol w:w="6360"/>
      </w:tblGrid>
      <w:tr>
        <w:trPr>
          <w:tblHeader w:val="true"/>
        </w:trPr>
        <w:tc>
          <w:tcPr>
            <w:tcW w:w="2118" w:type="dxa"/>
            <w:tcBorders>
              <w:top w:val="single" w:sz="2" w:space="0" w:color="BDD7EE"/>
              <w:start w:val="single" w:sz="2" w:space="0" w:color="BDD7EE"/>
              <w:bottom w:val="single" w:sz="2" w:space="0" w:color="BDD7EE"/>
              <w:end w:val="single" w:sz="2" w:space="0" w:color="BDD7EE"/>
            </w:tcBorders>
            <w:shd w:fill="1F4E79" w:val="clear"/>
            <w:vAlign w:val="center"/>
          </w:tcPr>
          <w:p>
            <w:pPr>
              <w:pStyle w:val="Normal"/>
              <w:rPr>
                <w:lang w:val="fr-FR"/>
              </w:rPr>
            </w:pPr>
            <w:r>
              <w:rPr>
                <w:lang w:val="fr-FR"/>
              </w:rPr>
              <w:t>Chemin</w:t>
            </w:r>
          </w:p>
        </w:tc>
        <w:tc>
          <w:tcPr>
            <w:tcW w:w="2120" w:type="dxa"/>
            <w:tcBorders>
              <w:top w:val="single" w:sz="2" w:space="0" w:color="BDD7EE"/>
              <w:start w:val="single" w:sz="2" w:space="0" w:color="BDD7EE"/>
              <w:bottom w:val="single" w:sz="2" w:space="0" w:color="BDD7EE"/>
              <w:end w:val="single" w:sz="2" w:space="0" w:color="BDD7EE"/>
            </w:tcBorders>
            <w:shd w:fill="1F4E79" w:val="clear"/>
            <w:vAlign w:val="center"/>
          </w:tcPr>
          <w:p>
            <w:pPr>
              <w:pStyle w:val="Normal"/>
              <w:rPr>
                <w:lang w:val="fr-FR"/>
              </w:rPr>
            </w:pPr>
            <w:r>
              <w:rPr>
                <w:lang w:val="fr-FR"/>
              </w:rPr>
              <w:t>Champ</w:t>
            </w:r>
          </w:p>
        </w:tc>
        <w:tc>
          <w:tcPr>
            <w:tcW w:w="2120" w:type="dxa"/>
            <w:tcBorders>
              <w:top w:val="single" w:sz="2" w:space="0" w:color="BDD7EE"/>
              <w:start w:val="single" w:sz="2" w:space="0" w:color="BDD7EE"/>
              <w:bottom w:val="single" w:sz="2" w:space="0" w:color="BDD7EE"/>
              <w:end w:val="single" w:sz="2" w:space="0" w:color="BDD7EE"/>
            </w:tcBorders>
            <w:shd w:fill="1F4E79" w:val="clear"/>
            <w:vAlign w:val="center"/>
          </w:tcPr>
          <w:p>
            <w:pPr>
              <w:pStyle w:val="Normal"/>
              <w:rPr>
                <w:lang w:val="fr-FR"/>
              </w:rPr>
            </w:pPr>
            <w:r>
              <w:rPr>
                <w:lang w:val="fr-FR"/>
              </w:rPr>
              <w:t>Table.Colonne</w:t>
            </w:r>
          </w:p>
        </w:tc>
        <w:tc>
          <w:tcPr>
            <w:tcW w:w="2120" w:type="dxa"/>
            <w:tcBorders>
              <w:top w:val="single" w:sz="2" w:space="0" w:color="BDD7EE"/>
              <w:start w:val="single" w:sz="2" w:space="0" w:color="BDD7EE"/>
              <w:bottom w:val="single" w:sz="2" w:space="0" w:color="BDD7EE"/>
            </w:tcBorders>
            <w:shd w:fill="1F4E79" w:val="clear"/>
            <w:vAlign w:val="center"/>
          </w:tcPr>
          <w:p>
            <w:pPr>
              <w:pStyle w:val="Normal"/>
              <w:rPr>
                <w:lang w:val="fr-FR"/>
              </w:rPr>
            </w:pPr>
            <w:r>
              <w:rPr>
                <w:lang w:val="fr-FR"/>
              </w:rPr>
              <w:t>Type</w:t>
            </w:r>
          </w:p>
        </w:tc>
        <w:tc>
          <w:tcPr>
            <w:tcW w:w="6360" w:type="dxa"/>
            <w:tcBorders>
              <w:top w:val="single" w:sz="2" w:space="0" w:color="BDD7EE"/>
              <w:start w:val="single" w:sz="2" w:space="0" w:color="BDD7EE"/>
              <w:bottom w:val="single" w:sz="2" w:space="0" w:color="BDD7EE"/>
              <w:end w:val="single" w:sz="2" w:space="0" w:color="BDD7EE"/>
            </w:tcBorders>
            <w:shd w:fill="1F4E79" w:val="clear"/>
            <w:vAlign w:val="center"/>
          </w:tcPr>
          <w:p>
            <w:pPr>
              <w:pStyle w:val="Normal"/>
              <w:rPr>
                <w:lang w:val="fr-FR"/>
              </w:rPr>
            </w:pPr>
            <w:r>
              <w:rPr>
                <w:lang w:val="fr-FR"/>
              </w:rPr>
              <w:t>Note</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Ouvrage sur:</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FRANADMIN.CODE_VPT</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VARCHAR2(4 BYTE)            NOT NULL</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Valeur importée depuis le franchissement. Le dashboard affiche le libellé de ce que l'ouvrage franchit via FRANADMIN.CODE_VPT → VOIES_PORTEE_TYPE.LIB_VP_TYPE. Chemin : VISITE.(IDENTIFIANT, NUMOA) → OARG.(IDENTIFIANT, NUMOA) → OARG.IDENTIFIANT → FRANADMIN.IDENTIFIANT → FRANADMIN.CODE_VPT. Pas d'insertion pour ce champ.</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Numéro</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OARG.NUMOA</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NUMBER(2)          NOT NULL</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Valeur importée depuis l'ouvrage — affiché en lecture seule dans l'en-tête visite. NUMOA = numéro séquentiel de l'ouvrage dans le franchissement. Chemin : VISITE.(IDENTIFIANT, NUMOA) → OARG.(IDENTIFIANT, NUMOA) → OARG.NUMOA. Pas d'insertion pour ce champ dans VISITE.</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Pk</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FRANADMIN.VP_PK</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NUMBER(8,3)</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Valeur importée depuis le franchissement. Le dashboard affiche FRANADMIN.VP_PK. Chemin : VISITE.IDENTIFIANT → OARG.IDENTIFIANT → FRANADMIN.IDENTIFIANT → FRANADMIN.VP_PK. Pas d'insertion pour ce champ.</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Famille OA</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VISITE.CODE_FAMILLE</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VARCHAR2(4 BYTE)   NOT NULL</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déclarée : VISITE.CODE_FAMILLE → FAMILLE_OA.CODE_FAMILLE. Le dashboard affiche FAMILLE_OA.LIB_FAMILLE. Dénormalisé dans VISITE pour filtrage. CODE_FAMILLE conditionne les listes de parties d'ouvrage, notes, et actions.</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Retour Ouvrage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Bouton de navigation pure — retour à l'écran Détails Ouvrage. Aucune donnée affichée ou stockée.</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Retour Franchissement</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Bouton de navigation pure — retour à l'écran Franchissement. Aucune donnée affichée ou stockée.</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Saisir/Afficher Photos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T_ALBUM_PHOTOS.IDENTIFIANT</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VARCHAR2(8 BYTE)                 NOT NULL</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Photos de la visite courante. FK composite : T_ALBUM_PHOTOS.(IDENTIFIANT, NUMOA) → OARG.(IDENTIFIANT, NUMOA). Colonnes : NUM_ORDRE (séquence), IMAGE (BLOB), COMMENTAIRE, DATE_PHOTOS. Pour la migration : photos de visite à insérer dans T_ALBUM_PHOTOS avec le bon (IDENTIFIANT, NUMOA).</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Tableau visites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Numéro visite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VISITE.NUM_VISITE</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NUMBER(2)          NOT NULL</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Numéro séquentiel de la visite pour cet ouvrage. NUMBER(2). Avec (IDENTIFIANT, NUMOA) forme la clé composite primaire de VISITE. La clé PK complète est : VISITE.(IDENTIFIANT, NUMOA, NUM_VISITE).</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Tableau visites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Type de la Visite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VISITE.CODE_VISITE</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VARCHAR2(4 BYTE)   NOT NULL</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FK déclarée : VISITE.CODE_VISITE → TYPE_VISITE.CODE_VISITE. Le dashboard affiche TYPE_VISITE.LIB_VISITE. Types : IDP (Inspection Détaillée Périodique), IS (Inspection Spéciale), VR (Visite Rapide), etc. La valeur stockée est le code VARCHAR2(4).</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Tableau visites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Date de la Visite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VISITE.DATE_VISITE</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DATE               NOT NULL</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Type DATE, pas de FK. Date de réalisation de la visite. Dans les données d'exemple : 2012-10-10.</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Synthèse de l'état de l'ouvrage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Partie d'ouvrage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T_SYNTHESE_OA.CODE_PARTIE_OUV</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VARCHAR2(1 BYTE)        NOT NULL</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FK composite déclarée : T_SYNTHESE_OA.(CODE_CL_ETAT, CODE_PARTIE_OUV, CODE_FAMILLE) → NOTE.(CODE_CL_ETAT, CODE_PARTIE_OUV, CODE_FAMILLE). Aussi : T_SYNTHESE_OA.(IDENTIFIANT, NUMOA, NUM_VISITE) → VISITE.(IDENTIFIANT, NUMOA, NUM_VISITE). Valeur automatique — les parties d'ouvrage sont S, F, E, P (Superstructure, Fondations, Equipements, Protections), générées par l'application pour chaque visite.</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Synthèse de l'état de l'ouvrage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Ancienne classe d'état</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T_SYNTHESE_OA.ANCIEN_CODE_CL_ETAT</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VARCHAR2(2 BYTE)</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Valeur affichée en lecture seule — importée depuis la visite précédente. Stockée dans T_SYNTHESE_OA.ANCIEN_CODE_CL_ETAT VARCHAR2(4). Code de la classe d'état de la visite précédente pour cette partie d'ouvrage. Résolu via NOTE.LIB_CL_ETAT pour l'affichage.</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Synthèse de l'état de l'ouvrage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Nouvelle classe d'état</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T_SYNTHESE_OA.CODE_CL_ETAT</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VARCHAR2(2 BYTE)        NOT NULL</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FK composite sur 3 colonnes : T_SYNTHESE_OA.(CODE_CL_ETAT, CODE_PARTIE_OUV, CODE_FAMILLE) → NOTE.(CODE_CL_ETAT, CODE_PARTIE_OUV, CODE_FAMILLE). Le dashboard affiche NOTE.LIB_CL_ETAT. La valeur stockée est le code. La liste est filtrée par partie d'ouvrage et famille. Exemples : 1, 2, 3U, 3, 4, 5SU, etc.</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Synthèse de l'état de l'ouvrage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Risque usager U</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T_SYNTHESE_OA.RISQUE_USAGER</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VARCHAR2(1 BYTE)</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Booléen VARCHAR2(1), valeurs O/N. Indique si un risque pour l'usager est identifié sur cette partie d'ouvrage. Le suffixe U dans le dashboard désigne ce risque usager. Pas de FK.</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Synthèse de l'état de l'ouvrage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Evolution manifeste par rapport à la précédente visite ou inspection</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T_SYNTHESE_OA.EVOLUTION_MANIFESTE</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VARCHAR2(500 BYTE)</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Texte libre VARCHAR2, pas de FK directe. Décrit l'évolution observable depuis la visite précédente. Note : les tables EVOLUTION_MANIF et EVOLUTION_MANIF_NE existent dans le schéma mais T_SYNTHESE_OA.EVOLUTION_MANIFESTE est une colonne texte libre sans FK déclarée vers ces tables.</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Synthèse de l'état de l'ouvrage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Conclusion / Type d'intervention</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NOTE.LIB_TYPE_INT</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VARCHAR2(50 BYTE)            NOT NULL</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Valeur automatique dérivée de CODE_CL_ETAT. Le dashboard affiche NOTE.LIB_TYPE_INT — la conclusion d'intervention correspondant à la classe d'état. Même colonne CODE_CL_ETAT que Nouvelle classe d'état — la conclusion est automatiquement déterminée par la classe choisie via NOTE.LIB_TYPE_INT. Pas d'insertion séparée.</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Synthèse de l'état de l'ouvrage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Ensemble de l'ouvrage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VISITE.NOTE_ENSEMBLE_OA</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VARCHAR2(6 BYTE)</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Note globale de l'ouvrage VARCHAR2(4). Stockée dans VISITE, pas dans T_SYNTHESE_OA. Résumé synthétique de l'état général. Dans les données d'exemple : '5SU', '3PU*', '5S', '2EP'. Pas de FK déclarée.</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Synthèse de l'état de l'ouvrage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Conclusion générale de l'ouvrage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VISITE.CODE_CONCL_AMENAG</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VARCHAR2(3 BYTE)</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composite déclarée : VISITE.(CODE_FAMILLE, CODE_CONCL_AMENAG) → CONCL_AMENAG.(CODE_FAMILLE, CODE_CONCL_AMENAG). Le dashboard affiche le libellé via CONCL_AMENAG.CODE_CONCL_AMENAG → TYPE_AMENAGEMENT.LIB_CONCL_AMENAG. La liste est filtrée par CODE_FAMILLE. Exemples : AM1, AM2, A11, etc.</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Synthèse de l'état de l'ouvrage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Montant estimé de l'aménagement</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VISITE.MONTANT_AMENAGE</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NUMBER(12,2)</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NUMBER, pas de FK. Montant estimé du coût d'aménagement ou d'intervention en dirhams ou KDH. Dans les données d'exemple : 100, 150, 105. Stocké directement dans VISITE.</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Régime de surveillance &gt; Ensemble de l'ouvrage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Type de surveillance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T_REGIME_SURVEILLANCE.CODE_TYPE_SURV</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VARCHAR2(3 BYTE)             NOT NULL</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déclarée : T_REGIME_SURVEILLANCE.CODE_TYPE_SURV → TYPE_SURVEILLANCE.CODE_TYPE_SURV. Le dashboard affiche TYPE_SURVEILLANCE.LIB_TYPE_SURV. FK composite sur la visite : T_REGIME_SURVEILLANCE.(IDENTIFIANT, NUMOA, NUM_VISITE) → VISITE.(IDENTIFIANT, NUMOA, NUM_VISITE). La valeur stockée est le code VARCHAR2(4).</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Régime de surveillance &gt; Ensemble de l'ouvrage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Mois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T_REGIME_SURVEILLANCE.MOIS</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NUMBER(2)</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NUMBER, pas de FK. Mois de la prochaine surveillance recommandée (1-12). Même ligne T_REGIME_SURVEILLANCE que Type de surveillance.</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Régime de surveillance &gt; Ensemble de l'ouvrage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Année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T_REGIME_SURVEILLANCE.ANNEE</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NUMBER(4)</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NUMBER, pas de FK. Année de la prochaine surveillance recommandée. Même ligne T_REGIME_SURVEILLANCE que Type de surveillance et Mois.</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Régime de surveillance &gt; Parties de l'ouvrage à surveiller en particulier</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Superstructures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T_REGIME_SURVEILLANCE.SUPERSTRUCTURE</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VARCHAR2(1 BYTE)</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Booléen VARCHAR2(1), valeurs O/N. Indique si les superstructures doivent faire l'objet d'une surveillance particulière. Stocké dans T_REGIME_SURVEILLANCE avec FK composite sur PARTIE_OUVRAGE : T_REGIME_SURVEILLANCE.(CODE_PARTIE_OUV, CODE_FAMILLE) → PARTIE_OUVRAGE.(CODE_PARTIE_OUV, CODE_FAMILLE).</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Régime de surveillance &gt; Parties de l'ouvrage à surveiller en particulier</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Fondation</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T_REGIME_SURVEILLANCE.FONDATION</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VARCHAR2(1 BYTE)</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Booléen VARCHAR2(1), valeurs O/N. Indique si les fondations doivent faire l'objet d'une surveillance particulière. Même ligne T_REGIME_SURVEILLANCE que Superstructures.</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Régime de surveillance &gt; Parties de l'ouvrage à surveiller en particulier</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Equipement</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T_REGIME_SURVEILLANCE.EQUIPEMENT</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VARCHAR2(1 BYTE)</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Booléen VARCHAR2(1), valeurs O/N. Indique si les équipements doivent faire l'objet d'une surveillance particulière. Même ligne T_REGIME_SURVEILLANCE que Superstructures.</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Régime de surveillance &gt; Parties de l'ouvrage à surveiller en particulier</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Protection</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T_REGIME_SURVEILLANCE.PROTECTION</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VARCHAR2(1 BYTE)</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Booléen VARCHAR2(1), valeurs O/N. Indique si les protections doivent faire l'objet d'une surveillance particulière. Même ligne T_REGIME_SURVEILLANCE que Superstructures.</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Régime de surveillance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Commentaires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T_REGIME_SURVEILLANCE.COMMENTAIRE</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VARCHAR2(500 BYTE)</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VARCHAR2, texte libre, pas de FK. Commentaire sur le régime de surveillance recommandé. Stocké dans T_REGIME_SURVEILLANCE — même table que Type de surveillance, Mois, Année et les 4 booléens.</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Actions prévues &gt; Tableau récapitulatif des notes et décisions par famille de composants &gt; Familles de composants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S - Superstructure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T_SYNTHESE_OA.CODE_CL_ETAT</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VARCHAR2(2 BYTE)        NOT NULL</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Valeur automatique — note de la partie Superstructure (CODE_PARTIE_OUV = 'S'). Ligne T_SYNTHESE_OA filtrée par CODE_PARTIE_OUV = 'S'. Le dashboard l'affiche dans le tableau récapitulatif. Résolu via NOTE.(CODE_CL_ETAT, CODE_PARTIE_OUV, CODE_FAMILLE).</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Actions prévues &gt; Tableau récapitulatif des notes et décisions par famille de composants &gt; Familles de composants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 - Fondations et Appuis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T_SYNTHESE_OA.CODE_CL_ETAT</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VARCHAR2(2 BYTE)        NOT NULL</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Valeur automatique — note de la partie Fondations (CODE_PARTIE_OUV = 'F'). Même logique que S - Superstructure, filtrée par CODE_PARTIE_OUV = 'F'.</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Actions prévues &gt; Tableau récapitulatif des notes et décisions par famille de composants &gt; Familles de composants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E - Equipements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T_SYNTHESE_OA.CODE_CL_ETAT</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VARCHAR2(2 BYTE)        NOT NULL</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Valeur automatique — note de la partie Equipements (CODE_PARTIE_OUV = 'E'). Même logique que S, filtrée par CODE_PARTIE_OUV = 'E'.</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Actions prévues &gt; Tableau récapitulatif des notes et décisions par famille de composants &gt; Familles de composants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P - Protections et voisinage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T_SYNTHESE_OA.CODE_CL_ETAT</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VARCHAR2(2 BYTE)        NOT NULL</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Valeur automatique — note de la partie Protections (CODE_PARTIE_OUV = 'P'). Même logique que S, filtrée par CODE_PARTIE_OUV = 'P'.</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Actions prévues &gt; Tableau récapitulatif des notes et décisions par famille de composants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Note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T_SYNTHESE_OA.CODE_CL_ETAT</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VARCHAR2(2 BYTE)        NOT NULL</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Valeur importée depuis T_SYNTHESE_OA.CODE_CL_ETAT pour la partie concernée. Le dashboard affiche le code de classe d'état dans la colonne Note du tableau récapitulatif. Même colonne que Nouvelle classe d'état dans la Synthèse — c'est une redisplay du même champ.</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Actions prévues &gt; Tableau récapitulatif des notes et décisions par famille de composants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Décision (type) associée à la note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NOTE.LIB_TYPE_INT</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VARCHAR2(50 BYTE)            NOT NULL</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Valeur automatique dérivée de CODE_CL_ETAT via la table NOTE. Le dashboard affiche NOTE.LIB_TYPE_INT — le type d'intervention associé à la classe d'état. Chemin : T_SYNTHESE_OA.CODE_CL_ETAT → NOTE.CODE_CL_ETAT → NOTE.LIB_TYPE_INT. Pas d'insertion séparée.</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Actions prévues &gt; Tableau des types d'action d'entretien et de réparation</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 d'action prévue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T_ACTIONS_PREVUES.NUM_ACTION_PRV</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NUMBER(2)                 NOT NULL</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Numéro séquentiel de l'action prévue NUMBER(2). FK composite principale : T_ACTIONS_PREVUES.(IDENTIFIANT, NUMOA, NUM_VISITE, CODE_PARTIE_OUV) → T_SYNTHESE_OA.(IDENTIFIANT, NUMOA, NUM_VISITE, CODE_PARTIE_OUV). Ordre d'insertion : VISITE → T_SYNTHESE_OA → T_ACTIONS_PREVUES.</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Actions prévues &gt; Tableau des types d'action d'entretien et de réparation</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Type d'action d'entretien et de réparation</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T_ACTIONS_PREVUES.NUM_ACTION</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NUMBER(3)                 NOT NULL</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FK composite sur 4 colonnes : T_ACTIONS_PREVUES.(CODE_FAMILLE, NUM_ACTION, CODE_CLASSE, CODE_PARTIE_OUV) → ACTION.(CODE_FAMILLE, NUM_ACTION, CODE_CLASSE, CLASSE). Le dashboard affiche le libellé via ACTION.NUM_ACTION → TYPE_ACTION.LIB_ACTION. La liste est filtrée par famille et partie d'ouvrage. La valeur stockée est le numéro d'action NUMBER.</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Actions prévues &gt; Tableau des types d'action d'entretien et de réparation</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Intervention lourde (O/N)</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T_ACTIONS_PREVUES.LOURDE</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VARCHAR2(1 BYTE)</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Booléen VARCHAR2(1), valeurs O/N. Indique si l'action constitue une intervention lourde (travaux importants) ou légère (entretien courant). Pas de FK.</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Actions prévues &gt; Tableau des types d'action d'entretien et de réparation</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Estimation</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T_ACTIONS_PREVUES.ESTIMATION</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NUMBER(9,2)</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NUMBER, pas de FK. Coût estimé de l'action prévue en dirhams our KDH. Stocké directement dans T_ACTIONS_PREVUES.</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Actions prévues &gt; Tableau des types d'action d'entretien et de réparation</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Exécutant</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T_ACTIONS_PREVUES.EXECUTANT</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VARCHAR2(100 BYTE)</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VARCHAR2(100), pas de FK déclarée malgré l'existence de la table EXECUTANT dans le schéma. Champ texte libre dans T_ACTIONS_PREVUES — la table EXECUTANT (colonnes : NUM_LIGNE, LIB_EXECUTANT) existe mais n'est pas liée par FK. Mapping partiel à documenter et à confirmer avec le client.</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Actions prévues &gt; Tableau des types d'action d'entretien et de réparation</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Urgence (O/N)</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T_ACTIONS_PREVUES.URGENCE</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VARCHAR2(1 BYTE)</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Booléen VARCHAR2(1), valeurs O/N. Indique si l'action est urgente. Pas de FK.</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Actions prévues &gt; Tableau des types d'action d'entretien et de réparation</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Date limite réalisation</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T_ACTIONS_PREVUES.DATE_LIMITE_REALIS</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DATE</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Type DATE, pas de FK. Date limite de réalisation de l'action prévue.</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Prochaine visite &gt; Prochaine visite ou inspection</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Type de la visite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T_PROCHAINE_VISITE.CODE_VISITE</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VARCHAR2(4 BYTE)           NOT NULL</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FK déclarée : T_PROCHAINE_VISITE.CODE_VISITE → TYPE_VISITE.CODE_VISITE. Le dashboard affiche TYPE_VISITE.LIB_VISITE. FK composite sur la visite courante : T_PROCHAINE_VISITE.(IDENTIFIANT, NUMOA, NUM_VISITE) → VISITE.(IDENTIFIANT, NUMOA, NUM_VISITE). Ordre d'insertion : VISITE → T_PROCHAINE_VISITE.</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Prochaine visite &gt; Prochaine visite ou inspection</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Mois</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T_PROCHAINE_VISITE.MOIS</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NUMBER(2)                  NOT NULL</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NUMBER, pas de FK. Mois recommandé pour la prochaine visite (1-12). Même ligne T_PROCHAINE_VISITE que Type de la visite.</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Prochaine visite &gt; Prochaine visite ou inspection</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Année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T_PROCHAINE_VISITE.ANNEE</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NUMBER(4)                  NOT NULL</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NUMBER, pas de FK. Année recommandée pour la prochaine visite. Même ligne T_PROCHAINE_VISITE que Type de la visite et Mois.</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Prochaine visite &gt; Prochaine visite ou inspection</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Restriction de la circulation pendant la visite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T_PROCHAINE_VISITE.CODE_RESTR_CIRCUL</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VARCHAR2(2 BYTE)</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déclarée : T_PROCHAINE_VISITE.CODE_RESTR_CIRCUL → RESTRICT_CIRCUL.CODE_RESTR_CIRCUL. Le dashboard affiche RESTRICT_CIRCUL.LIB_RESTR_CIRCUL. La valeur stockée est le code VARCHAR2(4). Indique si une restriction de circulation sera nécessaire pendant la prochaine inspection.</w:t>
            </w:r>
          </w:p>
        </w:tc>
      </w:tr>
      <w:tr>
        <w:trPr/>
        <w:tc>
          <w:tcPr>
            <w:tcW w:w="2118"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Prochaine visite</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Commentaires</w:t>
            </w:r>
          </w:p>
        </w:tc>
        <w:tc>
          <w:tcPr>
            <w:tcW w:w="212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T_PROCHAINE_VISITE.COMMENTAIRE</w:t>
            </w:r>
          </w:p>
        </w:tc>
        <w:tc>
          <w:tcPr>
            <w:tcW w:w="2120" w:type="dxa"/>
            <w:tcBorders>
              <w:top w:val="single" w:sz="2" w:space="0" w:color="BDD7EE"/>
              <w:start w:val="single" w:sz="2" w:space="0" w:color="BDD7EE"/>
              <w:bottom w:val="single" w:sz="2" w:space="0" w:color="BDD7EE"/>
            </w:tcBorders>
            <w:shd w:fill="FFFFFF" w:val="clear"/>
            <w:tcMar>
              <w:top w:w="60" w:type="dxa"/>
              <w:bottom w:w="60" w:type="dxa"/>
            </w:tcMar>
          </w:tcPr>
          <w:p>
            <w:pPr>
              <w:pStyle w:val="Normal"/>
              <w:rPr>
                <w:lang w:val="fr-FR"/>
              </w:rPr>
            </w:pPr>
            <w:r>
              <w:rPr>
                <w:lang w:val="fr-FR"/>
              </w:rPr>
              <w:t>VARCHAR2(500 BYTE)</w:t>
            </w:r>
          </w:p>
        </w:tc>
        <w:tc>
          <w:tcPr>
            <w:tcW w:w="6360"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rPr>
                <w:lang w:val="fr-FR"/>
              </w:rPr>
            </w:pPr>
            <w:r>
              <w:rPr>
                <w:lang w:val="fr-FR"/>
              </w:rPr>
              <w:t>VARCHAR2, texte libre, pas de FK. Commentaire sur la prochaine visite recommandée. Stocké dans T_PROCHAINE_VISITE — même table que Type, Mois, Année et Restriction.</w:t>
            </w:r>
          </w:p>
        </w:tc>
      </w:tr>
      <w:tr>
        <w:trPr/>
        <w:tc>
          <w:tcPr>
            <w:tcW w:w="2118"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Prochaine visite</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Tableau de matériel à prévoir</w:t>
            </w:r>
          </w:p>
        </w:tc>
        <w:tc>
          <w:tcPr>
            <w:tcW w:w="212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T_MATERIEL.CODE_MAT_A_PREV</w:t>
            </w:r>
          </w:p>
        </w:tc>
        <w:tc>
          <w:tcPr>
            <w:tcW w:w="2120" w:type="dxa"/>
            <w:tcBorders>
              <w:top w:val="single" w:sz="2" w:space="0" w:color="BDD7EE"/>
              <w:start w:val="single" w:sz="2" w:space="0" w:color="BDD7EE"/>
              <w:bottom w:val="single" w:sz="2" w:space="0" w:color="BDD7EE"/>
            </w:tcBorders>
            <w:shd w:fill="EBF3FB" w:val="clear"/>
            <w:tcMar>
              <w:top w:w="60" w:type="dxa"/>
              <w:bottom w:w="60" w:type="dxa"/>
            </w:tcMar>
          </w:tcPr>
          <w:p>
            <w:pPr>
              <w:pStyle w:val="Normal"/>
              <w:rPr>
                <w:lang w:val="fr-FR"/>
              </w:rPr>
            </w:pPr>
            <w:r>
              <w:rPr>
                <w:lang w:val="fr-FR"/>
              </w:rPr>
              <w:t>VARCHAR2(2 BYTE)             NOT NULL</w:t>
            </w:r>
          </w:p>
        </w:tc>
        <w:tc>
          <w:tcPr>
            <w:tcW w:w="6360"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rPr>
                <w:lang w:val="fr-FR"/>
              </w:rPr>
            </w:pPr>
            <w:r>
              <w:rPr>
                <w:lang w:val="fr-FR"/>
              </w:rPr>
              <w:t>FK déclarée : T_MATERIEL.CODE_MAT_A_PREV → MATERIEL_A_PREVOIR.CODE_MAT_A_PREV. Le dashboard affiche MATERIEL_A_PREVOIR.LIB_MAT_A_PREV. FK composite sur la prochaine visite : T_MATERIEL.(IDENTIFIANT, NUMOA, NUM_VISITE) → T_PROCHAINE_VISITE.(IDENTIFIANT, NUMOA, NUM_VISITE). Plusieurs matériels possibles par visite. Ordre d'insertion : VISITE → T_PROCHAINE_VISITE → T_MATERIEL.</w:t>
            </w:r>
          </w:p>
        </w:tc>
      </w:tr>
    </w:tbl>
    <w:p>
      <w:pPr>
        <w:sectPr>
          <w:headerReference w:type="even" r:id="rId8"/>
          <w:headerReference w:type="default" r:id="rId9"/>
          <w:headerReference w:type="first" r:id="rId10"/>
          <w:footerReference w:type="even" r:id="rId11"/>
          <w:footerReference w:type="default" r:id="rId12"/>
          <w:footerReference w:type="first" r:id="rId13"/>
          <w:type w:val="nextPage"/>
          <w:pgSz w:orient="landscape" w:w="16838" w:h="11906"/>
          <w:pgMar w:left="1000" w:right="1000" w:gutter="0" w:header="708" w:top="1000" w:footer="708" w:bottom="1000"/>
          <w:pgNumType w:fmt="decimal"/>
          <w:formProt w:val="false"/>
          <w:textDirection w:val="lrTb"/>
          <w:docGrid w:type="default" w:linePitch="360" w:charSpace="0"/>
        </w:sectPr>
      </w:pPr>
    </w:p>
    <w:p>
      <w:pPr>
        <w:pStyle w:val="Heading1"/>
        <w:pBdr>
          <w:bottom w:val="single" w:sz="4" w:space="1" w:color="2E75B6"/>
        </w:pBdr>
        <w:shd w:val="clear" w:fill="1F4E79"/>
        <w:spacing w:before="360" w:after="180"/>
        <w:ind w:start="200"/>
        <w:rPr>
          <w:lang w:val="fr-FR"/>
        </w:rPr>
      </w:pPr>
      <w:bookmarkStart w:id="14" w:name="__RefHeading___Toc2563_1145092829"/>
      <w:bookmarkEnd w:id="14"/>
      <w:r>
        <w:rPr>
          <w:rFonts w:eastAsia="Arial" w:cs="Arial" w:ascii="Arial" w:hAnsi="Arial"/>
          <w:b/>
          <w:bCs/>
          <w:i w:val="false"/>
          <w:iCs w:val="false"/>
          <w:color w:val="FFFFFF"/>
          <w:sz w:val="28"/>
          <w:szCs w:val="28"/>
          <w:lang w:val="fr-FR"/>
        </w:rPr>
        <w:t>4. Anomalies du Schéma</w:t>
      </w:r>
    </w:p>
    <w:p>
      <w:pPr>
        <w:pStyle w:val="Normal"/>
        <w:spacing w:before="80" w:after="160"/>
        <w:jc w:val="start"/>
        <w:rPr>
          <w:lang w:val="fr-FR"/>
        </w:rPr>
      </w:pPr>
      <w:r>
        <w:rPr>
          <w:rFonts w:eastAsia="Arial" w:cs="Arial"/>
          <w:b w:val="false"/>
          <w:bCs w:val="false"/>
          <w:i w:val="false"/>
          <w:iCs w:val="false"/>
          <w:color w:val="1A1A1A"/>
          <w:sz w:val="20"/>
          <w:szCs w:val="20"/>
          <w:lang w:val="fr-FR"/>
        </w:rPr>
        <w:t>L'analyse du schéma SGOAM2.sql a révélé quatre anomalies d'intégrité qui devront être corrigées avant ou pendant la migration. Ces anomalies n'empêchent pas le fonctionnement de l'application existante mais présentent des risques pour la qualité des données migrées.</w:t>
      </w:r>
    </w:p>
    <w:tbl>
      <w:tblPr>
        <w:tblW w:w="9906" w:type="dxa"/>
        <w:jc w:val="start"/>
        <w:tblInd w:w="0" w:type="dxa"/>
        <w:tblLayout w:type="fixed"/>
        <w:tblCellMar>
          <w:top w:w="100" w:type="dxa"/>
          <w:start w:w="100" w:type="dxa"/>
          <w:bottom w:w="100" w:type="dxa"/>
          <w:end w:w="100" w:type="dxa"/>
        </w:tblCellMar>
      </w:tblPr>
      <w:tblGrid>
        <w:gridCol w:w="600"/>
        <w:gridCol w:w="9306"/>
      </w:tblGrid>
      <w:tr>
        <w:trPr/>
        <w:tc>
          <w:tcPr>
            <w:tcW w:w="600" w:type="dxa"/>
            <w:tcBorders/>
            <w:shd w:fill="C00000" w:val="clear"/>
          </w:tcPr>
          <w:p>
            <w:pPr>
              <w:pStyle w:val="Normal"/>
              <w:spacing w:before="0" w:after="0"/>
              <w:jc w:val="center"/>
              <w:rPr>
                <w:lang w:val="fr-FR"/>
              </w:rPr>
            </w:pPr>
            <w:r>
              <w:rPr>
                <w:rFonts w:eastAsia="Arial" w:cs="Arial"/>
                <w:b/>
                <w:bCs/>
                <w:i w:val="false"/>
                <w:iCs w:val="false"/>
                <w:color w:val="FFFFFF"/>
                <w:sz w:val="26"/>
                <w:szCs w:val="26"/>
                <w:lang w:val="fr-FR"/>
              </w:rPr>
              <w:t>#1</w:t>
            </w:r>
          </w:p>
        </w:tc>
        <w:tc>
          <w:tcPr>
            <w:tcW w:w="9306" w:type="dxa"/>
            <w:tcBorders/>
            <w:shd w:fill="F2F2F2" w:val="clear"/>
            <w:tcMar>
              <w:top w:w="80" w:type="dxa"/>
              <w:start w:w="140" w:type="dxa"/>
              <w:bottom w:w="80" w:type="dxa"/>
            </w:tcMar>
          </w:tcPr>
          <w:p>
            <w:pPr>
              <w:pStyle w:val="Normal"/>
              <w:spacing w:before="0" w:after="60"/>
              <w:jc w:val="start"/>
              <w:rPr>
                <w:lang w:val="fr-FR"/>
              </w:rPr>
            </w:pPr>
            <w:r>
              <w:rPr>
                <w:rFonts w:eastAsia="Arial" w:cs="Arial"/>
                <w:b/>
                <w:bCs/>
                <w:i w:val="false"/>
                <w:iCs w:val="false"/>
                <w:color w:val="C00000"/>
                <w:sz w:val="22"/>
                <w:szCs w:val="22"/>
                <w:lang w:val="fr-FR"/>
              </w:rPr>
              <w:t>T_FRAN_VFT — Absence d'index unique</w:t>
            </w:r>
          </w:p>
          <w:p>
            <w:pPr>
              <w:pStyle w:val="Normal"/>
              <w:spacing w:before="0" w:after="60"/>
              <w:jc w:val="start"/>
              <w:rPr>
                <w:lang w:val="fr-FR"/>
              </w:rPr>
            </w:pPr>
            <w:r>
              <w:rPr>
                <w:rFonts w:eastAsia="Arial" w:cs="Arial"/>
                <w:b w:val="false"/>
                <w:bCs w:val="false"/>
                <w:i w:val="false"/>
                <w:iCs w:val="false"/>
                <w:color w:val="1A1A1A"/>
                <w:sz w:val="20"/>
                <w:szCs w:val="20"/>
                <w:lang w:val="fr-FR"/>
              </w:rPr>
              <w:t>La table T_FRAN_VFT n'a pas d'index unique déclaré. La clé logique est (IDENTIFIANT + CODE_VFT) mais rien n'empêche l'insertion de doublons. T_FRAN_VFT lie un franchissement au type d'obstacle qu'il franchit.</w:t>
            </w:r>
          </w:p>
          <w:p>
            <w:pPr>
              <w:pStyle w:val="Normal"/>
              <w:spacing w:before="0" w:after="60"/>
              <w:jc w:val="start"/>
              <w:rPr>
                <w:lang w:val="fr-FR"/>
              </w:rPr>
            </w:pPr>
            <w:r>
              <w:rPr>
                <w:rFonts w:eastAsia="Arial" w:cs="Arial"/>
                <w:b/>
                <w:bCs/>
                <w:i w:val="false"/>
                <w:iCs w:val="false"/>
                <w:color w:val="D35400"/>
                <w:sz w:val="18"/>
                <w:szCs w:val="18"/>
                <w:lang w:val="fr-FR"/>
              </w:rPr>
              <w:t xml:space="preserve">⚠ </w:t>
            </w:r>
            <w:r>
              <w:rPr>
                <w:rFonts w:eastAsia="Arial" w:cs="Arial"/>
                <w:b w:val="false"/>
                <w:bCs w:val="false"/>
                <w:i/>
                <w:iCs/>
                <w:color w:val="1A1A1A"/>
                <w:sz w:val="18"/>
                <w:szCs w:val="18"/>
                <w:lang w:val="fr-FR"/>
              </w:rPr>
              <w:t>Deux insertions identiques (IDENTIFIANT='AG134', CODE_VFT='RIV') réussissent toutes les deux. L'obstacle "rivière" apparaît en double dans le dropdown du dashboard.</w:t>
            </w:r>
          </w:p>
          <w:p>
            <w:pPr>
              <w:pStyle w:val="Normal"/>
              <w:spacing w:before="0" w:after="0"/>
              <w:jc w:val="start"/>
              <w:rPr>
                <w:lang w:val="fr-FR"/>
              </w:rPr>
            </w:pPr>
            <w:r>
              <w:rPr>
                <w:rFonts w:eastAsia="Arial" w:cs="Arial"/>
                <w:b/>
                <w:bCs/>
                <w:i w:val="false"/>
                <w:iCs w:val="false"/>
                <w:color w:val="1E5631"/>
                <w:sz w:val="18"/>
                <w:szCs w:val="18"/>
                <w:lang w:val="fr-FR"/>
              </w:rPr>
              <w:t xml:space="preserve">✓ </w:t>
            </w:r>
            <w:r>
              <w:rPr>
                <w:rFonts w:eastAsia="Arial" w:cs="Arial"/>
                <w:b w:val="false"/>
                <w:bCs w:val="false"/>
                <w:i w:val="false"/>
                <w:iCs w:val="false"/>
                <w:color w:val="1A1A1A"/>
                <w:sz w:val="18"/>
                <w:szCs w:val="18"/>
                <w:lang w:val="fr-FR"/>
              </w:rPr>
              <w:t>Ajouter : CREATE UNIQUE INDEX IDX_FRAN_VFT_PK ON SGOAM.T_FRAN_VFT (IDENTIFIANT, CODE_VFT);</w:t>
            </w:r>
          </w:p>
        </w:tc>
      </w:tr>
    </w:tbl>
    <w:p>
      <w:pPr>
        <w:pStyle w:val="Normal"/>
        <w:spacing w:before="80" w:after="80"/>
        <w:jc w:val="start"/>
        <w:rPr>
          <w:lang w:val="fr-FR"/>
        </w:rPr>
      </w:pPr>
      <w:r>
        <w:rPr>
          <w:lang w:val="fr-FR"/>
        </w:rPr>
      </w:r>
    </w:p>
    <w:tbl>
      <w:tblPr>
        <w:tblW w:w="9906" w:type="dxa"/>
        <w:jc w:val="start"/>
        <w:tblInd w:w="0" w:type="dxa"/>
        <w:tblLayout w:type="fixed"/>
        <w:tblCellMar>
          <w:top w:w="100" w:type="dxa"/>
          <w:start w:w="100" w:type="dxa"/>
          <w:bottom w:w="100" w:type="dxa"/>
          <w:end w:w="100" w:type="dxa"/>
        </w:tblCellMar>
      </w:tblPr>
      <w:tblGrid>
        <w:gridCol w:w="600"/>
        <w:gridCol w:w="9306"/>
      </w:tblGrid>
      <w:tr>
        <w:trPr/>
        <w:tc>
          <w:tcPr>
            <w:tcW w:w="600" w:type="dxa"/>
            <w:tcBorders/>
            <w:shd w:fill="C00000" w:val="clear"/>
          </w:tcPr>
          <w:p>
            <w:pPr>
              <w:pStyle w:val="Normal"/>
              <w:spacing w:before="0" w:after="0"/>
              <w:jc w:val="center"/>
              <w:rPr>
                <w:lang w:val="fr-FR"/>
              </w:rPr>
            </w:pPr>
            <w:r>
              <w:rPr>
                <w:rFonts w:eastAsia="Arial" w:cs="Arial"/>
                <w:b/>
                <w:bCs/>
                <w:i w:val="false"/>
                <w:iCs w:val="false"/>
                <w:color w:val="FFFFFF"/>
                <w:sz w:val="26"/>
                <w:szCs w:val="26"/>
                <w:lang w:val="fr-FR"/>
              </w:rPr>
              <w:t>#2</w:t>
            </w:r>
          </w:p>
        </w:tc>
        <w:tc>
          <w:tcPr>
            <w:tcW w:w="9306" w:type="dxa"/>
            <w:tcBorders/>
            <w:shd w:fill="F2F2F2" w:val="clear"/>
            <w:tcMar>
              <w:top w:w="80" w:type="dxa"/>
              <w:start w:w="140" w:type="dxa"/>
              <w:bottom w:w="80" w:type="dxa"/>
            </w:tcMar>
          </w:tcPr>
          <w:p>
            <w:pPr>
              <w:pStyle w:val="Normal"/>
              <w:spacing w:before="0" w:after="60"/>
              <w:jc w:val="start"/>
              <w:rPr>
                <w:lang w:val="fr-FR"/>
              </w:rPr>
            </w:pPr>
            <w:r>
              <w:rPr>
                <w:rFonts w:eastAsia="Arial" w:cs="Arial"/>
                <w:b/>
                <w:bCs/>
                <w:i w:val="false"/>
                <w:iCs w:val="false"/>
                <w:color w:val="C00000"/>
                <w:sz w:val="22"/>
                <w:szCs w:val="22"/>
                <w:lang w:val="fr-FR"/>
              </w:rPr>
              <w:t>HIST_OUV — Absence de contraintes FK</w:t>
            </w:r>
          </w:p>
          <w:p>
            <w:pPr>
              <w:pStyle w:val="Normal"/>
              <w:spacing w:before="0" w:after="60"/>
              <w:jc w:val="start"/>
              <w:rPr>
                <w:lang w:val="fr-FR"/>
              </w:rPr>
            </w:pPr>
            <w:r>
              <w:rPr>
                <w:rFonts w:eastAsia="Arial" w:cs="Arial"/>
                <w:b w:val="false"/>
                <w:bCs w:val="false"/>
                <w:i w:val="false"/>
                <w:iCs w:val="false"/>
                <w:color w:val="1A1A1A"/>
                <w:sz w:val="20"/>
                <w:szCs w:val="20"/>
                <w:lang w:val="fr-FR"/>
              </w:rPr>
              <w:t>La table HIST_OUV n'a aucune contrainte de clé étrangère déclarée. Les colonnes IDENTIFIANT et NUMOA devraient référencer OARG mais aucun ALTER TABLE n'a été déclaré. Par comparaison, HIST_FRAN déclare correctement ses FKs vers FRANADMIN et PROVINCE.</w:t>
            </w:r>
          </w:p>
          <w:p>
            <w:pPr>
              <w:pStyle w:val="Normal"/>
              <w:spacing w:before="0" w:after="60"/>
              <w:jc w:val="start"/>
              <w:rPr>
                <w:lang w:val="fr-FR"/>
              </w:rPr>
            </w:pPr>
            <w:r>
              <w:rPr>
                <w:rFonts w:eastAsia="Arial" w:cs="Arial"/>
                <w:b/>
                <w:bCs/>
                <w:i w:val="false"/>
                <w:iCs w:val="false"/>
                <w:color w:val="D35400"/>
                <w:sz w:val="18"/>
                <w:szCs w:val="18"/>
                <w:lang w:val="fr-FR"/>
              </w:rPr>
              <w:t xml:space="preserve">⚠ </w:t>
            </w:r>
            <w:r>
              <w:rPr>
                <w:rFonts w:eastAsia="Arial" w:cs="Arial"/>
                <w:b w:val="false"/>
                <w:bCs w:val="false"/>
                <w:i/>
                <w:iCs/>
                <w:color w:val="1A1A1A"/>
                <w:sz w:val="18"/>
                <w:szCs w:val="18"/>
                <w:lang w:val="fr-FR"/>
              </w:rPr>
              <w:t>Si un ouvrage est supprimé de OARG lors d'un nettoyage, les lignes HIST_OUV correspondantes deviennent des orphelins — aucune contrainte ne bloque ni ne cascade la suppression.</w:t>
            </w:r>
          </w:p>
          <w:p>
            <w:pPr>
              <w:pStyle w:val="Normal"/>
              <w:spacing w:before="0" w:after="0"/>
              <w:jc w:val="start"/>
              <w:rPr>
                <w:lang w:val="fr-FR"/>
              </w:rPr>
            </w:pPr>
            <w:r>
              <w:rPr>
                <w:rFonts w:eastAsia="Arial" w:cs="Arial"/>
                <w:b/>
                <w:bCs/>
                <w:i w:val="false"/>
                <w:iCs w:val="false"/>
                <w:color w:val="1E5631"/>
                <w:sz w:val="18"/>
                <w:szCs w:val="18"/>
                <w:lang w:val="fr-FR"/>
              </w:rPr>
              <w:t xml:space="preserve">✓ </w:t>
            </w:r>
            <w:r>
              <w:rPr>
                <w:rFonts w:eastAsia="Arial" w:cs="Arial"/>
                <w:b w:val="false"/>
                <w:bCs w:val="false"/>
                <w:i w:val="false"/>
                <w:iCs w:val="false"/>
                <w:color w:val="1A1A1A"/>
                <w:sz w:val="18"/>
                <w:szCs w:val="18"/>
                <w:lang w:val="fr-FR"/>
              </w:rPr>
              <w:t>Ajouter : ALTER TABLE SGOAM.HIST_OUV ADD CONSTRAINT FK_HIST_OUV_OARG FOREIGN KEY (IDENTIFIANT, NUMOA) REFERENCES SGOAM.OARG (IDENTIFIANT, NUMOA);</w:t>
            </w:r>
          </w:p>
        </w:tc>
      </w:tr>
    </w:tbl>
    <w:p>
      <w:pPr>
        <w:pStyle w:val="Normal"/>
        <w:spacing w:before="80" w:after="80"/>
        <w:jc w:val="start"/>
        <w:rPr>
          <w:lang w:val="fr-FR"/>
        </w:rPr>
      </w:pPr>
      <w:r>
        <w:rPr>
          <w:lang w:val="fr-FR"/>
        </w:rPr>
      </w:r>
    </w:p>
    <w:tbl>
      <w:tblPr>
        <w:tblW w:w="9906" w:type="dxa"/>
        <w:jc w:val="start"/>
        <w:tblInd w:w="0" w:type="dxa"/>
        <w:tblLayout w:type="fixed"/>
        <w:tblCellMar>
          <w:top w:w="100" w:type="dxa"/>
          <w:start w:w="100" w:type="dxa"/>
          <w:bottom w:w="100" w:type="dxa"/>
          <w:end w:w="100" w:type="dxa"/>
        </w:tblCellMar>
      </w:tblPr>
      <w:tblGrid>
        <w:gridCol w:w="600"/>
        <w:gridCol w:w="9306"/>
      </w:tblGrid>
      <w:tr>
        <w:trPr/>
        <w:tc>
          <w:tcPr>
            <w:tcW w:w="600" w:type="dxa"/>
            <w:tcBorders/>
            <w:shd w:fill="C00000" w:val="clear"/>
          </w:tcPr>
          <w:p>
            <w:pPr>
              <w:pStyle w:val="Normal"/>
              <w:spacing w:before="0" w:after="0"/>
              <w:jc w:val="center"/>
              <w:rPr>
                <w:lang w:val="fr-FR"/>
              </w:rPr>
            </w:pPr>
            <w:r>
              <w:rPr>
                <w:rFonts w:eastAsia="Arial" w:cs="Arial"/>
                <w:b/>
                <w:bCs/>
                <w:i w:val="false"/>
                <w:iCs w:val="false"/>
                <w:color w:val="FFFFFF"/>
                <w:sz w:val="26"/>
                <w:szCs w:val="26"/>
                <w:lang w:val="fr-FR"/>
              </w:rPr>
              <w:t>#3</w:t>
            </w:r>
          </w:p>
        </w:tc>
        <w:tc>
          <w:tcPr>
            <w:tcW w:w="9306" w:type="dxa"/>
            <w:tcBorders/>
            <w:shd w:fill="F2F2F2" w:val="clear"/>
            <w:tcMar>
              <w:top w:w="80" w:type="dxa"/>
              <w:start w:w="140" w:type="dxa"/>
              <w:bottom w:w="80" w:type="dxa"/>
            </w:tcMar>
          </w:tcPr>
          <w:p>
            <w:pPr>
              <w:pStyle w:val="Normal"/>
              <w:spacing w:before="0" w:after="60"/>
              <w:jc w:val="start"/>
              <w:rPr>
                <w:lang w:val="fr-FR"/>
              </w:rPr>
            </w:pPr>
            <w:r>
              <w:rPr>
                <w:rFonts w:eastAsia="Arial" w:cs="Arial"/>
                <w:b/>
                <w:bCs/>
                <w:i w:val="false"/>
                <w:iCs w:val="false"/>
                <w:color w:val="C00000"/>
                <w:sz w:val="22"/>
                <w:szCs w:val="22"/>
                <w:lang w:val="fr-FR"/>
              </w:rPr>
              <w:t>T_ACTIONS_PREVUES.EXECUTANT — FK manquante vers la table EXECUTANT</w:t>
            </w:r>
          </w:p>
          <w:p>
            <w:pPr>
              <w:pStyle w:val="Normal"/>
              <w:spacing w:before="0" w:after="60"/>
              <w:jc w:val="start"/>
              <w:rPr>
                <w:lang w:val="fr-FR"/>
              </w:rPr>
            </w:pPr>
            <w:r>
              <w:rPr>
                <w:rFonts w:eastAsia="Arial" w:cs="Arial"/>
                <w:b w:val="false"/>
                <w:bCs w:val="false"/>
                <w:i w:val="false"/>
                <w:iCs w:val="false"/>
                <w:color w:val="1A1A1A"/>
                <w:sz w:val="20"/>
                <w:szCs w:val="20"/>
                <w:lang w:val="fr-FR"/>
              </w:rPr>
              <w:t>La colonne T_ACTIONS_PREVUES.EXECUTANT est de type VARCHAR2(100) sans contrainte FK, malgré l'existence d'une table de référence EXECUTANT dans le schéma. La saisie est libre, ce qui permet des valeurs non standardisées.</w:t>
            </w:r>
          </w:p>
          <w:p>
            <w:pPr>
              <w:pStyle w:val="Normal"/>
              <w:spacing w:before="0" w:after="60"/>
              <w:jc w:val="start"/>
              <w:rPr>
                <w:lang w:val="fr-FR"/>
              </w:rPr>
            </w:pPr>
            <w:r>
              <w:rPr>
                <w:rFonts w:eastAsia="Arial" w:cs="Arial"/>
                <w:b/>
                <w:bCs/>
                <w:i w:val="false"/>
                <w:iCs w:val="false"/>
                <w:color w:val="D35400"/>
                <w:sz w:val="18"/>
                <w:szCs w:val="18"/>
                <w:lang w:val="fr-FR"/>
              </w:rPr>
              <w:t xml:space="preserve">⚠ </w:t>
            </w:r>
            <w:r>
              <w:rPr>
                <w:rFonts w:eastAsia="Arial" w:cs="Arial"/>
                <w:b w:val="false"/>
                <w:bCs w:val="false"/>
                <w:i/>
                <w:iCs/>
                <w:color w:val="1A1A1A"/>
                <w:sz w:val="18"/>
                <w:szCs w:val="18"/>
                <w:lang w:val="fr-FR"/>
              </w:rPr>
              <w:t>"DPE Tanger", "dpe tanger" et "Direction Provinciale" sont acceptés comme trois exécutants distincts, fragmentant les rapports de suivi des actions.</w:t>
            </w:r>
          </w:p>
          <w:p>
            <w:pPr>
              <w:pStyle w:val="Normal"/>
              <w:spacing w:before="0" w:after="0"/>
              <w:jc w:val="start"/>
              <w:rPr>
                <w:lang w:val="fr-FR"/>
              </w:rPr>
            </w:pPr>
            <w:r>
              <w:rPr>
                <w:rFonts w:eastAsia="Arial" w:cs="Arial"/>
                <w:b/>
                <w:bCs/>
                <w:i w:val="false"/>
                <w:iCs w:val="false"/>
                <w:color w:val="1E5631"/>
                <w:sz w:val="18"/>
                <w:szCs w:val="18"/>
                <w:lang w:val="fr-FR"/>
              </w:rPr>
              <w:t xml:space="preserve">✓ </w:t>
            </w:r>
            <w:r>
              <w:rPr>
                <w:rFonts w:eastAsia="Arial" w:cs="Arial"/>
                <w:b w:val="false"/>
                <w:bCs w:val="false"/>
                <w:i w:val="false"/>
                <w:iCs w:val="false"/>
                <w:color w:val="1A1A1A"/>
                <w:sz w:val="18"/>
                <w:szCs w:val="18"/>
                <w:lang w:val="fr-FR"/>
              </w:rPr>
              <w:t>Idéalement : ajouter CODE_EXECUTANT dans EXECUTANT comme PK, stocker ce code dans T_ACTIONS_PREVUES, déclarer la FK. À minima : ajouter une contrainte CHECK ou un trigger de validation.</w:t>
            </w:r>
          </w:p>
        </w:tc>
      </w:tr>
    </w:tbl>
    <w:p>
      <w:pPr>
        <w:pStyle w:val="Normal"/>
        <w:spacing w:before="80" w:after="80"/>
        <w:jc w:val="start"/>
        <w:rPr>
          <w:lang w:val="fr-FR"/>
        </w:rPr>
      </w:pPr>
      <w:r>
        <w:rPr>
          <w:lang w:val="fr-FR"/>
        </w:rPr>
      </w:r>
    </w:p>
    <w:tbl>
      <w:tblPr>
        <w:tblW w:w="9906" w:type="dxa"/>
        <w:jc w:val="start"/>
        <w:tblInd w:w="0" w:type="dxa"/>
        <w:tblLayout w:type="fixed"/>
        <w:tblCellMar>
          <w:top w:w="100" w:type="dxa"/>
          <w:start w:w="100" w:type="dxa"/>
          <w:bottom w:w="100" w:type="dxa"/>
          <w:end w:w="100" w:type="dxa"/>
        </w:tblCellMar>
      </w:tblPr>
      <w:tblGrid>
        <w:gridCol w:w="600"/>
        <w:gridCol w:w="9306"/>
      </w:tblGrid>
      <w:tr>
        <w:trPr/>
        <w:tc>
          <w:tcPr>
            <w:tcW w:w="600" w:type="dxa"/>
            <w:tcBorders/>
            <w:shd w:fill="C00000" w:val="clear"/>
          </w:tcPr>
          <w:p>
            <w:pPr>
              <w:pStyle w:val="Normal"/>
              <w:spacing w:before="0" w:after="0"/>
              <w:jc w:val="center"/>
              <w:rPr>
                <w:lang w:val="fr-FR"/>
              </w:rPr>
            </w:pPr>
            <w:r>
              <w:rPr>
                <w:rFonts w:eastAsia="Arial" w:cs="Arial"/>
                <w:b/>
                <w:bCs/>
                <w:i w:val="false"/>
                <w:iCs w:val="false"/>
                <w:color w:val="FFFFFF"/>
                <w:sz w:val="26"/>
                <w:szCs w:val="26"/>
                <w:lang w:val="fr-FR"/>
              </w:rPr>
              <w:t>#4</w:t>
            </w:r>
          </w:p>
        </w:tc>
        <w:tc>
          <w:tcPr>
            <w:tcW w:w="9306" w:type="dxa"/>
            <w:tcBorders/>
            <w:shd w:fill="F2F2F2" w:val="clear"/>
            <w:tcMar>
              <w:top w:w="80" w:type="dxa"/>
              <w:start w:w="140" w:type="dxa"/>
              <w:bottom w:w="80" w:type="dxa"/>
            </w:tcMar>
          </w:tcPr>
          <w:p>
            <w:pPr>
              <w:pStyle w:val="Normal"/>
              <w:spacing w:before="0" w:after="60"/>
              <w:jc w:val="start"/>
              <w:rPr>
                <w:lang w:val="fr-FR"/>
              </w:rPr>
            </w:pPr>
            <w:r>
              <w:rPr>
                <w:rFonts w:eastAsia="Arial" w:cs="Arial"/>
                <w:b/>
                <w:bCs/>
                <w:i w:val="false"/>
                <w:iCs w:val="false"/>
                <w:color w:val="C00000"/>
                <w:sz w:val="22"/>
                <w:szCs w:val="22"/>
                <w:lang w:val="fr-FR"/>
              </w:rPr>
              <w:t>T_SYNTHESE_OA.EVOLUTION_MANIFESTE — FK manquante vers les tables de référence</w:t>
            </w:r>
          </w:p>
          <w:p>
            <w:pPr>
              <w:pStyle w:val="Normal"/>
              <w:spacing w:before="0" w:after="60"/>
              <w:jc w:val="start"/>
              <w:rPr>
                <w:lang w:val="fr-FR"/>
              </w:rPr>
            </w:pPr>
            <w:r>
              <w:rPr>
                <w:rFonts w:eastAsia="Arial" w:cs="Arial"/>
                <w:b w:val="false"/>
                <w:bCs w:val="false"/>
                <w:i w:val="false"/>
                <w:iCs w:val="false"/>
                <w:color w:val="1A1A1A"/>
                <w:sz w:val="20"/>
                <w:szCs w:val="20"/>
                <w:lang w:val="fr-FR"/>
              </w:rPr>
              <w:t>La colonne T_SYNTHESE_OA.EVOLUTION_MANIFESTE est de type VARCHAR2(500) texte libre sans FK, malgré l'existence de deux tables EVOLUTION_MANIF et EVOLUTION_MANIF_NE. Ces tables semblent orphelines. Il est également peu clair laquelle devrait être utilisée.</w:t>
            </w:r>
          </w:p>
          <w:p>
            <w:pPr>
              <w:pStyle w:val="Normal"/>
              <w:spacing w:before="0" w:after="60"/>
              <w:jc w:val="start"/>
              <w:rPr>
                <w:lang w:val="fr-FR"/>
              </w:rPr>
            </w:pPr>
            <w:r>
              <w:rPr>
                <w:rFonts w:eastAsia="Arial" w:cs="Arial"/>
                <w:b/>
                <w:bCs/>
                <w:i w:val="false"/>
                <w:iCs w:val="false"/>
                <w:color w:val="D35400"/>
                <w:sz w:val="18"/>
                <w:szCs w:val="18"/>
                <w:lang w:val="fr-FR"/>
              </w:rPr>
              <w:t xml:space="preserve">⚠ </w:t>
            </w:r>
            <w:r>
              <w:rPr>
                <w:rFonts w:eastAsia="Arial" w:cs="Arial"/>
                <w:b w:val="false"/>
                <w:bCs w:val="false"/>
                <w:i/>
                <w:iCs/>
                <w:color w:val="1A1A1A"/>
                <w:sz w:val="18"/>
                <w:szCs w:val="18"/>
                <w:lang w:val="fr-FR"/>
              </w:rPr>
              <w:t>"Dégradation rapide", "degradation rapide" et "Dégradation très rapide" sont tous acceptés. Les requêtes nationales de suivi de dégradation produisent des résultats fragmentés.</w:t>
            </w:r>
          </w:p>
          <w:p>
            <w:pPr>
              <w:pStyle w:val="Normal"/>
              <w:spacing w:before="0" w:after="0"/>
              <w:jc w:val="start"/>
              <w:rPr>
                <w:lang w:val="fr-FR"/>
              </w:rPr>
            </w:pPr>
            <w:r>
              <w:rPr>
                <w:rFonts w:eastAsia="Arial" w:cs="Arial"/>
                <w:b/>
                <w:bCs/>
                <w:i w:val="false"/>
                <w:iCs w:val="false"/>
                <w:color w:val="1E5631"/>
                <w:sz w:val="18"/>
                <w:szCs w:val="18"/>
                <w:lang w:val="fr-FR"/>
              </w:rPr>
              <w:t xml:space="preserve">✓ </w:t>
            </w:r>
            <w:r>
              <w:rPr>
                <w:rFonts w:eastAsia="Arial" w:cs="Arial"/>
                <w:b w:val="false"/>
                <w:bCs w:val="false"/>
                <w:i w:val="false"/>
                <w:iCs w:val="false"/>
                <w:color w:val="1A1A1A"/>
                <w:sz w:val="18"/>
                <w:szCs w:val="18"/>
                <w:lang w:val="fr-FR"/>
              </w:rPr>
              <w:t>Clarifier l'usage de EVOLUTION_MANIF vs EVOLUTION_MANIF_NE, fusionner si nécessaire, ajouter une colonne CODE, modifier EVOLUTION_MANIFESTE pour stocker ce code, et déclarer la FK.</w:t>
            </w:r>
          </w:p>
        </w:tc>
      </w:tr>
    </w:tbl>
    <w:p>
      <w:pPr>
        <w:pStyle w:val="Normal"/>
        <w:spacing w:before="80" w:after="80"/>
        <w:jc w:val="start"/>
        <w:rPr>
          <w:lang w:val="fr-FR"/>
        </w:rPr>
      </w:pPr>
      <w:r>
        <w:rPr>
          <w:lang w:val="fr-FR"/>
        </w:rPr>
      </w:r>
    </w:p>
    <w:p>
      <w:pPr>
        <w:pStyle w:val="Normal"/>
        <w:spacing w:before="80" w:after="80"/>
        <w:jc w:val="start"/>
        <w:rPr>
          <w:lang w:val="fr-FR"/>
        </w:rPr>
      </w:pPr>
      <w:r>
        <w:rPr>
          <w:lang w:val="fr-FR"/>
        </w:rPr>
      </w:r>
    </w:p>
    <w:p>
      <w:pPr>
        <w:pStyle w:val="Heading1"/>
        <w:pBdr>
          <w:bottom w:val="single" w:sz="4" w:space="1" w:color="2E75B6"/>
        </w:pBdr>
        <w:shd w:val="clear" w:fill="1F4E79"/>
        <w:spacing w:before="360" w:after="180"/>
        <w:ind w:start="200"/>
        <w:rPr>
          <w:lang w:val="fr-FR"/>
        </w:rPr>
      </w:pPr>
      <w:bookmarkStart w:id="15" w:name="__RefHeading___Toc2565_1145092829"/>
      <w:bookmarkEnd w:id="15"/>
      <w:r>
        <w:rPr>
          <w:rFonts w:eastAsia="Arial" w:cs="Arial" w:ascii="Arial" w:hAnsi="Arial"/>
          <w:b/>
          <w:bCs/>
          <w:i w:val="false"/>
          <w:iCs w:val="false"/>
          <w:color w:val="FFFFFF"/>
          <w:sz w:val="28"/>
          <w:szCs w:val="28"/>
          <w:lang w:val="fr-FR"/>
        </w:rPr>
        <w:t>5. Points Non Résolus</w:t>
      </w:r>
    </w:p>
    <w:p>
      <w:pPr>
        <w:pStyle w:val="Normal"/>
        <w:spacing w:before="80" w:after="120"/>
        <w:jc w:val="start"/>
        <w:rPr>
          <w:lang w:val="fr-FR"/>
        </w:rPr>
      </w:pPr>
      <w:r>
        <w:rPr>
          <w:rFonts w:eastAsia="Arial" w:cs="Arial"/>
          <w:b w:val="false"/>
          <w:bCs w:val="false"/>
          <w:i w:val="false"/>
          <w:iCs w:val="false"/>
          <w:color w:val="1A1A1A"/>
          <w:sz w:val="20"/>
          <w:szCs w:val="20"/>
          <w:lang w:val="fr-FR"/>
        </w:rPr>
        <w:t>Les points suivants ont été identifiés lors du mapping mais ne peuvent pas être résolus sans information complémentaire du client.</w:t>
      </w:r>
    </w:p>
    <w:p>
      <w:pPr>
        <w:pStyle w:val="Heading2"/>
        <w:pBdr>
          <w:bottom w:val="single" w:sz="2" w:space="1" w:color="BDD7EE"/>
        </w:pBdr>
        <w:spacing w:before="200" w:after="100"/>
        <w:rPr>
          <w:lang w:val="fr-FR"/>
        </w:rPr>
      </w:pPr>
      <w:bookmarkStart w:id="16" w:name="__RefHeading___Toc2567_1145092829"/>
      <w:bookmarkEnd w:id="16"/>
      <w:r>
        <w:rPr>
          <w:rFonts w:eastAsia="Arial" w:cs="Arial" w:ascii="Arial" w:hAnsi="Arial"/>
          <w:b/>
          <w:bCs/>
          <w:i w:val="false"/>
          <w:iCs w:val="false"/>
          <w:color w:val="2E75B6"/>
          <w:sz w:val="22"/>
          <w:szCs w:val="22"/>
          <w:lang w:val="fr-FR"/>
        </w:rPr>
        <w:t>5.1 Onglet "Corps du Radier" — absent de la documentation fournie</w:t>
      </w:r>
    </w:p>
    <w:p>
      <w:pPr>
        <w:pStyle w:val="Normal"/>
        <w:spacing w:before="60" w:after="80"/>
        <w:jc w:val="start"/>
        <w:rPr>
          <w:lang w:val="fr-FR"/>
        </w:rPr>
      </w:pPr>
      <w:r>
        <w:rPr>
          <w:rFonts w:eastAsia="Arial" w:cs="Arial"/>
          <w:b w:val="false"/>
          <w:bCs w:val="false"/>
          <w:i w:val="false"/>
          <w:iCs w:val="false"/>
          <w:color w:val="1A1A1A"/>
          <w:sz w:val="20"/>
          <w:szCs w:val="20"/>
          <w:lang w:val="fr-FR"/>
        </w:rPr>
        <w:t>La documentation fournie ne contient pas l'onglet "Corps du Radier" visible dans l'interface réelle. Les colonnes et tables correspondantes ont été identifiées dans le schéma :</w:t>
      </w:r>
    </w:p>
    <w:tbl>
      <w:tblPr>
        <w:tblW w:w="9906" w:type="dxa"/>
        <w:jc w:val="start"/>
        <w:tblInd w:w="0" w:type="dxa"/>
        <w:tblLayout w:type="fixed"/>
        <w:tblCellMar>
          <w:top w:w="80" w:type="dxa"/>
          <w:start w:w="100" w:type="dxa"/>
          <w:bottom w:w="80" w:type="dxa"/>
          <w:end w:w="100" w:type="dxa"/>
        </w:tblCellMar>
      </w:tblPr>
      <w:tblGrid>
        <w:gridCol w:w="3302"/>
        <w:gridCol w:w="3302"/>
        <w:gridCol w:w="3302"/>
      </w:tblGrid>
      <w:tr>
        <w:trPr/>
        <w:tc>
          <w:tcPr>
            <w:tcW w:w="3302" w:type="dxa"/>
            <w:tcBorders>
              <w:top w:val="single" w:sz="2" w:space="0" w:color="BDD7EE"/>
              <w:start w:val="single" w:sz="2" w:space="0" w:color="BDD7EE"/>
              <w:bottom w:val="single" w:sz="2" w:space="0" w:color="BDD7EE"/>
              <w:end w:val="single" w:sz="2" w:space="0" w:color="BDD7EE"/>
            </w:tcBorders>
            <w:shd w:fill="1F4E79" w:val="clear"/>
            <w:vAlign w:val="center"/>
          </w:tcPr>
          <w:p>
            <w:pPr>
              <w:pStyle w:val="Normal"/>
              <w:spacing w:before="0" w:after="0"/>
              <w:jc w:val="start"/>
              <w:rPr>
                <w:lang w:val="fr-FR"/>
              </w:rPr>
            </w:pPr>
            <w:r>
              <w:rPr>
                <w:rFonts w:eastAsia="Arial" w:cs="Arial"/>
                <w:b/>
                <w:bCs/>
                <w:i w:val="false"/>
                <w:iCs w:val="false"/>
                <w:color w:val="FFFFFF"/>
                <w:sz w:val="18"/>
                <w:szCs w:val="18"/>
                <w:lang w:val="fr-FR"/>
              </w:rPr>
              <w:t>Champ</w:t>
            </w:r>
          </w:p>
        </w:tc>
        <w:tc>
          <w:tcPr>
            <w:tcW w:w="3302" w:type="dxa"/>
            <w:tcBorders>
              <w:top w:val="single" w:sz="2" w:space="0" w:color="BDD7EE"/>
              <w:start w:val="single" w:sz="2" w:space="0" w:color="BDD7EE"/>
              <w:bottom w:val="single" w:sz="2" w:space="0" w:color="BDD7EE"/>
            </w:tcBorders>
            <w:shd w:fill="1F4E79" w:val="clear"/>
            <w:vAlign w:val="center"/>
          </w:tcPr>
          <w:p>
            <w:pPr>
              <w:pStyle w:val="Normal"/>
              <w:spacing w:before="0" w:after="0"/>
              <w:jc w:val="start"/>
              <w:rPr>
                <w:lang w:val="fr-FR"/>
              </w:rPr>
            </w:pPr>
            <w:r>
              <w:rPr>
                <w:rFonts w:eastAsia="Arial" w:cs="Arial"/>
                <w:b/>
                <w:bCs/>
                <w:i w:val="false"/>
                <w:iCs w:val="false"/>
                <w:color w:val="FFFFFF"/>
                <w:sz w:val="18"/>
                <w:szCs w:val="18"/>
                <w:lang w:val="fr-FR"/>
              </w:rPr>
              <w:t>Table.Colonne</w:t>
            </w:r>
          </w:p>
        </w:tc>
        <w:tc>
          <w:tcPr>
            <w:tcW w:w="3302" w:type="dxa"/>
            <w:tcBorders>
              <w:top w:val="single" w:sz="2" w:space="0" w:color="BDD7EE"/>
              <w:start w:val="single" w:sz="2" w:space="0" w:color="BDD7EE"/>
              <w:bottom w:val="single" w:sz="2" w:space="0" w:color="BDD7EE"/>
              <w:end w:val="single" w:sz="2" w:space="0" w:color="BDD7EE"/>
            </w:tcBorders>
            <w:shd w:fill="1F4E79" w:val="clear"/>
            <w:vAlign w:val="center"/>
          </w:tcPr>
          <w:p>
            <w:pPr>
              <w:pStyle w:val="Normal"/>
              <w:widowControl/>
              <w:bidi w:val="0"/>
              <w:spacing w:before="0" w:after="0"/>
              <w:jc w:val="start"/>
              <w:rPr>
                <w:rFonts w:ascii="Arial" w:hAnsi="Arial" w:eastAsia="Arial" w:cs="Arial"/>
                <w:b/>
                <w:bCs/>
                <w:i w:val="false"/>
                <w:iCs w:val="false"/>
                <w:color w:val="FFFFFF"/>
                <w:sz w:val="18"/>
                <w:szCs w:val="18"/>
                <w:lang w:val="fr-FR"/>
              </w:rPr>
            </w:pPr>
            <w:r>
              <w:rPr>
                <w:rFonts w:eastAsia="Arial" w:cs="Arial"/>
                <w:b/>
                <w:bCs/>
                <w:i w:val="false"/>
                <w:iCs w:val="false"/>
                <w:color w:val="FFFFFF"/>
                <w:sz w:val="18"/>
                <w:szCs w:val="18"/>
                <w:lang w:val="fr-FR"/>
              </w:rPr>
              <w:t>Type</w:t>
            </w:r>
          </w:p>
        </w:tc>
      </w:tr>
      <w:tr>
        <w:trPr/>
        <w:tc>
          <w:tcPr>
            <w:tcW w:w="3302"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spacing w:before="0" w:after="0"/>
              <w:jc w:val="start"/>
              <w:rPr>
                <w:lang w:val="fr-FR"/>
              </w:rPr>
            </w:pPr>
            <w:r>
              <w:rPr>
                <w:rFonts w:eastAsia="Arial" w:cs="Arial"/>
                <w:b w:val="false"/>
                <w:bCs w:val="false"/>
                <w:i w:val="false"/>
                <w:iCs w:val="false"/>
                <w:color w:val="1A1A1A"/>
                <w:sz w:val="18"/>
                <w:szCs w:val="18"/>
                <w:lang w:val="fr-FR"/>
              </w:rPr>
              <w:t>Matériaux ouvrage</w:t>
            </w:r>
          </w:p>
        </w:tc>
        <w:tc>
          <w:tcPr>
            <w:tcW w:w="3302" w:type="dxa"/>
            <w:tcBorders>
              <w:top w:val="single" w:sz="2" w:space="0" w:color="BDD7EE"/>
              <w:start w:val="single" w:sz="2" w:space="0" w:color="BDD7EE"/>
              <w:bottom w:val="single" w:sz="2" w:space="0" w:color="BDD7EE"/>
            </w:tcBorders>
            <w:shd w:fill="FFFFFF" w:val="clear"/>
            <w:tcMar>
              <w:top w:w="60" w:type="dxa"/>
              <w:bottom w:w="60" w:type="dxa"/>
            </w:tcMar>
          </w:tcPr>
          <w:p>
            <w:pPr>
              <w:pStyle w:val="Normal"/>
              <w:spacing w:before="0" w:after="0"/>
              <w:jc w:val="start"/>
              <w:rPr>
                <w:lang w:val="fr-FR"/>
              </w:rPr>
            </w:pPr>
            <w:r>
              <w:rPr>
                <w:rFonts w:eastAsia="Arial" w:cs="Arial"/>
                <w:b w:val="false"/>
                <w:bCs w:val="false"/>
                <w:i w:val="false"/>
                <w:iCs w:val="false"/>
                <w:color w:val="1E5631"/>
                <w:sz w:val="16"/>
                <w:szCs w:val="16"/>
                <w:lang w:val="fr-FR"/>
              </w:rPr>
              <w:t>OARG.CODE_RAD_PROTECT → RADIER_PROTECTION.CODE_RAD_PROTECT</w:t>
            </w:r>
          </w:p>
        </w:tc>
        <w:tc>
          <w:tcPr>
            <w:tcW w:w="3302" w:type="dxa"/>
            <w:tcBorders>
              <w:top w:val="single" w:sz="2" w:space="0" w:color="BDD7EE"/>
              <w:start w:val="single" w:sz="2" w:space="0" w:color="BDD7EE"/>
              <w:bottom w:val="single" w:sz="2" w:space="0" w:color="BDD7EE"/>
              <w:end w:val="single" w:sz="2" w:space="0" w:color="BDD7EE"/>
            </w:tcBorders>
            <w:shd w:fill="FFFFFF" w:val="clear"/>
            <w:tcMar>
              <w:top w:w="60" w:type="dxa"/>
              <w:bottom w:w="60" w:type="dxa"/>
            </w:tcMar>
          </w:tcPr>
          <w:p>
            <w:pPr>
              <w:pStyle w:val="Normal"/>
              <w:widowControl/>
              <w:bidi w:val="0"/>
              <w:spacing w:before="0" w:after="0"/>
              <w:jc w:val="start"/>
              <w:rPr>
                <w:rFonts w:ascii="Arial" w:hAnsi="Arial" w:eastAsia="Arial" w:cs="Arial"/>
                <w:b w:val="false"/>
                <w:bCs w:val="false"/>
                <w:i w:val="false"/>
                <w:iCs w:val="false"/>
                <w:color w:val="1A1A1A"/>
                <w:sz w:val="18"/>
                <w:szCs w:val="18"/>
                <w:lang w:val="fr-FR"/>
              </w:rPr>
            </w:pPr>
            <w:r>
              <w:rPr>
                <w:rFonts w:eastAsia="Arial" w:cs="Arial"/>
                <w:b w:val="false"/>
                <w:bCs w:val="false"/>
                <w:i w:val="false"/>
                <w:iCs w:val="false"/>
                <w:color w:val="1A1A1A"/>
                <w:sz w:val="18"/>
                <w:szCs w:val="18"/>
                <w:lang w:val="fr-FR"/>
              </w:rPr>
              <w:t>VARCHAR2(4 BYTE)</w:t>
            </w:r>
          </w:p>
        </w:tc>
      </w:tr>
      <w:tr>
        <w:trPr/>
        <w:tc>
          <w:tcPr>
            <w:tcW w:w="3302"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spacing w:before="0" w:after="0"/>
              <w:jc w:val="start"/>
              <w:rPr>
                <w:lang w:val="fr-FR"/>
              </w:rPr>
            </w:pPr>
            <w:r>
              <w:rPr>
                <w:rFonts w:eastAsia="Arial" w:cs="Arial"/>
                <w:b w:val="false"/>
                <w:bCs w:val="false"/>
                <w:i w:val="false"/>
                <w:iCs w:val="false"/>
                <w:color w:val="1A1A1A"/>
                <w:sz w:val="18"/>
                <w:szCs w:val="18"/>
                <w:lang w:val="fr-FR"/>
              </w:rPr>
              <w:t>Protection</w:t>
            </w:r>
          </w:p>
        </w:tc>
        <w:tc>
          <w:tcPr>
            <w:tcW w:w="3302" w:type="dxa"/>
            <w:tcBorders>
              <w:top w:val="single" w:sz="2" w:space="0" w:color="BDD7EE"/>
              <w:start w:val="single" w:sz="2" w:space="0" w:color="BDD7EE"/>
              <w:bottom w:val="single" w:sz="2" w:space="0" w:color="BDD7EE"/>
            </w:tcBorders>
            <w:shd w:fill="EBF3FB" w:val="clear"/>
            <w:tcMar>
              <w:top w:w="60" w:type="dxa"/>
              <w:bottom w:w="60" w:type="dxa"/>
            </w:tcMar>
          </w:tcPr>
          <w:p>
            <w:pPr>
              <w:pStyle w:val="Normal"/>
              <w:spacing w:before="0" w:after="0"/>
              <w:jc w:val="start"/>
              <w:rPr>
                <w:lang w:val="fr-FR"/>
              </w:rPr>
            </w:pPr>
            <w:r>
              <w:rPr>
                <w:rFonts w:eastAsia="Arial" w:cs="Arial"/>
                <w:b w:val="false"/>
                <w:bCs w:val="false"/>
                <w:i w:val="false"/>
                <w:iCs w:val="false"/>
                <w:color w:val="1E5631"/>
                <w:sz w:val="16"/>
                <w:szCs w:val="16"/>
                <w:lang w:val="fr-FR"/>
              </w:rPr>
              <w:t>OARG.CODE_MS_FONDAT → MS_FONDATION_TYPE.CODE_MS_FONDAT</w:t>
            </w:r>
          </w:p>
        </w:tc>
        <w:tc>
          <w:tcPr>
            <w:tcW w:w="3302" w:type="dxa"/>
            <w:tcBorders>
              <w:top w:val="single" w:sz="2" w:space="0" w:color="BDD7EE"/>
              <w:start w:val="single" w:sz="2" w:space="0" w:color="BDD7EE"/>
              <w:bottom w:val="single" w:sz="2" w:space="0" w:color="BDD7EE"/>
              <w:end w:val="single" w:sz="2" w:space="0" w:color="BDD7EE"/>
            </w:tcBorders>
            <w:shd w:fill="EBF3FB" w:val="clear"/>
            <w:tcMar>
              <w:top w:w="60" w:type="dxa"/>
              <w:bottom w:w="60" w:type="dxa"/>
            </w:tcMar>
          </w:tcPr>
          <w:p>
            <w:pPr>
              <w:pStyle w:val="Normal"/>
              <w:widowControl/>
              <w:bidi w:val="0"/>
              <w:spacing w:before="0" w:after="0"/>
              <w:jc w:val="start"/>
              <w:rPr>
                <w:rFonts w:ascii="Arial" w:hAnsi="Arial" w:eastAsia="Arial" w:cs="Arial"/>
                <w:b w:val="false"/>
                <w:bCs w:val="false"/>
                <w:i w:val="false"/>
                <w:iCs w:val="false"/>
                <w:color w:val="1A1A1A"/>
                <w:sz w:val="18"/>
                <w:szCs w:val="18"/>
                <w:lang w:val="fr-FR"/>
              </w:rPr>
            </w:pPr>
            <w:r>
              <w:rPr>
                <w:rFonts w:eastAsia="Arial" w:cs="Arial"/>
                <w:b w:val="false"/>
                <w:bCs w:val="false"/>
                <w:i w:val="false"/>
                <w:iCs w:val="false"/>
                <w:color w:val="1A1A1A"/>
                <w:sz w:val="18"/>
                <w:szCs w:val="18"/>
                <w:lang w:val="fr-FR"/>
              </w:rPr>
              <w:t>VARCHAR2(4 BYTE)</w:t>
            </w:r>
          </w:p>
        </w:tc>
      </w:tr>
    </w:tbl>
    <w:p>
      <w:pPr>
        <w:pStyle w:val="Normal"/>
        <w:spacing w:before="80" w:after="120"/>
        <w:jc w:val="start"/>
        <w:rPr>
          <w:lang w:val="fr-FR"/>
        </w:rPr>
      </w:pPr>
      <w:r>
        <w:rPr>
          <w:rFonts w:eastAsia="Arial" w:cs="Arial"/>
          <w:b w:val="false"/>
          <w:bCs w:val="false"/>
          <w:i/>
          <w:iCs/>
          <w:color w:val="555555"/>
          <w:sz w:val="18"/>
          <w:szCs w:val="18"/>
          <w:lang w:val="fr-FR"/>
        </w:rPr>
        <w:t>Ces champs devront être mappés une fois la documentation complète disponible.</w:t>
      </w:r>
    </w:p>
    <w:p>
      <w:pPr>
        <w:pStyle w:val="Heading2"/>
        <w:pBdr>
          <w:bottom w:val="single" w:sz="2" w:space="1" w:color="BDD7EE"/>
        </w:pBdr>
        <w:spacing w:before="200" w:after="100"/>
        <w:rPr>
          <w:lang w:val="fr-FR"/>
        </w:rPr>
      </w:pPr>
      <w:bookmarkStart w:id="17" w:name="__RefHeading___Toc2569_1145092829"/>
      <w:bookmarkEnd w:id="17"/>
      <w:r>
        <w:rPr>
          <w:rFonts w:eastAsia="Arial" w:cs="Arial" w:ascii="Arial" w:hAnsi="Arial"/>
          <w:b/>
          <w:bCs/>
          <w:i w:val="false"/>
          <w:iCs w:val="false"/>
          <w:color w:val="2E75B6"/>
          <w:sz w:val="22"/>
          <w:szCs w:val="22"/>
          <w:lang w:val="fr-FR"/>
        </w:rPr>
        <w:t>5.2 Tables EXECUTANT et EVOLUTION_MANIF — usage non confirmé</w:t>
      </w:r>
    </w:p>
    <w:p>
      <w:pPr>
        <w:pStyle w:val="Normal"/>
        <w:spacing w:before="60" w:after="160"/>
        <w:jc w:val="start"/>
        <w:rPr>
          <w:lang w:val="fr-FR"/>
        </w:rPr>
      </w:pPr>
      <w:r>
        <w:rPr>
          <w:rFonts w:eastAsia="Arial" w:cs="Arial"/>
          <w:b w:val="false"/>
          <w:bCs w:val="false"/>
          <w:i w:val="false"/>
          <w:iCs w:val="false"/>
          <w:color w:val="1A1A1A"/>
          <w:sz w:val="20"/>
          <w:szCs w:val="20"/>
          <w:lang w:val="fr-FR"/>
        </w:rPr>
        <w:t>Les tables EXECUTANT, EVOLUTION_MANIF et EVOLUTION_MANIF_NE existent dans le schéma mais ne sont liées par aucune FK aux tables qui les utilisent. Il est recommandé de vérifier si ces tables sont peuplées dans le système existant et si l'application les utilise effectivement comme source des listes déroulantes correspondantes.</w:t>
      </w:r>
    </w:p>
    <w:p>
      <w:pPr>
        <w:pStyle w:val="Heading1"/>
        <w:pBdr>
          <w:bottom w:val="single" w:sz="4" w:space="1" w:color="2E75B6"/>
        </w:pBdr>
        <w:shd w:val="clear" w:fill="1F4E79"/>
        <w:spacing w:before="360" w:after="180"/>
        <w:ind w:start="200"/>
        <w:rPr>
          <w:lang w:val="fr-FR"/>
        </w:rPr>
      </w:pPr>
      <w:bookmarkStart w:id="18" w:name="__RefHeading___Toc2571_1145092829"/>
      <w:bookmarkEnd w:id="18"/>
      <w:r>
        <w:rPr>
          <w:rFonts w:eastAsia="Arial" w:cs="Arial" w:ascii="Arial" w:hAnsi="Arial"/>
          <w:b/>
          <w:bCs/>
          <w:i w:val="false"/>
          <w:iCs w:val="false"/>
          <w:color w:val="FFFFFF"/>
          <w:sz w:val="28"/>
          <w:szCs w:val="28"/>
          <w:lang w:val="fr-FR"/>
        </w:rPr>
        <w:t>6. Conclusion</w:t>
      </w:r>
    </w:p>
    <w:p>
      <w:pPr>
        <w:pStyle w:val="Normal"/>
        <w:spacing w:before="80" w:after="80"/>
        <w:jc w:val="start"/>
        <w:rPr>
          <w:lang w:val="fr-FR"/>
        </w:rPr>
      </w:pPr>
      <w:r>
        <w:rPr>
          <w:rFonts w:eastAsia="Arial" w:cs="Arial"/>
          <w:b w:val="false"/>
          <w:bCs w:val="false"/>
          <w:i w:val="false"/>
          <w:iCs w:val="false"/>
          <w:color w:val="1A1A1A"/>
          <w:sz w:val="20"/>
          <w:szCs w:val="20"/>
          <w:lang w:val="fr-FR"/>
        </w:rPr>
        <w:t>Le mapping complet des 137 champs du tableau de bord SGOAM vers la base de données SGOAM2 a été réalisé et documenté dans ce rapport. Les principales conclusions sont :</w:t>
      </w:r>
    </w:p>
    <w:p>
      <w:pPr>
        <w:pStyle w:val="Normal"/>
        <w:spacing w:before="20" w:after="20"/>
        <w:ind w:start="360"/>
        <w:jc w:val="start"/>
        <w:rPr>
          <w:lang w:val="fr-FR"/>
        </w:rPr>
      </w:pPr>
      <w:r>
        <w:rPr>
          <w:rFonts w:eastAsia="Arial" w:cs="Arial"/>
          <w:b w:val="false"/>
          <w:bCs w:val="false"/>
          <w:i w:val="false"/>
          <w:iCs w:val="false"/>
          <w:color w:val="1A1A1A"/>
          <w:sz w:val="22"/>
          <w:szCs w:val="22"/>
          <w:lang w:val="fr-FR"/>
        </w:rPr>
        <w:t xml:space="preserve">• </w:t>
      </w:r>
      <w:r>
        <w:rPr>
          <w:rFonts w:eastAsia="Arial" w:cs="Arial"/>
          <w:b w:val="false"/>
          <w:bCs w:val="false"/>
          <w:i w:val="false"/>
          <w:iCs w:val="false"/>
          <w:color w:val="1A1A1A"/>
          <w:sz w:val="22"/>
          <w:szCs w:val="22"/>
          <w:lang w:val="fr-FR"/>
        </w:rPr>
        <w:t>137 champs couvrant 3 écrans ont été mappés vers plus de 40 tables de la base SGOAM2.</w:t>
      </w:r>
    </w:p>
    <w:p>
      <w:pPr>
        <w:pStyle w:val="Normal"/>
        <w:spacing w:before="20" w:after="20"/>
        <w:ind w:start="360"/>
        <w:jc w:val="start"/>
        <w:rPr>
          <w:lang w:val="fr-FR"/>
        </w:rPr>
      </w:pPr>
      <w:r>
        <w:rPr>
          <w:rFonts w:eastAsia="Arial" w:cs="Arial"/>
          <w:b w:val="false"/>
          <w:bCs w:val="false"/>
          <w:i w:val="false"/>
          <w:iCs w:val="false"/>
          <w:color w:val="1A1A1A"/>
          <w:sz w:val="22"/>
          <w:szCs w:val="22"/>
          <w:lang w:val="fr-FR"/>
        </w:rPr>
        <w:t xml:space="preserve">• </w:t>
      </w:r>
      <w:r>
        <w:rPr>
          <w:rFonts w:eastAsia="Arial" w:cs="Arial"/>
          <w:b w:val="false"/>
          <w:bCs w:val="false"/>
          <w:i w:val="false"/>
          <w:iCs w:val="false"/>
          <w:color w:val="1A1A1A"/>
          <w:sz w:val="22"/>
          <w:szCs w:val="22"/>
          <w:lang w:val="fr-FR"/>
        </w:rPr>
        <w:t>4 anomalies de schéma ont été identifiées et documentées avec recommandations de correction.</w:t>
      </w:r>
    </w:p>
    <w:p>
      <w:pPr>
        <w:pStyle w:val="Normal"/>
        <w:spacing w:before="20" w:after="20"/>
        <w:ind w:start="360"/>
        <w:jc w:val="start"/>
        <w:rPr>
          <w:lang w:val="fr-FR"/>
        </w:rPr>
      </w:pPr>
      <w:r>
        <w:rPr>
          <w:rFonts w:eastAsia="Arial" w:cs="Arial"/>
          <w:b w:val="false"/>
          <w:bCs w:val="false"/>
          <w:i w:val="false"/>
          <w:iCs w:val="false"/>
          <w:color w:val="1A1A1A"/>
          <w:sz w:val="22"/>
          <w:szCs w:val="22"/>
          <w:lang w:val="fr-FR"/>
        </w:rPr>
        <w:t xml:space="preserve">• </w:t>
      </w:r>
      <w:r>
        <w:rPr>
          <w:rFonts w:eastAsia="Arial" w:cs="Arial"/>
          <w:b w:val="false"/>
          <w:bCs w:val="false"/>
          <w:i w:val="false"/>
          <w:iCs w:val="false"/>
          <w:color w:val="1A1A1A"/>
          <w:sz w:val="22"/>
          <w:szCs w:val="22"/>
          <w:lang w:val="fr-FR"/>
        </w:rPr>
        <w:t>3 points non résolus nécessitent une confirmation du client avant finalisation.</w:t>
      </w:r>
    </w:p>
    <w:p>
      <w:pPr>
        <w:pStyle w:val="Normal"/>
        <w:spacing w:before="20" w:after="80"/>
        <w:ind w:start="360"/>
        <w:jc w:val="start"/>
        <w:rPr>
          <w:lang w:val="fr-FR"/>
        </w:rPr>
      </w:pPr>
      <w:r>
        <w:rPr>
          <w:rFonts w:eastAsia="Arial" w:cs="Arial"/>
          <w:b w:val="false"/>
          <w:bCs w:val="false"/>
          <w:i w:val="false"/>
          <w:iCs w:val="false"/>
          <w:color w:val="1A1A1A"/>
          <w:sz w:val="22"/>
          <w:szCs w:val="22"/>
          <w:lang w:val="fr-FR"/>
        </w:rPr>
        <w:t xml:space="preserve">• </w:t>
      </w:r>
      <w:r>
        <w:rPr>
          <w:rFonts w:eastAsia="Arial" w:cs="Arial"/>
          <w:b w:val="false"/>
          <w:bCs w:val="false"/>
          <w:i w:val="false"/>
          <w:iCs w:val="false"/>
          <w:color w:val="1A1A1A"/>
          <w:sz w:val="22"/>
          <w:szCs w:val="22"/>
          <w:lang w:val="fr-FR"/>
        </w:rPr>
        <w:t>L'ordre d'insertion pour la migration a été documenté dans les notes de chaque champ concerné.</w:t>
      </w:r>
    </w:p>
    <w:p>
      <w:pPr>
        <w:pStyle w:val="Normal"/>
        <w:spacing w:before="60" w:after="0"/>
        <w:jc w:val="start"/>
        <w:rPr>
          <w:lang w:val="fr-FR"/>
        </w:rPr>
      </w:pPr>
      <w:r>
        <w:rPr>
          <w:rFonts w:eastAsia="Arial" w:cs="Arial"/>
          <w:b w:val="false"/>
          <w:bCs w:val="false"/>
          <w:i w:val="false"/>
          <w:iCs w:val="false"/>
          <w:color w:val="1A1A1A"/>
          <w:sz w:val="20"/>
          <w:szCs w:val="20"/>
          <w:lang w:val="fr-FR"/>
        </w:rPr>
        <w:t>Ce document constitue la référence technique pour l'équipe de migration. Toute modification du schéma ou du dashboard devra être reflétée dans une mise à jour de ce rapport.</w:t>
      </w:r>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000" w:right="1000" w:gutter="0" w:header="708" w:top="1000" w:footer="708"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fr-FR"/>
      </w:rPr>
    </w:pPr>
    <w:r>
      <w:rPr>
        <w:lang w:val="fr-F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1" w:color="2E75B6"/>
      </w:pBdr>
      <w:spacing w:before="0" w:after="0"/>
      <w:jc w:val="end"/>
      <w:rPr>
        <w:lang w:val="fr-FR"/>
      </w:rPr>
    </w:pPr>
    <w:r>
      <w:rPr>
        <w:rFonts w:eastAsia="Arial" w:cs="Arial"/>
        <w:b w:val="false"/>
        <w:bCs w:val="false"/>
        <w:i w:val="false"/>
        <w:iCs w:val="false"/>
        <w:color w:val="555555"/>
        <w:sz w:val="16"/>
        <w:szCs w:val="16"/>
        <w:lang w:val="fr-FR"/>
      </w:rPr>
      <w:t xml:space="preserve">Youssef Elhardouzi — CID  </w:t>
    </w:r>
    <w:r>
      <w:rPr>
        <w:rFonts w:eastAsia="Arial" w:cs="Arial"/>
        <w:b w:val="false"/>
        <w:bCs w:val="false"/>
        <w:i w:val="false"/>
        <w:iCs w:val="false"/>
        <w:color w:val="BDD7EE"/>
        <w:sz w:val="16"/>
        <w:szCs w:val="16"/>
        <w:lang w:val="fr-FR"/>
      </w:rPr>
      <w:t xml:space="preserve">|  </w:t>
    </w:r>
    <w:r>
      <w:rPr>
        <w:rFonts w:eastAsia="Arial" w:cs="Arial"/>
        <w:b w:val="false"/>
        <w:bCs w:val="false"/>
        <w:i w:val="false"/>
        <w:iCs w:val="false"/>
        <w:color w:val="555555"/>
        <w:sz w:val="16"/>
        <w:szCs w:val="16"/>
        <w:lang w:val="fr-FR"/>
      </w:rPr>
      <w:t xml:space="preserve">Mars 2026  </w:t>
    </w:r>
    <w:r>
      <w:rPr>
        <w:rFonts w:eastAsia="Arial" w:cs="Arial"/>
        <w:b w:val="false"/>
        <w:bCs w:val="false"/>
        <w:i w:val="false"/>
        <w:iCs w:val="false"/>
        <w:color w:val="BDD7EE"/>
        <w:sz w:val="16"/>
        <w:szCs w:val="16"/>
        <w:lang w:val="fr-FR"/>
      </w:rPr>
      <w:t xml:space="preserve">|  </w:t>
    </w:r>
    <w:r>
      <w:rPr>
        <w:rFonts w:eastAsia="Arial" w:cs="Arial"/>
        <w:b w:val="false"/>
        <w:bCs w:val="false"/>
        <w:i w:val="false"/>
        <w:iCs w:val="false"/>
        <w:color w:val="555555"/>
        <w:sz w:val="16"/>
        <w:szCs w:val="16"/>
        <w:lang w:val="fr-FR"/>
      </w:rPr>
      <w:t xml:space="preserve">Page </w:t>
    </w:r>
    <w:r>
      <w:rPr>
        <w:rFonts w:eastAsia="Arial" w:cs="Arial"/>
        <w:color w:val="555555"/>
        <w:sz w:val="16"/>
        <w:szCs w:val="16"/>
        <w:lang w:val="fr-FR"/>
      </w:rPr>
      <w:fldChar w:fldCharType="begin"/>
    </w:r>
    <w:r>
      <w:rPr>
        <w:rFonts w:eastAsia="Arial" w:cs="Arial"/>
        <w:color w:val="555555"/>
        <w:sz w:val="16"/>
        <w:szCs w:val="16"/>
        <w:lang w:val="fr-FR"/>
      </w:rPr>
      <w:instrText xml:space="preserve"> PAGE </w:instrText>
    </w:r>
    <w:r>
      <w:rPr>
        <w:rFonts w:eastAsia="Arial" w:cs="Arial"/>
        <w:color w:val="555555"/>
        <w:sz w:val="16"/>
        <w:szCs w:val="16"/>
        <w:lang w:val="fr-FR"/>
      </w:rPr>
      <w:fldChar w:fldCharType="separate"/>
    </w:r>
    <w:r>
      <w:rPr>
        <w:rFonts w:eastAsia="Arial" w:cs="Arial"/>
        <w:color w:val="555555"/>
        <w:sz w:val="16"/>
        <w:szCs w:val="16"/>
        <w:lang w:val="fr-FR"/>
      </w:rPr>
      <w:t>3</w:t>
    </w:r>
    <w:r>
      <w:rPr>
        <w:rFonts w:eastAsia="Arial" w:cs="Arial"/>
        <w:color w:val="555555"/>
        <w:sz w:val="16"/>
        <w:szCs w:val="16"/>
        <w:lang w:val="fr-F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1" w:color="2E75B6"/>
      </w:pBdr>
      <w:spacing w:before="0" w:after="0"/>
      <w:jc w:val="end"/>
      <w:rPr>
        <w:lang w:val="fr-FR"/>
      </w:rPr>
    </w:pPr>
    <w:r>
      <w:rPr>
        <w:rFonts w:eastAsia="Arial" w:cs="Arial"/>
        <w:b w:val="false"/>
        <w:bCs w:val="false"/>
        <w:i w:val="false"/>
        <w:iCs w:val="false"/>
        <w:color w:val="555555"/>
        <w:sz w:val="16"/>
        <w:szCs w:val="16"/>
        <w:lang w:val="fr-FR"/>
      </w:rPr>
      <w:t xml:space="preserve">Youssef Elhardouzi — CID  </w:t>
    </w:r>
    <w:r>
      <w:rPr>
        <w:rFonts w:eastAsia="Arial" w:cs="Arial"/>
        <w:b w:val="false"/>
        <w:bCs w:val="false"/>
        <w:i w:val="false"/>
        <w:iCs w:val="false"/>
        <w:color w:val="BDD7EE"/>
        <w:sz w:val="16"/>
        <w:szCs w:val="16"/>
        <w:lang w:val="fr-FR"/>
      </w:rPr>
      <w:t xml:space="preserve">|  </w:t>
    </w:r>
    <w:r>
      <w:rPr>
        <w:rFonts w:eastAsia="Arial" w:cs="Arial"/>
        <w:b w:val="false"/>
        <w:bCs w:val="false"/>
        <w:i w:val="false"/>
        <w:iCs w:val="false"/>
        <w:color w:val="555555"/>
        <w:sz w:val="16"/>
        <w:szCs w:val="16"/>
        <w:lang w:val="fr-FR"/>
      </w:rPr>
      <w:t xml:space="preserve">Mars 2026  </w:t>
    </w:r>
    <w:r>
      <w:rPr>
        <w:rFonts w:eastAsia="Arial" w:cs="Arial"/>
        <w:b w:val="false"/>
        <w:bCs w:val="false"/>
        <w:i w:val="false"/>
        <w:iCs w:val="false"/>
        <w:color w:val="BDD7EE"/>
        <w:sz w:val="16"/>
        <w:szCs w:val="16"/>
        <w:lang w:val="fr-FR"/>
      </w:rPr>
      <w:t xml:space="preserve">|  </w:t>
    </w:r>
    <w:r>
      <w:rPr>
        <w:rFonts w:eastAsia="Arial" w:cs="Arial"/>
        <w:b w:val="false"/>
        <w:bCs w:val="false"/>
        <w:i w:val="false"/>
        <w:iCs w:val="false"/>
        <w:color w:val="555555"/>
        <w:sz w:val="16"/>
        <w:szCs w:val="16"/>
        <w:lang w:val="fr-FR"/>
      </w:rPr>
      <w:t xml:space="preserve">Page </w:t>
    </w:r>
    <w:r>
      <w:rPr>
        <w:rFonts w:eastAsia="Arial" w:cs="Arial"/>
        <w:color w:val="555555"/>
        <w:sz w:val="16"/>
        <w:szCs w:val="16"/>
        <w:lang w:val="fr-FR"/>
      </w:rPr>
      <w:fldChar w:fldCharType="begin"/>
    </w:r>
    <w:r>
      <w:rPr>
        <w:rFonts w:eastAsia="Arial" w:cs="Arial"/>
        <w:color w:val="555555"/>
        <w:sz w:val="16"/>
        <w:szCs w:val="16"/>
        <w:lang w:val="fr-FR"/>
      </w:rPr>
      <w:instrText xml:space="preserve"> PAGE </w:instrText>
    </w:r>
    <w:r>
      <w:rPr>
        <w:rFonts w:eastAsia="Arial" w:cs="Arial"/>
        <w:color w:val="555555"/>
        <w:sz w:val="16"/>
        <w:szCs w:val="16"/>
        <w:lang w:val="fr-FR"/>
      </w:rPr>
      <w:fldChar w:fldCharType="separate"/>
    </w:r>
    <w:r>
      <w:rPr>
        <w:rFonts w:eastAsia="Arial" w:cs="Arial"/>
        <w:color w:val="555555"/>
        <w:sz w:val="16"/>
        <w:szCs w:val="16"/>
        <w:lang w:val="fr-FR"/>
      </w:rPr>
      <w:t>3</w:t>
    </w:r>
    <w:r>
      <w:rPr>
        <w:rFonts w:eastAsia="Arial" w:cs="Arial"/>
        <w:color w:val="555555"/>
        <w:sz w:val="16"/>
        <w:szCs w:val="16"/>
        <w:lang w:val="fr-F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fr-FR"/>
      </w:rPr>
    </w:pPr>
    <w:r>
      <w:rPr>
        <w:lang w:val="fr-F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1" w:color="2E75B6"/>
      </w:pBdr>
      <w:spacing w:before="0" w:after="0"/>
      <w:jc w:val="end"/>
      <w:rPr>
        <w:lang w:val="fr-FR"/>
      </w:rPr>
    </w:pPr>
    <w:r>
      <w:rPr>
        <w:rFonts w:eastAsia="Arial" w:cs="Arial"/>
        <w:b w:val="false"/>
        <w:bCs w:val="false"/>
        <w:i w:val="false"/>
        <w:iCs w:val="false"/>
        <w:color w:val="555555"/>
        <w:sz w:val="16"/>
        <w:szCs w:val="16"/>
        <w:lang w:val="fr-FR"/>
      </w:rPr>
      <w:t xml:space="preserve">Youssef Elhardouzi — CID  </w:t>
    </w:r>
    <w:r>
      <w:rPr>
        <w:rFonts w:eastAsia="Arial" w:cs="Arial"/>
        <w:b w:val="false"/>
        <w:bCs w:val="false"/>
        <w:i w:val="false"/>
        <w:iCs w:val="false"/>
        <w:color w:val="BDD7EE"/>
        <w:sz w:val="16"/>
        <w:szCs w:val="16"/>
        <w:lang w:val="fr-FR"/>
      </w:rPr>
      <w:t xml:space="preserve">|  </w:t>
    </w:r>
    <w:r>
      <w:rPr>
        <w:rFonts w:eastAsia="Arial" w:cs="Arial"/>
        <w:b w:val="false"/>
        <w:bCs w:val="false"/>
        <w:i w:val="false"/>
        <w:iCs w:val="false"/>
        <w:color w:val="555555"/>
        <w:sz w:val="16"/>
        <w:szCs w:val="16"/>
        <w:lang w:val="fr-FR"/>
      </w:rPr>
      <w:t xml:space="preserve">Mars 2026  </w:t>
    </w:r>
    <w:r>
      <w:rPr>
        <w:rFonts w:eastAsia="Arial" w:cs="Arial"/>
        <w:b w:val="false"/>
        <w:bCs w:val="false"/>
        <w:i w:val="false"/>
        <w:iCs w:val="false"/>
        <w:color w:val="BDD7EE"/>
        <w:sz w:val="16"/>
        <w:szCs w:val="16"/>
        <w:lang w:val="fr-FR"/>
      </w:rPr>
      <w:t xml:space="preserve">|  </w:t>
    </w:r>
    <w:r>
      <w:rPr>
        <w:rFonts w:eastAsia="Arial" w:cs="Arial"/>
        <w:b w:val="false"/>
        <w:bCs w:val="false"/>
        <w:i w:val="false"/>
        <w:iCs w:val="false"/>
        <w:color w:val="555555"/>
        <w:sz w:val="16"/>
        <w:szCs w:val="16"/>
        <w:lang w:val="fr-FR"/>
      </w:rPr>
      <w:t xml:space="preserve">Page </w:t>
    </w:r>
    <w:r>
      <w:rPr>
        <w:rFonts w:eastAsia="Arial" w:cs="Arial"/>
        <w:color w:val="555555"/>
        <w:sz w:val="16"/>
        <w:szCs w:val="16"/>
        <w:lang w:val="fr-FR"/>
      </w:rPr>
      <w:fldChar w:fldCharType="begin"/>
    </w:r>
    <w:r>
      <w:rPr>
        <w:rFonts w:eastAsia="Arial" w:cs="Arial"/>
        <w:color w:val="555555"/>
        <w:sz w:val="16"/>
        <w:szCs w:val="16"/>
        <w:lang w:val="fr-FR"/>
      </w:rPr>
      <w:instrText xml:space="preserve"> PAGE </w:instrText>
    </w:r>
    <w:r>
      <w:rPr>
        <w:rFonts w:eastAsia="Arial" w:cs="Arial"/>
        <w:color w:val="555555"/>
        <w:sz w:val="16"/>
        <w:szCs w:val="16"/>
        <w:lang w:val="fr-FR"/>
      </w:rPr>
      <w:fldChar w:fldCharType="separate"/>
    </w:r>
    <w:r>
      <w:rPr>
        <w:rFonts w:eastAsia="Arial" w:cs="Arial"/>
        <w:color w:val="555555"/>
        <w:sz w:val="16"/>
        <w:szCs w:val="16"/>
        <w:lang w:val="fr-FR"/>
      </w:rPr>
      <w:t>19</w:t>
    </w:r>
    <w:r>
      <w:rPr>
        <w:rFonts w:eastAsia="Arial" w:cs="Arial"/>
        <w:color w:val="555555"/>
        <w:sz w:val="16"/>
        <w:szCs w:val="16"/>
        <w:lang w:val="fr-F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1" w:color="2E75B6"/>
      </w:pBdr>
      <w:spacing w:before="0" w:after="0"/>
      <w:jc w:val="end"/>
      <w:rPr>
        <w:lang w:val="fr-FR"/>
      </w:rPr>
    </w:pPr>
    <w:r>
      <w:rPr>
        <w:rFonts w:eastAsia="Arial" w:cs="Arial"/>
        <w:b w:val="false"/>
        <w:bCs w:val="false"/>
        <w:i w:val="false"/>
        <w:iCs w:val="false"/>
        <w:color w:val="555555"/>
        <w:sz w:val="16"/>
        <w:szCs w:val="16"/>
        <w:lang w:val="fr-FR"/>
      </w:rPr>
      <w:t xml:space="preserve">Youssef Elhardouzi — CID  </w:t>
    </w:r>
    <w:r>
      <w:rPr>
        <w:rFonts w:eastAsia="Arial" w:cs="Arial"/>
        <w:b w:val="false"/>
        <w:bCs w:val="false"/>
        <w:i w:val="false"/>
        <w:iCs w:val="false"/>
        <w:color w:val="BDD7EE"/>
        <w:sz w:val="16"/>
        <w:szCs w:val="16"/>
        <w:lang w:val="fr-FR"/>
      </w:rPr>
      <w:t xml:space="preserve">|  </w:t>
    </w:r>
    <w:r>
      <w:rPr>
        <w:rFonts w:eastAsia="Arial" w:cs="Arial"/>
        <w:b w:val="false"/>
        <w:bCs w:val="false"/>
        <w:i w:val="false"/>
        <w:iCs w:val="false"/>
        <w:color w:val="555555"/>
        <w:sz w:val="16"/>
        <w:szCs w:val="16"/>
        <w:lang w:val="fr-FR"/>
      </w:rPr>
      <w:t xml:space="preserve">Mars 2026  </w:t>
    </w:r>
    <w:r>
      <w:rPr>
        <w:rFonts w:eastAsia="Arial" w:cs="Arial"/>
        <w:b w:val="false"/>
        <w:bCs w:val="false"/>
        <w:i w:val="false"/>
        <w:iCs w:val="false"/>
        <w:color w:val="BDD7EE"/>
        <w:sz w:val="16"/>
        <w:szCs w:val="16"/>
        <w:lang w:val="fr-FR"/>
      </w:rPr>
      <w:t xml:space="preserve">|  </w:t>
    </w:r>
    <w:r>
      <w:rPr>
        <w:rFonts w:eastAsia="Arial" w:cs="Arial"/>
        <w:b w:val="false"/>
        <w:bCs w:val="false"/>
        <w:i w:val="false"/>
        <w:iCs w:val="false"/>
        <w:color w:val="555555"/>
        <w:sz w:val="16"/>
        <w:szCs w:val="16"/>
        <w:lang w:val="fr-FR"/>
      </w:rPr>
      <w:t xml:space="preserve">Page </w:t>
    </w:r>
    <w:r>
      <w:rPr>
        <w:rFonts w:eastAsia="Arial" w:cs="Arial"/>
        <w:color w:val="555555"/>
        <w:sz w:val="16"/>
        <w:szCs w:val="16"/>
        <w:lang w:val="fr-FR"/>
      </w:rPr>
      <w:fldChar w:fldCharType="begin"/>
    </w:r>
    <w:r>
      <w:rPr>
        <w:rFonts w:eastAsia="Arial" w:cs="Arial"/>
        <w:color w:val="555555"/>
        <w:sz w:val="16"/>
        <w:szCs w:val="16"/>
        <w:lang w:val="fr-FR"/>
      </w:rPr>
      <w:instrText xml:space="preserve"> PAGE </w:instrText>
    </w:r>
    <w:r>
      <w:rPr>
        <w:rFonts w:eastAsia="Arial" w:cs="Arial"/>
        <w:color w:val="555555"/>
        <w:sz w:val="16"/>
        <w:szCs w:val="16"/>
        <w:lang w:val="fr-FR"/>
      </w:rPr>
      <w:fldChar w:fldCharType="separate"/>
    </w:r>
    <w:r>
      <w:rPr>
        <w:rFonts w:eastAsia="Arial" w:cs="Arial"/>
        <w:color w:val="555555"/>
        <w:sz w:val="16"/>
        <w:szCs w:val="16"/>
        <w:lang w:val="fr-FR"/>
      </w:rPr>
      <w:t>19</w:t>
    </w:r>
    <w:r>
      <w:rPr>
        <w:rFonts w:eastAsia="Arial" w:cs="Arial"/>
        <w:color w:val="555555"/>
        <w:sz w:val="16"/>
        <w:szCs w:val="16"/>
        <w:lang w:val="fr-F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fr-FR"/>
      </w:rPr>
    </w:pPr>
    <w:r>
      <w:rPr>
        <w:lang w:val="fr-F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1" w:color="2E75B6"/>
      </w:pBdr>
      <w:spacing w:before="0" w:after="0"/>
      <w:jc w:val="end"/>
      <w:rPr>
        <w:lang w:val="fr-FR"/>
      </w:rPr>
    </w:pPr>
    <w:r>
      <w:rPr>
        <w:rFonts w:eastAsia="Arial" w:cs="Arial"/>
        <w:b w:val="false"/>
        <w:bCs w:val="false"/>
        <w:i w:val="false"/>
        <w:iCs w:val="false"/>
        <w:color w:val="555555"/>
        <w:sz w:val="16"/>
        <w:szCs w:val="16"/>
        <w:lang w:val="fr-FR"/>
      </w:rPr>
      <w:t xml:space="preserve">Youssef Elhardouzi — CID  </w:t>
    </w:r>
    <w:r>
      <w:rPr>
        <w:rFonts w:eastAsia="Arial" w:cs="Arial"/>
        <w:b w:val="false"/>
        <w:bCs w:val="false"/>
        <w:i w:val="false"/>
        <w:iCs w:val="false"/>
        <w:color w:val="BDD7EE"/>
        <w:sz w:val="16"/>
        <w:szCs w:val="16"/>
        <w:lang w:val="fr-FR"/>
      </w:rPr>
      <w:t xml:space="preserve">|  </w:t>
    </w:r>
    <w:r>
      <w:rPr>
        <w:rFonts w:eastAsia="Arial" w:cs="Arial"/>
        <w:b w:val="false"/>
        <w:bCs w:val="false"/>
        <w:i w:val="false"/>
        <w:iCs w:val="false"/>
        <w:color w:val="555555"/>
        <w:sz w:val="16"/>
        <w:szCs w:val="16"/>
        <w:lang w:val="fr-FR"/>
      </w:rPr>
      <w:t xml:space="preserve">Mars 2026  </w:t>
    </w:r>
    <w:r>
      <w:rPr>
        <w:rFonts w:eastAsia="Arial" w:cs="Arial"/>
        <w:b w:val="false"/>
        <w:bCs w:val="false"/>
        <w:i w:val="false"/>
        <w:iCs w:val="false"/>
        <w:color w:val="BDD7EE"/>
        <w:sz w:val="16"/>
        <w:szCs w:val="16"/>
        <w:lang w:val="fr-FR"/>
      </w:rPr>
      <w:t xml:space="preserve">|  </w:t>
    </w:r>
    <w:r>
      <w:rPr>
        <w:rFonts w:eastAsia="Arial" w:cs="Arial"/>
        <w:b w:val="false"/>
        <w:bCs w:val="false"/>
        <w:i w:val="false"/>
        <w:iCs w:val="false"/>
        <w:color w:val="555555"/>
        <w:sz w:val="16"/>
        <w:szCs w:val="16"/>
        <w:lang w:val="fr-FR"/>
      </w:rPr>
      <w:t xml:space="preserve">Page </w:t>
    </w:r>
    <w:r>
      <w:rPr>
        <w:rFonts w:eastAsia="Arial" w:cs="Arial"/>
        <w:b w:val="false"/>
        <w:bCs w:val="false"/>
        <w:i w:val="false"/>
        <w:iCs w:val="false"/>
        <w:color w:val="555555"/>
        <w:sz w:val="16"/>
        <w:szCs w:val="16"/>
        <w:lang w:val="fr-FR"/>
      </w:rPr>
      <w:fldChar w:fldCharType="begin"/>
    </w:r>
    <w:r>
      <w:rPr>
        <w:rFonts w:eastAsia="Arial" w:cs="Arial"/>
        <w:b w:val="false"/>
        <w:bCs w:val="false"/>
        <w:i w:val="false"/>
        <w:iCs w:val="false"/>
        <w:color w:val="555555"/>
        <w:sz w:val="16"/>
        <w:szCs w:val="16"/>
        <w:lang w:val="fr-FR"/>
      </w:rPr>
      <w:instrText xml:space="preserve"> PAGE </w:instrText>
    </w:r>
    <w:r>
      <w:rPr>
        <w:rFonts w:eastAsia="Arial" w:cs="Arial"/>
        <w:b w:val="false"/>
        <w:bCs w:val="false"/>
        <w:i w:val="false"/>
        <w:iCs w:val="false"/>
        <w:color w:val="555555"/>
        <w:sz w:val="16"/>
        <w:szCs w:val="16"/>
        <w:lang w:val="fr-FR"/>
      </w:rPr>
      <w:fldChar w:fldCharType="separate"/>
    </w:r>
    <w:r>
      <w:rPr>
        <w:rFonts w:eastAsia="Arial" w:cs="Arial"/>
        <w:b w:val="false"/>
        <w:bCs w:val="false"/>
        <w:i w:val="false"/>
        <w:iCs w:val="false"/>
        <w:color w:val="555555"/>
        <w:sz w:val="16"/>
        <w:szCs w:val="16"/>
        <w:lang w:val="fr-FR"/>
      </w:rPr>
      <w:t>28</w:t>
    </w:r>
    <w:r>
      <w:rPr>
        <w:rFonts w:eastAsia="Arial" w:cs="Arial"/>
        <w:b w:val="false"/>
        <w:bCs w:val="false"/>
        <w:i w:val="false"/>
        <w:iCs w:val="false"/>
        <w:color w:val="555555"/>
        <w:sz w:val="16"/>
        <w:szCs w:val="16"/>
        <w:lang w:val="fr-F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1" w:color="2E75B6"/>
      </w:pBdr>
      <w:spacing w:before="0" w:after="0"/>
      <w:jc w:val="end"/>
      <w:rPr>
        <w:lang w:val="fr-FR"/>
      </w:rPr>
    </w:pPr>
    <w:r>
      <w:rPr>
        <w:rFonts w:eastAsia="Arial" w:cs="Arial"/>
        <w:b w:val="false"/>
        <w:bCs w:val="false"/>
        <w:i w:val="false"/>
        <w:iCs w:val="false"/>
        <w:color w:val="555555"/>
        <w:sz w:val="16"/>
        <w:szCs w:val="16"/>
        <w:lang w:val="fr-FR"/>
      </w:rPr>
      <w:t xml:space="preserve">Youssef Elhardouzi — CID  </w:t>
    </w:r>
    <w:r>
      <w:rPr>
        <w:rFonts w:eastAsia="Arial" w:cs="Arial"/>
        <w:b w:val="false"/>
        <w:bCs w:val="false"/>
        <w:i w:val="false"/>
        <w:iCs w:val="false"/>
        <w:color w:val="BDD7EE"/>
        <w:sz w:val="16"/>
        <w:szCs w:val="16"/>
        <w:lang w:val="fr-FR"/>
      </w:rPr>
      <w:t xml:space="preserve">|  </w:t>
    </w:r>
    <w:r>
      <w:rPr>
        <w:rFonts w:eastAsia="Arial" w:cs="Arial"/>
        <w:b w:val="false"/>
        <w:bCs w:val="false"/>
        <w:i w:val="false"/>
        <w:iCs w:val="false"/>
        <w:color w:val="555555"/>
        <w:sz w:val="16"/>
        <w:szCs w:val="16"/>
        <w:lang w:val="fr-FR"/>
      </w:rPr>
      <w:t xml:space="preserve">Mars 2026  </w:t>
    </w:r>
    <w:r>
      <w:rPr>
        <w:rFonts w:eastAsia="Arial" w:cs="Arial"/>
        <w:b w:val="false"/>
        <w:bCs w:val="false"/>
        <w:i w:val="false"/>
        <w:iCs w:val="false"/>
        <w:color w:val="BDD7EE"/>
        <w:sz w:val="16"/>
        <w:szCs w:val="16"/>
        <w:lang w:val="fr-FR"/>
      </w:rPr>
      <w:t xml:space="preserve">|  </w:t>
    </w:r>
    <w:r>
      <w:rPr>
        <w:rFonts w:eastAsia="Arial" w:cs="Arial"/>
        <w:b w:val="false"/>
        <w:bCs w:val="false"/>
        <w:i w:val="false"/>
        <w:iCs w:val="false"/>
        <w:color w:val="555555"/>
        <w:sz w:val="16"/>
        <w:szCs w:val="16"/>
        <w:lang w:val="fr-FR"/>
      </w:rPr>
      <w:t xml:space="preserve">Page </w:t>
    </w:r>
    <w:r>
      <w:rPr>
        <w:rFonts w:eastAsia="Arial" w:cs="Arial"/>
        <w:b w:val="false"/>
        <w:bCs w:val="false"/>
        <w:i w:val="false"/>
        <w:iCs w:val="false"/>
        <w:color w:val="555555"/>
        <w:sz w:val="16"/>
        <w:szCs w:val="16"/>
        <w:lang w:val="fr-FR"/>
      </w:rPr>
      <w:fldChar w:fldCharType="begin"/>
    </w:r>
    <w:r>
      <w:rPr>
        <w:rFonts w:eastAsia="Arial" w:cs="Arial"/>
        <w:b w:val="false"/>
        <w:bCs w:val="false"/>
        <w:i w:val="false"/>
        <w:iCs w:val="false"/>
        <w:color w:val="555555"/>
        <w:sz w:val="16"/>
        <w:szCs w:val="16"/>
        <w:lang w:val="fr-FR"/>
      </w:rPr>
      <w:instrText xml:space="preserve"> PAGE </w:instrText>
    </w:r>
    <w:r>
      <w:rPr>
        <w:rFonts w:eastAsia="Arial" w:cs="Arial"/>
        <w:b w:val="false"/>
        <w:bCs w:val="false"/>
        <w:i w:val="false"/>
        <w:iCs w:val="false"/>
        <w:color w:val="555555"/>
        <w:sz w:val="16"/>
        <w:szCs w:val="16"/>
        <w:lang w:val="fr-FR"/>
      </w:rPr>
      <w:fldChar w:fldCharType="separate"/>
    </w:r>
    <w:r>
      <w:rPr>
        <w:rFonts w:eastAsia="Arial" w:cs="Arial"/>
        <w:b w:val="false"/>
        <w:bCs w:val="false"/>
        <w:i w:val="false"/>
        <w:iCs w:val="false"/>
        <w:color w:val="555555"/>
        <w:sz w:val="16"/>
        <w:szCs w:val="16"/>
        <w:lang w:val="fr-FR"/>
      </w:rPr>
      <w:t>28</w:t>
    </w:r>
    <w:r>
      <w:rPr>
        <w:rFonts w:eastAsia="Arial" w:cs="Arial"/>
        <w:b w:val="false"/>
        <w:bCs w:val="false"/>
        <w:i w:val="false"/>
        <w:iCs w:val="false"/>
        <w:color w:val="555555"/>
        <w:sz w:val="16"/>
        <w:szCs w:val="16"/>
        <w:lang w:val="fr-F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fr-FR"/>
      </w:rPr>
    </w:pPr>
    <w:r>
      <w:rPr>
        <w:lang w:val="fr-F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1" w:color="2E75B6"/>
      </w:pBdr>
      <w:spacing w:before="0" w:after="0"/>
      <w:rPr>
        <w:lang w:val="fr-FR"/>
      </w:rPr>
    </w:pPr>
    <w:r>
      <w:rPr>
        <w:rFonts w:eastAsia="Arial" w:cs="Arial"/>
        <w:b/>
        <w:bCs/>
        <w:i w:val="false"/>
        <w:iCs w:val="false"/>
        <w:color w:val="2E75B6"/>
        <w:sz w:val="18"/>
        <w:szCs w:val="18"/>
        <w:lang w:val="fr-FR"/>
      </w:rPr>
      <w:t xml:space="preserve">CID — SGOAM  </w:t>
    </w:r>
    <w:r>
      <w:rPr>
        <w:rFonts w:eastAsia="Arial" w:cs="Arial"/>
        <w:b w:val="false"/>
        <w:bCs w:val="false"/>
        <w:i w:val="false"/>
        <w:iCs w:val="false"/>
        <w:color w:val="BDD7EE"/>
        <w:sz w:val="18"/>
        <w:szCs w:val="18"/>
        <w:lang w:val="fr-FR"/>
      </w:rPr>
      <w:t xml:space="preserve">|  </w:t>
    </w:r>
    <w:r>
      <w:rPr>
        <w:rFonts w:eastAsia="Arial" w:cs="Arial"/>
        <w:b w:val="false"/>
        <w:bCs w:val="false"/>
        <w:i w:val="false"/>
        <w:iCs w:val="false"/>
        <w:color w:val="555555"/>
        <w:sz w:val="18"/>
        <w:szCs w:val="18"/>
        <w:lang w:val="fr-FR"/>
      </w:rPr>
      <w:t>Rapport de Mapping — SGOAM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1" w:color="2E75B6"/>
      </w:pBdr>
      <w:spacing w:before="0" w:after="0"/>
      <w:rPr>
        <w:lang w:val="fr-FR"/>
      </w:rPr>
    </w:pPr>
    <w:r>
      <w:rPr>
        <w:rFonts w:eastAsia="Arial" w:cs="Arial"/>
        <w:b/>
        <w:bCs/>
        <w:i w:val="false"/>
        <w:iCs w:val="false"/>
        <w:color w:val="2E75B6"/>
        <w:sz w:val="18"/>
        <w:szCs w:val="18"/>
        <w:lang w:val="fr-FR"/>
      </w:rPr>
      <w:t xml:space="preserve">CID — SGOAM  </w:t>
    </w:r>
    <w:r>
      <w:rPr>
        <w:rFonts w:eastAsia="Arial" w:cs="Arial"/>
        <w:b w:val="false"/>
        <w:bCs w:val="false"/>
        <w:i w:val="false"/>
        <w:iCs w:val="false"/>
        <w:color w:val="BDD7EE"/>
        <w:sz w:val="18"/>
        <w:szCs w:val="18"/>
        <w:lang w:val="fr-FR"/>
      </w:rPr>
      <w:t xml:space="preserve">|  </w:t>
    </w:r>
    <w:r>
      <w:rPr>
        <w:rFonts w:eastAsia="Arial" w:cs="Arial"/>
        <w:b w:val="false"/>
        <w:bCs w:val="false"/>
        <w:i w:val="false"/>
        <w:iCs w:val="false"/>
        <w:color w:val="555555"/>
        <w:sz w:val="18"/>
        <w:szCs w:val="18"/>
        <w:lang w:val="fr-FR"/>
      </w:rPr>
      <w:t>Rapport de Mapping — SGOAM</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fr-FR"/>
      </w:rPr>
    </w:pPr>
    <w:r>
      <w:rPr>
        <w:lang w:val="fr-F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1" w:color="2E75B6"/>
      </w:pBdr>
      <w:spacing w:before="0" w:after="0"/>
      <w:rPr>
        <w:lang w:val="fr-FR"/>
      </w:rPr>
    </w:pPr>
    <w:r>
      <w:rPr>
        <w:rFonts w:eastAsia="Arial" w:cs="Arial"/>
        <w:b/>
        <w:bCs/>
        <w:i w:val="false"/>
        <w:iCs w:val="false"/>
        <w:color w:val="2E75B6"/>
        <w:sz w:val="18"/>
        <w:szCs w:val="18"/>
        <w:lang w:val="fr-FR"/>
      </w:rPr>
      <w:t xml:space="preserve">CID — SGOAM  </w:t>
    </w:r>
    <w:r>
      <w:rPr>
        <w:rFonts w:eastAsia="Arial" w:cs="Arial"/>
        <w:b w:val="false"/>
        <w:bCs w:val="false"/>
        <w:i w:val="false"/>
        <w:iCs w:val="false"/>
        <w:color w:val="BDD7EE"/>
        <w:sz w:val="18"/>
        <w:szCs w:val="18"/>
        <w:lang w:val="fr-FR"/>
      </w:rPr>
      <w:t xml:space="preserve">|  </w:t>
    </w:r>
    <w:r>
      <w:rPr>
        <w:rFonts w:eastAsia="Arial" w:cs="Arial"/>
        <w:b w:val="false"/>
        <w:bCs w:val="false"/>
        <w:i w:val="false"/>
        <w:iCs w:val="false"/>
        <w:color w:val="555555"/>
        <w:sz w:val="18"/>
        <w:szCs w:val="18"/>
        <w:lang w:val="fr-FR"/>
      </w:rPr>
      <w:t>Tableaux de Mapping</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1" w:color="2E75B6"/>
      </w:pBdr>
      <w:spacing w:before="0" w:after="0"/>
      <w:rPr>
        <w:lang w:val="fr-FR"/>
      </w:rPr>
    </w:pPr>
    <w:r>
      <w:rPr>
        <w:rFonts w:eastAsia="Arial" w:cs="Arial"/>
        <w:b/>
        <w:bCs/>
        <w:i w:val="false"/>
        <w:iCs w:val="false"/>
        <w:color w:val="2E75B6"/>
        <w:sz w:val="18"/>
        <w:szCs w:val="18"/>
        <w:lang w:val="fr-FR"/>
      </w:rPr>
      <w:t xml:space="preserve">CID — SGOAM  </w:t>
    </w:r>
    <w:r>
      <w:rPr>
        <w:rFonts w:eastAsia="Arial" w:cs="Arial"/>
        <w:b w:val="false"/>
        <w:bCs w:val="false"/>
        <w:i w:val="false"/>
        <w:iCs w:val="false"/>
        <w:color w:val="BDD7EE"/>
        <w:sz w:val="18"/>
        <w:szCs w:val="18"/>
        <w:lang w:val="fr-FR"/>
      </w:rPr>
      <w:t xml:space="preserve">|  </w:t>
    </w:r>
    <w:r>
      <w:rPr>
        <w:rFonts w:eastAsia="Arial" w:cs="Arial"/>
        <w:b w:val="false"/>
        <w:bCs w:val="false"/>
        <w:i w:val="false"/>
        <w:iCs w:val="false"/>
        <w:color w:val="555555"/>
        <w:sz w:val="18"/>
        <w:szCs w:val="18"/>
        <w:lang w:val="fr-FR"/>
      </w:rPr>
      <w:t>Tableaux de Mapping</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fr-FR"/>
      </w:rPr>
    </w:pPr>
    <w:r>
      <w:rPr>
        <w:lang w:val="fr-F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1" w:color="2E75B6"/>
      </w:pBdr>
      <w:spacing w:before="0" w:after="0"/>
      <w:rPr>
        <w:lang w:val="fr-FR"/>
      </w:rPr>
    </w:pPr>
    <w:r>
      <w:rPr>
        <w:rFonts w:eastAsia="Arial" w:cs="Arial"/>
        <w:b/>
        <w:bCs/>
        <w:i w:val="false"/>
        <w:iCs w:val="false"/>
        <w:color w:val="2E75B6"/>
        <w:sz w:val="18"/>
        <w:szCs w:val="18"/>
        <w:lang w:val="fr-FR"/>
      </w:rPr>
      <w:t xml:space="preserve">CID — SGOAM  </w:t>
    </w:r>
    <w:r>
      <w:rPr>
        <w:rFonts w:eastAsia="Arial" w:cs="Arial"/>
        <w:b w:val="false"/>
        <w:bCs w:val="false"/>
        <w:i w:val="false"/>
        <w:iCs w:val="false"/>
        <w:color w:val="BDD7EE"/>
        <w:sz w:val="18"/>
        <w:szCs w:val="18"/>
        <w:lang w:val="fr-FR"/>
      </w:rPr>
      <w:t xml:space="preserve">|  </w:t>
    </w:r>
    <w:r>
      <w:rPr>
        <w:rFonts w:eastAsia="Arial" w:cs="Arial"/>
        <w:b w:val="false"/>
        <w:bCs w:val="false"/>
        <w:i w:val="false"/>
        <w:iCs w:val="false"/>
        <w:color w:val="555555"/>
        <w:sz w:val="18"/>
        <w:szCs w:val="18"/>
        <w:lang w:val="fr-FR"/>
      </w:rPr>
      <w:t>Rapport de Mapping — SGOAM</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1" w:color="2E75B6"/>
      </w:pBdr>
      <w:spacing w:before="0" w:after="0"/>
      <w:rPr>
        <w:lang w:val="fr-FR"/>
      </w:rPr>
    </w:pPr>
    <w:r>
      <w:rPr>
        <w:rFonts w:eastAsia="Arial" w:cs="Arial"/>
        <w:b/>
        <w:bCs/>
        <w:i w:val="false"/>
        <w:iCs w:val="false"/>
        <w:color w:val="2E75B6"/>
        <w:sz w:val="18"/>
        <w:szCs w:val="18"/>
        <w:lang w:val="fr-FR"/>
      </w:rPr>
      <w:t xml:space="preserve">CID — SGOAM  </w:t>
    </w:r>
    <w:r>
      <w:rPr>
        <w:rFonts w:eastAsia="Arial" w:cs="Arial"/>
        <w:b w:val="false"/>
        <w:bCs w:val="false"/>
        <w:i w:val="false"/>
        <w:iCs w:val="false"/>
        <w:color w:val="BDD7EE"/>
        <w:sz w:val="18"/>
        <w:szCs w:val="18"/>
        <w:lang w:val="fr-FR"/>
      </w:rPr>
      <w:t xml:space="preserve">|  </w:t>
    </w:r>
    <w:r>
      <w:rPr>
        <w:rFonts w:eastAsia="Arial" w:cs="Arial"/>
        <w:b w:val="false"/>
        <w:bCs w:val="false"/>
        <w:i w:val="false"/>
        <w:iCs w:val="false"/>
        <w:color w:val="555555"/>
        <w:sz w:val="18"/>
        <w:szCs w:val="18"/>
        <w:lang w:val="fr-FR"/>
      </w:rPr>
      <w:t>Rapport de Mapping — SGOAM</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fr-FR" w:eastAsia="zh-CN" w:bidi="hi-IN"/>
    </w:rPr>
  </w:style>
  <w:style w:type="paragraph" w:styleId="Heading1">
    <w:name w:val="heading 1"/>
    <w:basedOn w:val="Heading"/>
    <w:qFormat/>
    <w:pPr>
      <w:spacing w:before="320" w:after="160"/>
      <w:outlineLvl w:val="0"/>
    </w:pPr>
    <w:rPr>
      <w:rFonts w:ascii="Arial" w:hAnsi="Arial" w:eastAsia="Arial" w:cs="Arial"/>
      <w:b/>
      <w:bCs/>
      <w:color w:val="1F4E79"/>
      <w:sz w:val="36"/>
      <w:szCs w:val="36"/>
    </w:rPr>
  </w:style>
  <w:style w:type="paragraph" w:styleId="Heading2">
    <w:name w:val="heading 2"/>
    <w:basedOn w:val="Heading"/>
    <w:qFormat/>
    <w:pPr>
      <w:spacing w:before="240" w:after="120"/>
      <w:outlineLvl w:val="1"/>
    </w:pPr>
    <w:rPr>
      <w:rFonts w:ascii="Arial" w:hAnsi="Arial" w:eastAsia="Arial" w:cs="Arial"/>
      <w:b/>
      <w:bCs/>
      <w:color w:val="2E75B6"/>
      <w:sz w:val="28"/>
      <w:szCs w:val="28"/>
    </w:rPr>
  </w:style>
  <w:style w:type="paragraph" w:styleId="Heading3">
    <w:name w:val="heading 3"/>
    <w:basedOn w:val="Heading"/>
    <w:qFormat/>
    <w:pPr>
      <w:spacing w:before="180" w:after="80"/>
      <w:outlineLvl w:val="2"/>
    </w:pPr>
    <w:rPr>
      <w:rFonts w:ascii="Arial" w:hAnsi="Arial" w:eastAsia="Arial" w:cs="Arial"/>
      <w:b/>
      <w:bCs/>
      <w:color w:val="555555"/>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fr-FR"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906" w:leader="dot"/>
      </w:tabs>
      <w:ind w:hanging="0" w:start="0"/>
    </w:pPr>
    <w:rPr/>
  </w:style>
  <w:style w:type="paragraph" w:styleId="TOC2">
    <w:name w:val="toc 2"/>
    <w:basedOn w:val="Index"/>
    <w:pPr>
      <w:tabs>
        <w:tab w:val="clear" w:pos="720"/>
        <w:tab w:val="right" w:pos="9623" w:leader="dot"/>
      </w:tabs>
      <w:ind w:hanging="0" w:start="283"/>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LibreOffice/25.8.5.2$Linux_X86_64 LibreOffice_project/580$Build-2</Application>
  <AppVersion>15.0000</AppVersion>
  <Pages>29</Pages>
  <Words>6149</Words>
  <Characters>42339</Characters>
  <CharactersWithSpaces>48415</CharactersWithSpaces>
  <Paragraphs>783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2026-03-22T20:33:27Z</dcterms:created>
  <dc:creator>Un-named</dc:creator>
  <dc:description/>
  <dc:language>fr-FR</dc:language>
  <cp:lastModifiedBy/>
  <dcterms:modified xsi:type="dcterms:W3CDTF">2026-03-24T10:56:47Z</dcterms:modified>
  <cp:revision>8</cp:revision>
  <dc:subject/>
  <dc:title/>
</cp:coreProperties>
</file>