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20"/>
        <w:rPr/>
      </w:pPr>
      <w:r>
        <w:rPr/>
      </w:r>
    </w:p>
    <w:p>
      <w:pPr>
        <w:pStyle w:val="Normal"/>
        <w:spacing w:before="0" w:after="60"/>
        <w:jc w:val="center"/>
        <w:rPr/>
      </w:pPr>
      <w:r>
        <w:rPr>
          <w:rFonts w:eastAsia="Arial" w:cs="Arial"/>
          <w:b/>
          <w:bCs/>
          <w:color w:val="2E75B6"/>
          <w:sz w:val="28"/>
          <w:szCs w:val="28"/>
        </w:rPr>
        <w:t>ISMAGI</w:t>
      </w:r>
    </w:p>
    <w:p>
      <w:pPr>
        <w:pStyle w:val="Normal"/>
        <w:spacing w:before="0" w:after="400"/>
        <w:jc w:val="center"/>
        <w:rPr/>
      </w:pPr>
      <w:r>
        <w:rPr>
          <w:rFonts w:eastAsia="Arial" w:cs="Arial"/>
          <w:color w:val="595959"/>
          <w:sz w:val="20"/>
          <w:szCs w:val="20"/>
        </w:rPr>
        <w:t>Institut Supérieur de Management, d'Administration et de Génie Informatique</w:t>
      </w:r>
    </w:p>
    <w:tbl>
      <w:tblPr>
        <w:tblW w:w="9026" w:type="dxa"/>
        <w:jc w:val="start"/>
        <w:tblInd w:w="0" w:type="dxa"/>
        <w:tblLayout w:type="fixed"/>
        <w:tblCellMar>
          <w:top w:w="400" w:type="dxa"/>
          <w:start w:w="400" w:type="dxa"/>
          <w:bottom w:w="400" w:type="dxa"/>
          <w:end w:w="400" w:type="dxa"/>
        </w:tblCellMar>
      </w:tblPr>
      <w:tblGrid>
        <w:gridCol w:w="9026"/>
      </w:tblGrid>
      <w:tr>
        <w:trPr/>
        <w:tc>
          <w:tcPr>
            <w:tcW w:w="9026" w:type="dxa"/>
            <w:tcBorders/>
            <w:shd w:fill="1F4E79" w:val="clear"/>
          </w:tcPr>
          <w:p>
            <w:pPr>
              <w:pStyle w:val="Normal"/>
              <w:spacing w:before="0" w:after="160"/>
              <w:jc w:val="center"/>
              <w:rPr/>
            </w:pPr>
            <w:r>
              <w:rPr>
                <w:rFonts w:eastAsia="Arial" w:cs="Arial"/>
                <w:b/>
                <w:bCs/>
                <w:color w:val="FFFFFF"/>
                <w:sz w:val="48"/>
                <w:szCs w:val="48"/>
              </w:rPr>
              <w:t>RAPPORT DE PHASE 0</w:t>
            </w:r>
          </w:p>
          <w:p>
            <w:pPr>
              <w:pStyle w:val="Normal"/>
              <w:spacing w:before="0" w:after="200"/>
              <w:jc w:val="center"/>
              <w:rPr/>
            </w:pPr>
            <w:r>
              <w:rPr>
                <w:rFonts w:eastAsia="Arial" w:cs="Arial"/>
                <w:b/>
                <w:bCs/>
                <w:color w:val="D6E4F0"/>
                <w:sz w:val="32"/>
                <w:szCs w:val="32"/>
              </w:rPr>
              <w:t>Étude de Sélection du Modèle VLM</w:t>
            </w:r>
          </w:p>
          <w:p>
            <w:pPr>
              <w:pStyle w:val="Normal"/>
              <w:jc w:val="center"/>
              <w:rPr/>
            </w:pPr>
            <w:r>
              <w:rPr>
                <w:rFonts w:eastAsia="Arial" w:cs="Arial"/>
                <w:i/>
                <w:iCs/>
                <w:color w:val="CCDDEE"/>
                <w:sz w:val="22"/>
                <w:szCs w:val="22"/>
              </w:rPr>
              <w:t>Système d'Inspection Automatisée des Ouvrages d'Art par Intelligence Artificielle</w:t>
            </w:r>
          </w:p>
        </w:tc>
      </w:tr>
    </w:tbl>
    <w:p>
      <w:pPr>
        <w:pStyle w:val="Normal"/>
        <w:spacing w:before="0" w:after="320"/>
        <w:rPr/>
      </w:pPr>
      <w:r>
        <w:rPr/>
      </w:r>
    </w:p>
    <w:tbl>
      <w:tblPr>
        <w:tblW w:w="9026" w:type="dxa"/>
        <w:jc w:val="start"/>
        <w:tblInd w:w="0" w:type="dxa"/>
        <w:tblLayout w:type="fixed"/>
        <w:tblCellMar>
          <w:top w:w="80" w:type="dxa"/>
          <w:start w:w="120" w:type="dxa"/>
          <w:bottom w:w="80" w:type="dxa"/>
          <w:end w:w="120" w:type="dxa"/>
        </w:tblCellMar>
      </w:tblPr>
      <w:tblGrid>
        <w:gridCol w:w="3000"/>
        <w:gridCol w:w="6026"/>
      </w:tblGrid>
      <w:tr>
        <w:trPr/>
        <w:tc>
          <w:tcPr>
            <w:tcW w:w="3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bCs/>
                <w:i w:val="false"/>
                <w:iCs w:val="false"/>
                <w:color w:val="1F4E79"/>
                <w:sz w:val="20"/>
                <w:szCs w:val="20"/>
              </w:rPr>
              <w:t>Auteur</w:t>
            </w:r>
          </w:p>
        </w:tc>
        <w:tc>
          <w:tcPr>
            <w:tcW w:w="60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Youssef Elhardouzi</w:t>
            </w:r>
          </w:p>
        </w:tc>
      </w:tr>
      <w:tr>
        <w:trPr/>
        <w:tc>
          <w:tcPr>
            <w:tcW w:w="3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bCs/>
                <w:i w:val="false"/>
                <w:iCs w:val="false"/>
                <w:color w:val="1F4E79"/>
                <w:sz w:val="20"/>
                <w:szCs w:val="20"/>
              </w:rPr>
              <w:t>Établissement</w:t>
            </w:r>
          </w:p>
        </w:tc>
        <w:tc>
          <w:tcPr>
            <w:tcW w:w="60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ISMAGI — Institut Supérieur de Management, d'Administration et de Génie Informatique</w:t>
            </w:r>
          </w:p>
        </w:tc>
      </w:tr>
      <w:tr>
        <w:trPr/>
        <w:tc>
          <w:tcPr>
            <w:tcW w:w="3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bCs/>
                <w:i w:val="false"/>
                <w:iCs w:val="false"/>
                <w:color w:val="1F4E79"/>
                <w:sz w:val="20"/>
                <w:szCs w:val="20"/>
              </w:rPr>
              <w:t>Structure d'accueil</w:t>
            </w:r>
          </w:p>
        </w:tc>
        <w:tc>
          <w:tcPr>
            <w:tcW w:w="60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CID — Conseil Ingénierie et Développement</w:t>
            </w:r>
          </w:p>
        </w:tc>
      </w:tr>
      <w:tr>
        <w:trPr/>
        <w:tc>
          <w:tcPr>
            <w:tcW w:w="3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bCs/>
                <w:i w:val="false"/>
                <w:iCs w:val="false"/>
                <w:color w:val="1F4E79"/>
                <w:sz w:val="20"/>
                <w:szCs w:val="20"/>
              </w:rPr>
              <w:t>Type de stage</w:t>
            </w:r>
          </w:p>
        </w:tc>
        <w:tc>
          <w:tcPr>
            <w:tcW w:w="60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Stage de Fin d'Études (PFE)</w:t>
            </w:r>
          </w:p>
        </w:tc>
      </w:tr>
      <w:tr>
        <w:trPr/>
        <w:tc>
          <w:tcPr>
            <w:tcW w:w="3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bCs/>
                <w:i w:val="false"/>
                <w:iCs w:val="false"/>
                <w:color w:val="1F4E79"/>
                <w:sz w:val="20"/>
                <w:szCs w:val="20"/>
              </w:rPr>
              <w:t>Encadrant entreprise</w:t>
            </w:r>
          </w:p>
        </w:tc>
        <w:tc>
          <w:tcPr>
            <w:tcW w:w="60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iCs/>
                <w:color w:val="595959"/>
                <w:sz w:val="20"/>
                <w:szCs w:val="20"/>
              </w:rPr>
              <w:t>[À compléter]</w:t>
            </w:r>
          </w:p>
        </w:tc>
      </w:tr>
      <w:tr>
        <w:trPr/>
        <w:tc>
          <w:tcPr>
            <w:tcW w:w="3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bCs/>
                <w:i w:val="false"/>
                <w:iCs w:val="false"/>
                <w:color w:val="1F4E79"/>
                <w:sz w:val="20"/>
                <w:szCs w:val="20"/>
              </w:rPr>
              <w:t>Encadrant académique</w:t>
            </w:r>
          </w:p>
        </w:tc>
        <w:tc>
          <w:tcPr>
            <w:tcW w:w="60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iCs/>
                <w:color w:val="595959"/>
                <w:sz w:val="20"/>
                <w:szCs w:val="20"/>
              </w:rPr>
              <w:t>[À compléter]</w:t>
            </w:r>
          </w:p>
        </w:tc>
      </w:tr>
      <w:tr>
        <w:trPr/>
        <w:tc>
          <w:tcPr>
            <w:tcW w:w="3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bCs/>
                <w:i w:val="false"/>
                <w:iCs w:val="false"/>
                <w:color w:val="1F4E79"/>
                <w:sz w:val="20"/>
                <w:szCs w:val="20"/>
              </w:rPr>
              <w:t>Date</w:t>
            </w:r>
          </w:p>
        </w:tc>
        <w:tc>
          <w:tcPr>
            <w:tcW w:w="60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Mars 2026</w:t>
            </w:r>
          </w:p>
        </w:tc>
      </w:tr>
    </w:tbl>
    <w:p>
      <w:pPr>
        <w:pStyle w:val="Normal"/>
        <w:rPr/>
      </w:pPr>
      <w:r>
        <w:rPr/>
      </w:r>
      <w:r>
        <w:br w:type="page"/>
      </w:r>
    </w:p>
    <w:p>
      <w:pPr>
        <w:pStyle w:val="Heading1"/>
        <w:pBdr>
          <w:bottom w:val="single" w:sz="6" w:space="1" w:color="2E75B6"/>
        </w:pBdr>
        <w:spacing w:before="0" w:after="200"/>
        <w:rPr/>
      </w:pPr>
      <w:bookmarkStart w:id="0" w:name="__RefHeading___Toc1128_3687304687"/>
      <w:bookmarkEnd w:id="0"/>
      <w:r>
        <w:rPr>
          <w:rFonts w:eastAsia="Arial" w:cs="Arial" w:ascii="Arial" w:hAnsi="Arial"/>
          <w:b/>
          <w:bCs/>
          <w:color w:val="1F4E79"/>
          <w:sz w:val="32"/>
          <w:szCs w:val="32"/>
        </w:rPr>
        <w:t>Table des Matières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"1-3" \h</w:instrText>
          </w:r>
          <w:r>
            <w:rPr>
              <w:rStyle w:val="IndexLink"/>
            </w:rPr>
            <w:fldChar w:fldCharType="separate"/>
          </w:r>
          <w:hyperlink w:anchor="__RefHeading___Toc1128_3687304687" w:tooltip="Table des Matières">
            <w:r>
              <w:rPr>
                <w:rStyle w:val="IndexLink"/>
              </w:rPr>
              <w:t>Table des Matières</w:t>
              <w:tab/>
              <w:t>2</w:t>
            </w:r>
          </w:hyperlink>
        </w:p>
        <w:p>
          <w:pPr>
            <w:pStyle w:val="TOC1"/>
            <w:tabs>
              <w:tab w:val="clear" w:pos="9638"/>
              <w:tab w:val="right" w:pos="9637" w:leader="dot"/>
            </w:tabs>
            <w:rPr/>
          </w:pPr>
          <w:hyperlink w:anchor="__RefHeading___Toc1130_3687304687" w:tooltip="1. Introduction et Contexte du Projet">
            <w:r>
              <w:rPr>
                <w:rStyle w:val="IndexLink"/>
              </w:rPr>
              <w:t>1. Introduction et Contexte du Projet</w:t>
              <w:tab/>
              <w:t>3</w:t>
            </w:r>
          </w:hyperlink>
        </w:p>
        <w:p>
          <w:pPr>
            <w:pStyle w:val="TOC2"/>
            <w:tabs>
              <w:tab w:val="clear" w:pos="9355"/>
              <w:tab w:val="right" w:pos="9637" w:leader="dot"/>
            </w:tabs>
            <w:rPr/>
          </w:pPr>
          <w:hyperlink w:anchor="__RefHeading___Toc1132_3687304687" w:tooltip="1.1 Contexte général">
            <w:r>
              <w:rPr>
                <w:rStyle w:val="IndexLink"/>
              </w:rPr>
              <w:t>1.1 Contexte général</w:t>
              <w:tab/>
              <w:t>3</w:t>
            </w:r>
          </w:hyperlink>
        </w:p>
        <w:p>
          <w:pPr>
            <w:pStyle w:val="TOC2"/>
            <w:tabs>
              <w:tab w:val="clear" w:pos="9355"/>
              <w:tab w:val="right" w:pos="9637" w:leader="dot"/>
            </w:tabs>
            <w:rPr/>
          </w:pPr>
          <w:hyperlink w:anchor="__RefHeading___Toc1134_3687304687" w:tooltip="1.2 Objectif du projet CID">
            <w:r>
              <w:rPr>
                <w:rStyle w:val="IndexLink"/>
              </w:rPr>
              <w:t>1.2 Objectif du projet CID</w:t>
              <w:tab/>
              <w:t>3</w:t>
            </w:r>
          </w:hyperlink>
        </w:p>
        <w:p>
          <w:pPr>
            <w:pStyle w:val="TOC2"/>
            <w:tabs>
              <w:tab w:val="clear" w:pos="9355"/>
              <w:tab w:val="right" w:pos="9637" w:leader="dot"/>
            </w:tabs>
            <w:rPr/>
          </w:pPr>
          <w:hyperlink w:anchor="__RefHeading___Toc1136_3687304687" w:tooltip="1.3 Objectif de ce rapport">
            <w:r>
              <w:rPr>
                <w:rStyle w:val="IndexLink"/>
              </w:rPr>
              <w:t>1.3 Objectif de ce rapport</w:t>
              <w:tab/>
              <w:t>3</w:t>
            </w:r>
          </w:hyperlink>
        </w:p>
        <w:p>
          <w:pPr>
            <w:pStyle w:val="TOC1"/>
            <w:tabs>
              <w:tab w:val="clear" w:pos="9638"/>
              <w:tab w:val="right" w:pos="9637" w:leader="dot"/>
            </w:tabs>
            <w:rPr/>
          </w:pPr>
          <w:hyperlink w:anchor="__RefHeading___Toc1138_3687304687" w:tooltip="2. Construction du Dataset d'Entraînement">
            <w:r>
              <w:rPr>
                <w:rStyle w:val="IndexLink"/>
              </w:rPr>
              <w:t>2. Construction du Dataset d'Entraînement</w:t>
              <w:tab/>
              <w:t>4</w:t>
            </w:r>
          </w:hyperlink>
        </w:p>
        <w:p>
          <w:pPr>
            <w:pStyle w:val="TOC2"/>
            <w:tabs>
              <w:tab w:val="clear" w:pos="9355"/>
              <w:tab w:val="right" w:pos="9637" w:leader="dot"/>
            </w:tabs>
            <w:rPr/>
          </w:pPr>
          <w:hyperlink w:anchor="__RefHeading___Toc1140_3687304687" w:tooltip="2.1 Source des données — Fascicules ITSEOA">
            <w:r>
              <w:rPr>
                <w:rStyle w:val="IndexLink"/>
              </w:rPr>
              <w:t>2.1 Source des données — Fascicules ITSEOA</w:t>
              <w:tab/>
              <w:t>4</w:t>
            </w:r>
          </w:hyperlink>
        </w:p>
        <w:p>
          <w:pPr>
            <w:pStyle w:val="TOC2"/>
            <w:tabs>
              <w:tab w:val="clear" w:pos="9355"/>
              <w:tab w:val="right" w:pos="9637" w:leader="dot"/>
            </w:tabs>
            <w:rPr/>
          </w:pPr>
          <w:hyperlink w:anchor="__RefHeading___Toc1142_3687304687" w:tooltip="2.2 Extraction automatisée">
            <w:r>
              <w:rPr>
                <w:rStyle w:val="IndexLink"/>
              </w:rPr>
              <w:t>2.2 Extraction automatisée</w:t>
              <w:tab/>
              <w:t>4</w:t>
            </w:r>
          </w:hyperlink>
        </w:p>
        <w:p>
          <w:pPr>
            <w:pStyle w:val="TOC2"/>
            <w:tabs>
              <w:tab w:val="clear" w:pos="9355"/>
              <w:tab w:val="right" w:pos="9637" w:leader="dot"/>
            </w:tabs>
            <w:rPr/>
          </w:pPr>
          <w:hyperlink w:anchor="__RefHeading___Toc1144_3687304687" w:tooltip="2.3 Familles de désordres couvertes">
            <w:r>
              <w:rPr>
                <w:rStyle w:val="IndexLink"/>
              </w:rPr>
              <w:t>2.3 Familles de désordres couvertes</w:t>
              <w:tab/>
              <w:t>4</w:t>
            </w:r>
          </w:hyperlink>
        </w:p>
        <w:p>
          <w:pPr>
            <w:pStyle w:val="TOC2"/>
            <w:tabs>
              <w:tab w:val="clear" w:pos="9355"/>
              <w:tab w:val="right" w:pos="9637" w:leader="dot"/>
            </w:tabs>
            <w:rPr/>
          </w:pPr>
          <w:hyperlink w:anchor="__RefHeading___Toc1146_3687304687" w:tooltip="2.4 Schéma de stockage MongoDB">
            <w:r>
              <w:rPr>
                <w:rStyle w:val="IndexLink"/>
              </w:rPr>
              <w:t>2.4 Schéma de stockage MongoDB</w:t>
              <w:tab/>
              <w:t>5</w:t>
            </w:r>
          </w:hyperlink>
        </w:p>
        <w:p>
          <w:pPr>
            <w:pStyle w:val="TOC1"/>
            <w:tabs>
              <w:tab w:val="clear" w:pos="9638"/>
              <w:tab w:val="right" w:pos="9637" w:leader="dot"/>
            </w:tabs>
            <w:rPr/>
          </w:pPr>
          <w:hyperlink w:anchor="__RefHeading___Toc1148_3687304687" w:tooltip="3. Méthodologie de Sélection du Modèle">
            <w:r>
              <w:rPr>
                <w:rStyle w:val="IndexLink"/>
              </w:rPr>
              <w:t>3. Méthodologie de Sélection du Modèle</w:t>
              <w:tab/>
              <w:t>6</w:t>
            </w:r>
          </w:hyperlink>
        </w:p>
        <w:p>
          <w:pPr>
            <w:pStyle w:val="TOC2"/>
            <w:tabs>
              <w:tab w:val="clear" w:pos="9355"/>
              <w:tab w:val="right" w:pos="9637" w:leader="dot"/>
            </w:tabs>
            <w:rPr/>
          </w:pPr>
          <w:hyperlink w:anchor="__RefHeading___Toc1150_3687304687" w:tooltip="3.1 Contexte de la décision">
            <w:r>
              <w:rPr>
                <w:rStyle w:val="IndexLink"/>
              </w:rPr>
              <w:t>3.1 Contexte de la décision</w:t>
              <w:tab/>
              <w:t>6</w:t>
            </w:r>
          </w:hyperlink>
        </w:p>
        <w:p>
          <w:pPr>
            <w:pStyle w:val="TOC2"/>
            <w:tabs>
              <w:tab w:val="clear" w:pos="9355"/>
              <w:tab w:val="right" w:pos="9637" w:leader="dot"/>
            </w:tabs>
            <w:rPr/>
          </w:pPr>
          <w:hyperlink w:anchor="__RefHeading___Toc1152_3687304687" w:tooltip="3.2 Source de données pour la présélection">
            <w:r>
              <w:rPr>
                <w:rStyle w:val="IndexLink"/>
              </w:rPr>
              <w:t>3.2 Source de données pour la présélection</w:t>
              <w:tab/>
              <w:t>6</w:t>
            </w:r>
          </w:hyperlink>
        </w:p>
        <w:p>
          <w:pPr>
            <w:pStyle w:val="TOC2"/>
            <w:tabs>
              <w:tab w:val="clear" w:pos="9355"/>
              <w:tab w:val="right" w:pos="9637" w:leader="dot"/>
            </w:tabs>
            <w:rPr/>
          </w:pPr>
          <w:hyperlink w:anchor="__RefHeading___Toc1154_3687304687" w:tooltip="3.3 Candidats retenus">
            <w:r>
              <w:rPr>
                <w:rStyle w:val="IndexLink"/>
              </w:rPr>
              <w:t>3.3 Candidats retenus</w:t>
              <w:tab/>
              <w:t>6</w:t>
            </w:r>
          </w:hyperlink>
        </w:p>
        <w:p>
          <w:pPr>
            <w:pStyle w:val="TOC2"/>
            <w:tabs>
              <w:tab w:val="clear" w:pos="9355"/>
              <w:tab w:val="right" w:pos="9637" w:leader="dot"/>
            </w:tabs>
            <w:rPr/>
          </w:pPr>
          <w:hyperlink w:anchor="__RefHeading___Toc1156_3687304687" w:tooltip="3.4 Critères de notation pondérée">
            <w:r>
              <w:rPr>
                <w:rStyle w:val="IndexLink"/>
              </w:rPr>
              <w:t>3.4 Critères de notation pondérée</w:t>
              <w:tab/>
              <w:t>6</w:t>
            </w:r>
          </w:hyperlink>
        </w:p>
        <w:p>
          <w:pPr>
            <w:pStyle w:val="TOC1"/>
            <w:tabs>
              <w:tab w:val="clear" w:pos="9638"/>
              <w:tab w:val="right" w:pos="9637" w:leader="dot"/>
            </w:tabs>
            <w:rPr/>
          </w:pPr>
          <w:hyperlink w:anchor="__RefHeading___Toc1158_3687304687" w:tooltip="4. Expérimentation et Résultats">
            <w:r>
              <w:rPr>
                <w:rStyle w:val="IndexLink"/>
              </w:rPr>
              <w:t>4. Expérimentation et Résultats</w:t>
              <w:tab/>
              <w:t>8</w:t>
            </w:r>
          </w:hyperlink>
        </w:p>
        <w:p>
          <w:pPr>
            <w:pStyle w:val="TOC2"/>
            <w:tabs>
              <w:tab w:val="clear" w:pos="9355"/>
              <w:tab w:val="right" w:pos="9637" w:leader="dot"/>
            </w:tabs>
            <w:rPr/>
          </w:pPr>
          <w:hyperlink w:anchor="__RefHeading___Toc1160_3687304687" w:tooltip="4.1 Protocole expérimental">
            <w:r>
              <w:rPr>
                <w:rStyle w:val="IndexLink"/>
              </w:rPr>
              <w:t>4.1 Protocole expérimental</w:t>
              <w:tab/>
              <w:t>8</w:t>
            </w:r>
          </w:hyperlink>
        </w:p>
        <w:p>
          <w:pPr>
            <w:pStyle w:val="TOC2"/>
            <w:tabs>
              <w:tab w:val="clear" w:pos="9355"/>
              <w:tab w:val="right" w:pos="9637" w:leader="dot"/>
            </w:tabs>
            <w:rPr/>
          </w:pPr>
          <w:hyperlink w:anchor="__RefHeading___Toc1162_3687304687" w:tooltip="4.2 Métriques automatiques : BLEU et ROUGE-L">
            <w:r>
              <w:rPr>
                <w:rStyle w:val="IndexLink"/>
              </w:rPr>
              <w:t>4.2 Métriques automatiques : BLEU et ROUGE-L</w:t>
              <w:tab/>
              <w:t>8</w:t>
            </w:r>
          </w:hyperlink>
        </w:p>
        <w:p>
          <w:pPr>
            <w:pStyle w:val="TOC2"/>
            <w:tabs>
              <w:tab w:val="clear" w:pos="9355"/>
              <w:tab w:val="right" w:pos="9637" w:leader="dot"/>
            </w:tabs>
            <w:rPr/>
          </w:pPr>
          <w:hyperlink w:anchor="__RefHeading___Toc1164_3687304687" w:tooltip="4.3 Résultats quantitatifs">
            <w:r>
              <w:rPr>
                <w:rStyle w:val="IndexLink"/>
              </w:rPr>
              <w:t>4.3 Résultats quantitatifs</w:t>
              <w:tab/>
              <w:t>8</w:t>
            </w:r>
          </w:hyperlink>
        </w:p>
        <w:p>
          <w:pPr>
            <w:pStyle w:val="TOC3"/>
            <w:tabs>
              <w:tab w:val="clear" w:pos="9071"/>
              <w:tab w:val="right" w:pos="9637" w:leader="dot"/>
            </w:tabs>
            <w:rPr/>
          </w:pPr>
          <w:hyperlink w:anchor="__RefHeading___Toc1166_3687304687" w:tooltip="4.3.1 Métriques matérielles">
            <w:r>
              <w:rPr>
                <w:rStyle w:val="IndexLink"/>
              </w:rPr>
              <w:t>4.3.1 Métriques matérielles</w:t>
              <w:tab/>
              <w:t>8</w:t>
            </w:r>
          </w:hyperlink>
        </w:p>
        <w:p>
          <w:pPr>
            <w:pStyle w:val="TOC3"/>
            <w:tabs>
              <w:tab w:val="clear" w:pos="9071"/>
              <w:tab w:val="right" w:pos="9637" w:leader="dot"/>
            </w:tabs>
            <w:rPr/>
          </w:pPr>
          <w:hyperlink w:anchor="__RefHeading___Toc1168_3687304687" w:tooltip="4.3.2 Scores BLEU et ROUGE-L">
            <w:r>
              <w:rPr>
                <w:rStyle w:val="IndexLink"/>
              </w:rPr>
              <w:t>4.3.2 Scores BLEU et ROUGE-L</w:t>
              <w:tab/>
              <w:t>9</w:t>
            </w:r>
          </w:hyperlink>
        </w:p>
        <w:p>
          <w:pPr>
            <w:pStyle w:val="TOC2"/>
            <w:tabs>
              <w:tab w:val="clear" w:pos="9355"/>
              <w:tab w:val="right" w:pos="9637" w:leader="dot"/>
            </w:tabs>
            <w:rPr/>
          </w:pPr>
          <w:hyperlink w:anchor="__RefHeading___Toc1170_3687304687" w:tooltip="4.4 Analyse qualitative des sorties">
            <w:r>
              <w:rPr>
                <w:rStyle w:val="IndexLink"/>
              </w:rPr>
              <w:t>4.4 Analyse qualitative des sorties</w:t>
              <w:tab/>
              <w:t>9</w:t>
            </w:r>
          </w:hyperlink>
        </w:p>
        <w:p>
          <w:pPr>
            <w:pStyle w:val="TOC3"/>
            <w:tabs>
              <w:tab w:val="clear" w:pos="9071"/>
              <w:tab w:val="right" w:pos="9637" w:leader="dot"/>
            </w:tabs>
            <w:rPr/>
          </w:pPr>
          <w:hyperlink w:anchor="__RefHeading___Toc1172_3687304687" w:tooltip="Image 38 — Éclats résultant de la corrosion des armatures (Fiche 4.2)">
            <w:r>
              <w:rPr>
                <w:rStyle w:val="IndexLink"/>
              </w:rPr>
              <w:t>Image 38 — Éclats résultant de la corrosion des armatures (Fiche 4.2)</w:t>
              <w:tab/>
              <w:t>9</w:t>
            </w:r>
          </w:hyperlink>
        </w:p>
        <w:p>
          <w:pPr>
            <w:pStyle w:val="TOC3"/>
            <w:tabs>
              <w:tab w:val="clear" w:pos="9071"/>
              <w:tab w:val="right" w:pos="9637" w:leader="dot"/>
            </w:tabs>
            <w:rPr/>
          </w:pPr>
          <w:hyperlink w:anchor="__RefHeading___Toc1174_3687304687" w:tooltip="Image 116 — Écoulement en intrados de tablier (Fiche 7.2)">
            <w:r>
              <w:rPr>
                <w:rStyle w:val="IndexLink"/>
              </w:rPr>
              <w:t>Image 116 — Écoulement en intrados de tablier (Fiche 7.2)</w:t>
              <w:tab/>
              <w:t>9</w:t>
            </w:r>
          </w:hyperlink>
        </w:p>
        <w:p>
          <w:pPr>
            <w:pStyle w:val="TOC1"/>
            <w:tabs>
              <w:tab w:val="clear" w:pos="9638"/>
              <w:tab w:val="right" w:pos="9637" w:leader="dot"/>
            </w:tabs>
            <w:rPr/>
          </w:pPr>
          <w:hyperlink w:anchor="__RefHeading___Toc1176_3687304687" w:tooltip="5. Scores de Référence Publiés">
            <w:r>
              <w:rPr>
                <w:rStyle w:val="IndexLink"/>
              </w:rPr>
              <w:t>5. Scores de Référence Publiés</w:t>
              <w:tab/>
              <w:t>10</w:t>
            </w:r>
          </w:hyperlink>
        </w:p>
        <w:p>
          <w:pPr>
            <w:pStyle w:val="TOC2"/>
            <w:tabs>
              <w:tab w:val="clear" w:pos="9355"/>
              <w:tab w:val="right" w:pos="9637" w:leader="dot"/>
            </w:tabs>
            <w:rPr/>
          </w:pPr>
          <w:hyperlink w:anchor="__RefHeading___Toc1178_3687304687" w:tooltip="5.1 Open VLM Leaderboard">
            <w:r>
              <w:rPr>
                <w:rStyle w:val="IndexLink"/>
              </w:rPr>
              <w:t>5.1 Open VLM Leaderboard</w:t>
              <w:tab/>
              <w:t>10</w:t>
            </w:r>
          </w:hyperlink>
        </w:p>
        <w:p>
          <w:pPr>
            <w:pStyle w:val="TOC1"/>
            <w:tabs>
              <w:tab w:val="clear" w:pos="9638"/>
              <w:tab w:val="right" w:pos="9637" w:leader="dot"/>
            </w:tabs>
            <w:rPr/>
          </w:pPr>
          <w:hyperlink w:anchor="__RefHeading___Toc1180_3687304687" w:tooltip="6. Décision Finale et Justification">
            <w:r>
              <w:rPr>
                <w:rStyle w:val="IndexLink"/>
              </w:rPr>
              <w:t>6. Décision Finale et Justification</w:t>
              <w:tab/>
              <w:t>11</w:t>
            </w:r>
          </w:hyperlink>
        </w:p>
        <w:p>
          <w:pPr>
            <w:pStyle w:val="TOC2"/>
            <w:tabs>
              <w:tab w:val="clear" w:pos="9355"/>
              <w:tab w:val="right" w:pos="9637" w:leader="dot"/>
            </w:tabs>
            <w:rPr/>
          </w:pPr>
          <w:hyperlink w:anchor="__RefHeading___Toc1182_3687304687" w:tooltip="6.1 Scores pondérés">
            <w:r>
              <w:rPr>
                <w:rStyle w:val="IndexLink"/>
              </w:rPr>
              <w:t>6.1 Scores pondérés</w:t>
              <w:tab/>
              <w:t>11</w:t>
            </w:r>
          </w:hyperlink>
        </w:p>
        <w:p>
          <w:pPr>
            <w:pStyle w:val="TOC2"/>
            <w:tabs>
              <w:tab w:val="clear" w:pos="9355"/>
              <w:tab w:val="right" w:pos="9637" w:leader="dot"/>
            </w:tabs>
            <w:rPr/>
          </w:pPr>
          <w:hyperlink w:anchor="__RefHeading___Toc1184_3687304687" w:tooltip="6.2 Modèle retenu : Qwen2.5-VL-3B-Instruct">
            <w:r>
              <w:rPr>
                <w:rStyle w:val="IndexLink"/>
              </w:rPr>
              <w:t>6.2 Modèle retenu : Qwen2.5-VL-3B-Instruct</w:t>
              <w:tab/>
              <w:t>11</w:t>
            </w:r>
          </w:hyperlink>
        </w:p>
        <w:p>
          <w:pPr>
            <w:pStyle w:val="TOC2"/>
            <w:tabs>
              <w:tab w:val="clear" w:pos="9355"/>
              <w:tab w:val="right" w:pos="9637" w:leader="dot"/>
            </w:tabs>
            <w:rPr/>
          </w:pPr>
          <w:hyperlink w:anchor="__RefHeading___Toc1186_3687304687" w:tooltip="6.3 Modèles non retenus — analyse">
            <w:r>
              <w:rPr>
                <w:rStyle w:val="IndexLink"/>
              </w:rPr>
              <w:t>6.3 Modèles non retenus — analyse</w:t>
              <w:tab/>
              <w:t>11</w:t>
            </w:r>
          </w:hyperlink>
        </w:p>
        <w:p>
          <w:pPr>
            <w:pStyle w:val="TOC3"/>
            <w:tabs>
              <w:tab w:val="clear" w:pos="9071"/>
              <w:tab w:val="right" w:pos="9637" w:leader="dot"/>
            </w:tabs>
            <w:rPr/>
          </w:pPr>
          <w:hyperlink w:anchor="__RefHeading___Toc1188_3687304687" w:tooltip="Gemma3-4B-IT">
            <w:r>
              <w:rPr>
                <w:rStyle w:val="IndexLink"/>
              </w:rPr>
              <w:t>Gemma3-4B-IT</w:t>
              <w:tab/>
              <w:t>11</w:t>
            </w:r>
          </w:hyperlink>
        </w:p>
        <w:p>
          <w:pPr>
            <w:pStyle w:val="TOC3"/>
            <w:tabs>
              <w:tab w:val="clear" w:pos="9071"/>
              <w:tab w:val="right" w:pos="9637" w:leader="dot"/>
            </w:tabs>
            <w:rPr/>
          </w:pPr>
          <w:hyperlink w:anchor="__RefHeading___Toc1190_3687304687" w:tooltip="InternVL3-2B-hf">
            <w:r>
              <w:rPr>
                <w:rStyle w:val="IndexLink"/>
              </w:rPr>
              <w:t>InternVL3-2B-hf</w:t>
              <w:tab/>
              <w:t>12</w:t>
            </w:r>
          </w:hyperlink>
        </w:p>
        <w:p>
          <w:pPr>
            <w:pStyle w:val="TOC3"/>
            <w:tabs>
              <w:tab w:val="clear" w:pos="9071"/>
              <w:tab w:val="right" w:pos="9637" w:leader="dot"/>
            </w:tabs>
            <w:rPr/>
          </w:pPr>
          <w:hyperlink w:anchor="__RefHeading___Toc1192_3687304687" w:tooltip="SmolVLM2-2.2B">
            <w:r>
              <w:rPr>
                <w:rStyle w:val="IndexLink"/>
              </w:rPr>
              <w:t>SmolVLM2-2.2B</w:t>
              <w:tab/>
              <w:t>12</w:t>
            </w:r>
          </w:hyperlink>
        </w:p>
        <w:p>
          <w:pPr>
            <w:pStyle w:val="TOC1"/>
            <w:tabs>
              <w:tab w:val="clear" w:pos="9638"/>
              <w:tab w:val="right" w:pos="9637" w:leader="dot"/>
            </w:tabs>
            <w:rPr/>
          </w:pPr>
          <w:hyperlink w:anchor="__RefHeading___Toc1194_3687304687" w:tooltip="7. Conclusion et Prochaines Étapes">
            <w:r>
              <w:rPr>
                <w:rStyle w:val="IndexLink"/>
              </w:rPr>
              <w:t>7. Conclusion et Prochaines Étapes</w:t>
              <w:tab/>
              <w:t>13</w:t>
            </w:r>
          </w:hyperlink>
        </w:p>
        <w:p>
          <w:pPr>
            <w:pStyle w:val="TOC2"/>
            <w:tabs>
              <w:tab w:val="clear" w:pos="9355"/>
              <w:tab w:val="right" w:pos="9637" w:leader="dot"/>
            </w:tabs>
            <w:rPr/>
          </w:pPr>
          <w:hyperlink w:anchor="__RefHeading___Toc1196_3687304687" w:tooltip="7.1 Synthèse de la Phase 0">
            <w:r>
              <w:rPr>
                <w:rStyle w:val="IndexLink"/>
              </w:rPr>
              <w:t>7.1 Synthèse de la Phase 0</w:t>
              <w:tab/>
              <w:t>13</w:t>
            </w:r>
          </w:hyperlink>
        </w:p>
        <w:p>
          <w:pPr>
            <w:pStyle w:val="TOC2"/>
            <w:tabs>
              <w:tab w:val="clear" w:pos="9355"/>
              <w:tab w:val="right" w:pos="9637" w:leader="dot"/>
            </w:tabs>
            <w:rPr/>
          </w:pPr>
          <w:hyperlink w:anchor="__RefHeading___Toc1198_3687304687" w:tooltip="7.2 Feuille de route Phase 1">
            <w:r>
              <w:rPr>
                <w:rStyle w:val="IndexLink"/>
              </w:rPr>
              <w:t>7.2 Feuille de route Phase 1</w:t>
              <w:tab/>
              <w:t>13</w:t>
            </w:r>
          </w:hyperlink>
        </w:p>
        <w:p>
          <w:pPr>
            <w:pStyle w:val="TOC2"/>
            <w:tabs>
              <w:tab w:val="clear" w:pos="9355"/>
              <w:tab w:val="right" w:pos="9637" w:leader="dot"/>
            </w:tabs>
            <w:rPr/>
          </w:pPr>
          <w:hyperlink w:anchor="__RefHeading___Toc1200_3687304687" w:tooltip="7.3 Données supplémentaires prévues">
            <w:r>
              <w:rPr>
                <w:rStyle w:val="IndexLink"/>
              </w:rPr>
              <w:t>7.3 Données supplémentaires prévues</w:t>
              <w:tab/>
              <w:t>13</w:t>
            </w:r>
          </w:hyperlink>
        </w:p>
        <w:p>
          <w:pPr>
            <w:pStyle w:val="TOC1"/>
            <w:tabs>
              <w:tab w:val="clear" w:pos="9638"/>
              <w:tab w:val="right" w:pos="9637" w:leader="dot"/>
            </w:tabs>
            <w:rPr/>
          </w:pPr>
          <w:hyperlink w:anchor="__RefHeading___Toc1202_3687304687" w:tooltip="Références">
            <w:r>
              <w:rPr>
                <w:rStyle w:val="IndexLink"/>
              </w:rPr>
              <w:t>Références</w:t>
              <w:tab/>
              <w:t>13</w:t>
            </w:r>
          </w:hyperlink>
          <w:r>
            <w:rPr>
              <w:rStyle w:val="IndexLink"/>
            </w:rPr>
            <w:fldChar w:fldCharType="end"/>
          </w:r>
        </w:p>
      </w:sdtContent>
    </w:sdt>
    <w:p>
      <w:pPr>
        <w:pStyle w:val="Normal"/>
        <w:rPr/>
      </w:pPr>
      <w:r>
        <w:rPr/>
      </w:r>
    </w:p>
    <w:p>
      <w:pPr>
        <w:pStyle w:val="Normal"/>
        <w:rPr/>
      </w:pPr>
      <w:r>
        <w:rPr/>
      </w:r>
      <w:r>
        <w:br w:type="page"/>
      </w:r>
    </w:p>
    <w:p>
      <w:pPr>
        <w:pStyle w:val="Heading1"/>
        <w:pBdr>
          <w:bottom w:val="single" w:sz="6" w:space="1" w:color="2E75B6"/>
        </w:pBdr>
        <w:spacing w:before="0" w:after="200"/>
        <w:rPr/>
      </w:pPr>
      <w:bookmarkStart w:id="1" w:name="__RefHeading___Toc1130_3687304687"/>
      <w:bookmarkEnd w:id="1"/>
      <w:r>
        <w:rPr>
          <w:rFonts w:eastAsia="Arial" w:cs="Arial" w:ascii="Arial" w:hAnsi="Arial"/>
          <w:b/>
          <w:bCs/>
          <w:color w:val="1F4E79"/>
          <w:sz w:val="32"/>
          <w:szCs w:val="32"/>
        </w:rPr>
        <w:t>1. Introduction et Contexte du Projet</w:t>
      </w:r>
    </w:p>
    <w:p>
      <w:pPr>
        <w:pStyle w:val="Heading2"/>
        <w:spacing w:before="280" w:after="140"/>
        <w:rPr/>
      </w:pPr>
      <w:bookmarkStart w:id="2" w:name="__RefHeading___Toc1132_3687304687"/>
      <w:bookmarkEnd w:id="2"/>
      <w:r>
        <w:rPr>
          <w:rFonts w:eastAsia="Arial" w:cs="Arial" w:ascii="Arial" w:hAnsi="Arial"/>
          <w:b/>
          <w:bCs/>
          <w:color w:val="2E75B6"/>
          <w:sz w:val="26"/>
          <w:szCs w:val="26"/>
        </w:rPr>
        <w:t>1.1 Contexte général</w:t>
      </w:r>
    </w:p>
    <w:p>
      <w:pPr>
        <w:pStyle w:val="Normal"/>
        <w:spacing w:before="80" w:after="80"/>
        <w:jc w:val="start"/>
        <w:rPr/>
      </w:pPr>
      <w:r>
        <w:rPr>
          <w:rFonts w:eastAsia="Arial" w:cs="Arial"/>
          <w:b w:val="false"/>
          <w:bCs w:val="false"/>
          <w:i w:val="false"/>
          <w:iCs w:val="false"/>
          <w:color w:val="000000"/>
          <w:sz w:val="22"/>
          <w:szCs w:val="22"/>
        </w:rPr>
        <w:t>L'inspection des ouvrages d'art — ponts, viaducs, murs de soutènement — constitue une activité critique pour la sécurité des infrastructures de transport. En France et au Maroc, cette inspection repose sur le référentiel IQOA (Image de la Qualité des Ouvrages d'Art) et sur les fascicules techniques de l'ITSEOA (Instruction Technique pour la Surveillance et l'Entretien des Ouvrages d'Art). Ces documents définissent une nomenclature précise de plusieurs centaines de désordres, chacun associé à des causes probables, une gravité IQOA, et des suites à donner.</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Aujourd'hui, cette inspection est réalisée manuellement par des ingénieurs qualifiés, qui photographient les désordres sur le terrain et rédigent ensuite des commentaires d'inspection détaillés. Ce processus est coûteux en temps et en ressources humaines, et présente une variabilité inter-expert non négligeable.</w:t>
      </w:r>
    </w:p>
    <w:p>
      <w:pPr>
        <w:pStyle w:val="Heading2"/>
        <w:spacing w:before="280" w:after="140"/>
        <w:rPr/>
      </w:pPr>
      <w:bookmarkStart w:id="3" w:name="__RefHeading___Toc1134_3687304687"/>
      <w:bookmarkEnd w:id="3"/>
      <w:r>
        <w:rPr>
          <w:rFonts w:eastAsia="Arial" w:cs="Arial" w:ascii="Arial" w:hAnsi="Arial"/>
          <w:b/>
          <w:bCs/>
          <w:color w:val="2E75B6"/>
          <w:sz w:val="26"/>
          <w:szCs w:val="26"/>
        </w:rPr>
        <w:t>1.2 Objectif du projet CID</w:t>
      </w:r>
    </w:p>
    <w:p>
      <w:pPr>
        <w:pStyle w:val="Normal"/>
        <w:spacing w:before="80" w:after="80"/>
        <w:jc w:val="start"/>
        <w:rPr/>
      </w:pPr>
      <w:r>
        <w:rPr>
          <w:rFonts w:eastAsia="Arial" w:cs="Arial"/>
          <w:b w:val="false"/>
          <w:bCs w:val="false"/>
          <w:i w:val="false"/>
          <w:iCs w:val="false"/>
          <w:color w:val="000000"/>
          <w:sz w:val="22"/>
          <w:szCs w:val="22"/>
        </w:rPr>
        <w:t>Le projet CID (Système d'Inspection des ouvrages d'art par IA) vise à automatiser partiellement ce processus en développant un système capable d'analyser une photographie d'ouvrage d'art et de générer automatiquement un commentaire d'inspection professionnel en français, conforme aux standards ITSEOA.</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Le système repose sur une architecture en trois phases :</w:t>
      </w:r>
    </w:p>
    <w:p>
      <w:pPr>
        <w:pStyle w:val="ListParagraph"/>
        <w:numPr>
          <w:ilvl w:val="0"/>
          <w:numId w:val="3"/>
        </w:numPr>
        <w:spacing w:before="60" w:after="60"/>
        <w:rPr/>
      </w:pPr>
      <w:r>
        <w:rPr>
          <w:rFonts w:eastAsia="Arial" w:cs="Arial"/>
          <w:sz w:val="22"/>
          <w:szCs w:val="22"/>
        </w:rPr>
        <w:t>Phase 0 — Exploration et sélection du modèle : évaluation comparative des VLMs candidats</w:t>
      </w:r>
    </w:p>
    <w:p>
      <w:pPr>
        <w:pStyle w:val="ListParagraph"/>
        <w:numPr>
          <w:ilvl w:val="0"/>
          <w:numId w:val="1"/>
        </w:numPr>
        <w:spacing w:before="60" w:after="60"/>
        <w:rPr/>
      </w:pPr>
      <w:r>
        <w:rPr>
          <w:rFonts w:eastAsia="Arial" w:cs="Arial"/>
          <w:sz w:val="22"/>
          <w:szCs w:val="22"/>
        </w:rPr>
        <w:t>Phase 1 — Fine-tuning QLoRA : adaptation du modèle sélectionné sur le dataset ITSEOA</w:t>
      </w:r>
    </w:p>
    <w:p>
      <w:pPr>
        <w:pStyle w:val="ListParagraph"/>
        <w:numPr>
          <w:ilvl w:val="0"/>
          <w:numId w:val="1"/>
        </w:numPr>
        <w:spacing w:before="60" w:after="60"/>
        <w:rPr/>
      </w:pPr>
      <w:r>
        <w:rPr>
          <w:rFonts w:eastAsia="Arial" w:cs="Arial"/>
          <w:sz w:val="22"/>
          <w:szCs w:val="22"/>
        </w:rPr>
        <w:t>Phase 2 — Pipeline LangGraph : intégration dans un pipeline agentique de traitement des rapports d'inspection</w:t>
      </w:r>
    </w:p>
    <w:p>
      <w:pPr>
        <w:pStyle w:val="Heading2"/>
        <w:spacing w:before="280" w:after="140"/>
        <w:rPr/>
      </w:pPr>
      <w:bookmarkStart w:id="4" w:name="__RefHeading___Toc1136_3687304687"/>
      <w:bookmarkEnd w:id="4"/>
      <w:r>
        <w:rPr>
          <w:rFonts w:eastAsia="Arial" w:cs="Arial" w:ascii="Arial" w:hAnsi="Arial"/>
          <w:b/>
          <w:bCs/>
          <w:color w:val="2E75B6"/>
          <w:sz w:val="26"/>
          <w:szCs w:val="26"/>
        </w:rPr>
        <w:t>1.3 Objectif de ce rapport</w:t>
      </w:r>
    </w:p>
    <w:p>
      <w:pPr>
        <w:pStyle w:val="Normal"/>
        <w:spacing w:before="80" w:after="80"/>
        <w:jc w:val="start"/>
        <w:rPr/>
      </w:pPr>
      <w:r>
        <w:rPr>
          <w:rFonts w:eastAsia="Arial" w:cs="Arial"/>
          <w:b w:val="false"/>
          <w:bCs w:val="false"/>
          <w:i w:val="false"/>
          <w:iCs w:val="false"/>
          <w:color w:val="000000"/>
          <w:sz w:val="22"/>
          <w:szCs w:val="22"/>
        </w:rPr>
        <w:t>Ce rapport documente la Phase 0 du projet : la démarche méthodologique qui a conduit au choix du modèle de vision-langage (VLM) retenu pour le fine-tuning. Il présente la construction du dataset d'entraînement, les critères de sélection du modèle, les expérimentations conduites, et la décision finale justifiée.</w:t>
      </w:r>
    </w:p>
    <w:p>
      <w:pPr>
        <w:pStyle w:val="Normal"/>
        <w:rPr/>
      </w:pPr>
      <w:r>
        <w:rPr/>
      </w:r>
      <w:r>
        <w:br w:type="page"/>
      </w:r>
    </w:p>
    <w:p>
      <w:pPr>
        <w:pStyle w:val="Heading1"/>
        <w:pBdr>
          <w:bottom w:val="single" w:sz="6" w:space="1" w:color="2E75B6"/>
        </w:pBdr>
        <w:spacing w:before="0" w:after="200"/>
        <w:rPr/>
      </w:pPr>
      <w:bookmarkStart w:id="5" w:name="__RefHeading___Toc1138_3687304687"/>
      <w:bookmarkEnd w:id="5"/>
      <w:r>
        <w:rPr>
          <w:rFonts w:eastAsia="Arial" w:cs="Arial" w:ascii="Arial" w:hAnsi="Arial"/>
          <w:b/>
          <w:bCs/>
          <w:color w:val="1F4E79"/>
          <w:sz w:val="32"/>
          <w:szCs w:val="32"/>
        </w:rPr>
        <w:t>2. Construction du Dataset d'Entraînement</w:t>
      </w:r>
    </w:p>
    <w:p>
      <w:pPr>
        <w:pStyle w:val="Heading2"/>
        <w:spacing w:before="280" w:after="140"/>
        <w:rPr/>
      </w:pPr>
      <w:bookmarkStart w:id="6" w:name="__RefHeading___Toc1140_3687304687"/>
      <w:bookmarkEnd w:id="6"/>
      <w:r>
        <w:rPr>
          <w:rFonts w:eastAsia="Arial" w:cs="Arial" w:ascii="Arial" w:hAnsi="Arial"/>
          <w:b/>
          <w:bCs/>
          <w:color w:val="2E75B6"/>
          <w:sz w:val="26"/>
          <w:szCs w:val="26"/>
        </w:rPr>
        <w:t>2.1 Source des données — Fascicules ITSEOA</w:t>
      </w:r>
    </w:p>
    <w:p>
      <w:pPr>
        <w:pStyle w:val="Normal"/>
        <w:spacing w:before="80" w:after="80"/>
        <w:jc w:val="start"/>
        <w:rPr/>
      </w:pPr>
      <w:r>
        <w:rPr>
          <w:rFonts w:eastAsia="Arial" w:cs="Arial"/>
          <w:b w:val="false"/>
          <w:bCs w:val="false"/>
          <w:i w:val="false"/>
          <w:iCs w:val="false"/>
          <w:color w:val="000000"/>
          <w:sz w:val="22"/>
          <w:szCs w:val="22"/>
        </w:rPr>
        <w:t>Le dataset d'entraînement est construit à partir des fascicules techniques de l'ITSEOA, et plus spécifiquement du Fascicule 21 « Surveillance et entretien des ouvrages d'art — Fiches pathologiques ». Ce document contient des fiches de désordres standardisées, chacune composée d'une image photographique illustrant le désordre et d'un commentaire d'inspection expert structuré.</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Chaque fiche suit une structure systématique couvrant quatre dimensions analytiques :</w:t>
      </w:r>
    </w:p>
    <w:p>
      <w:pPr>
        <w:pStyle w:val="ListParagraph"/>
        <w:numPr>
          <w:ilvl w:val="0"/>
          <w:numId w:val="1"/>
        </w:numPr>
        <w:spacing w:before="60" w:after="60"/>
        <w:rPr/>
      </w:pPr>
      <w:r>
        <w:rPr>
          <w:rFonts w:eastAsia="Arial" w:cs="Arial"/>
          <w:sz w:val="22"/>
          <w:szCs w:val="22"/>
        </w:rPr>
        <w:t>Description du désordre observable</w:t>
      </w:r>
    </w:p>
    <w:p>
      <w:pPr>
        <w:pStyle w:val="ListParagraph"/>
        <w:numPr>
          <w:ilvl w:val="0"/>
          <w:numId w:val="1"/>
        </w:numPr>
        <w:spacing w:before="60" w:after="60"/>
        <w:rPr/>
      </w:pPr>
      <w:r>
        <w:rPr>
          <w:rFonts w:eastAsia="Arial" w:cs="Arial"/>
          <w:sz w:val="22"/>
          <w:szCs w:val="22"/>
        </w:rPr>
        <w:t>Causes probables (mécanismes de dégradation)</w:t>
      </w:r>
    </w:p>
    <w:p>
      <w:pPr>
        <w:pStyle w:val="ListParagraph"/>
        <w:numPr>
          <w:ilvl w:val="0"/>
          <w:numId w:val="1"/>
        </w:numPr>
        <w:spacing w:before="60" w:after="60"/>
        <w:rPr/>
      </w:pPr>
      <w:r>
        <w:rPr>
          <w:rFonts w:eastAsia="Arial" w:cs="Arial"/>
          <w:sz w:val="22"/>
          <w:szCs w:val="22"/>
        </w:rPr>
        <w:t>Gravité selon la classification IQOA (de 1 à 3U/3E)</w:t>
      </w:r>
    </w:p>
    <w:p>
      <w:pPr>
        <w:pStyle w:val="ListParagraph"/>
        <w:numPr>
          <w:ilvl w:val="0"/>
          <w:numId w:val="1"/>
        </w:numPr>
        <w:spacing w:before="60" w:after="60"/>
        <w:rPr/>
      </w:pPr>
      <w:r>
        <w:rPr>
          <w:rFonts w:eastAsia="Arial" w:cs="Arial"/>
          <w:sz w:val="22"/>
          <w:szCs w:val="22"/>
        </w:rPr>
        <w:t>Suites à donner (entretien courant, entretien spécialisé, réparation)</w:t>
      </w:r>
    </w:p>
    <w:p>
      <w:pPr>
        <w:pStyle w:val="Heading2"/>
        <w:spacing w:before="280" w:after="140"/>
        <w:rPr/>
      </w:pPr>
      <w:bookmarkStart w:id="7" w:name="__RefHeading___Toc1142_3687304687"/>
      <w:bookmarkEnd w:id="7"/>
      <w:r>
        <w:rPr>
          <w:rFonts w:eastAsia="Arial" w:cs="Arial" w:ascii="Arial" w:hAnsi="Arial"/>
          <w:b/>
          <w:bCs/>
          <w:color w:val="2E75B6"/>
          <w:sz w:val="26"/>
          <w:szCs w:val="26"/>
        </w:rPr>
        <w:t>2.2 Extraction automatisée</w:t>
      </w:r>
    </w:p>
    <w:p>
      <w:pPr>
        <w:pStyle w:val="Normal"/>
        <w:spacing w:before="80" w:after="80"/>
        <w:jc w:val="start"/>
        <w:rPr/>
      </w:pPr>
      <w:r>
        <w:rPr>
          <w:rFonts w:eastAsia="Arial" w:cs="Arial"/>
          <w:b w:val="false"/>
          <w:bCs w:val="false"/>
          <w:i w:val="false"/>
          <w:iCs w:val="false"/>
          <w:color w:val="000000"/>
          <w:sz w:val="22"/>
          <w:szCs w:val="22"/>
        </w:rPr>
        <w:t>Un script Python d'extraction automatisée a été développé pour parser les PDF du Fascicule 21 et extraire les paires image-commentaire. Le script détecte la structure des fiches (Layout A), extrait les images via PyMuPDF, et associe chaque image à son commentaire textuel correspondant.</w:t>
      </w:r>
    </w:p>
    <w:p>
      <w:pPr>
        <w:pStyle w:val="Normal"/>
        <w:spacing w:before="0" w:after="80"/>
        <w:rPr/>
      </w:pPr>
      <w:r>
        <w:rPr/>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AAAAAA"/>
              <w:start w:val="single" w:sz="2" w:space="0" w:color="AAAAAA"/>
              <w:bottom w:val="single" w:sz="2" w:space="0" w:color="AAAAAA"/>
              <w:end w:val="single" w:sz="2" w:space="0" w:color="AAAAAA"/>
            </w:tcBorders>
            <w:shd w:fill="D6E4F0" w:val="clear"/>
          </w:tcPr>
          <w:p>
            <w:pPr>
              <w:pStyle w:val="Normal"/>
              <w:rPr/>
            </w:pPr>
            <w:r>
              <w:rPr>
                <w:rFonts w:eastAsia="Arial" w:cs="Arial"/>
                <w:b/>
                <w:bCs/>
                <w:color w:val="1F4E79"/>
                <w:sz w:val="22"/>
                <w:szCs w:val="22"/>
              </w:rPr>
              <w:t>Statistiques du dataset</w:t>
            </w:r>
          </w:p>
          <w:p>
            <w:pPr>
              <w:pStyle w:val="Normal"/>
              <w:rPr/>
            </w:pPr>
            <w:r>
              <w:rPr>
                <w:rFonts w:eastAsia="Arial" w:cs="Arial"/>
                <w:color w:val="000000"/>
                <w:sz w:val="22"/>
                <w:szCs w:val="22"/>
              </w:rPr>
              <w:t>214 paires image-commentaire valides extraites du Fascicule 21 Couverture : 92 fiches de désordres distinctes sur 10 familles Format de stockage : MongoDB Atlas (inspection_db.itseoa_pairs) Format de fallback : finetuning_dataset.json Images : JPEG, résolution variable (300–600 dpi) Commentaires : texte structuré en français, moyenne 280 caractères</w:t>
            </w:r>
          </w:p>
        </w:tc>
      </w:tr>
    </w:tbl>
    <w:p>
      <w:pPr>
        <w:pStyle w:val="Normal"/>
        <w:spacing w:before="0" w:after="80"/>
        <w:rPr/>
      </w:pPr>
      <w:r>
        <w:rPr/>
      </w:r>
    </w:p>
    <w:p>
      <w:pPr>
        <w:pStyle w:val="Heading2"/>
        <w:spacing w:before="280" w:after="140"/>
        <w:rPr/>
      </w:pPr>
      <w:bookmarkStart w:id="8" w:name="__RefHeading___Toc1144_3687304687"/>
      <w:bookmarkEnd w:id="8"/>
      <w:r>
        <w:rPr>
          <w:rFonts w:eastAsia="Arial" w:cs="Arial" w:ascii="Arial" w:hAnsi="Arial"/>
          <w:b/>
          <w:bCs/>
          <w:color w:val="2E75B6"/>
          <w:sz w:val="26"/>
          <w:szCs w:val="26"/>
        </w:rPr>
        <w:t>2.3 Familles de désordres couvertes</w:t>
      </w:r>
    </w:p>
    <w:tbl>
      <w:tblPr>
        <w:tblW w:w="9026" w:type="dxa"/>
        <w:jc w:val="start"/>
        <w:tblInd w:w="0" w:type="dxa"/>
        <w:tblLayout w:type="fixed"/>
        <w:tblCellMar>
          <w:top w:w="80" w:type="dxa"/>
          <w:start w:w="120" w:type="dxa"/>
          <w:bottom w:w="80" w:type="dxa"/>
          <w:end w:w="120" w:type="dxa"/>
        </w:tblCellMar>
      </w:tblPr>
      <w:tblGrid>
        <w:gridCol w:w="1199"/>
        <w:gridCol w:w="5027"/>
        <w:gridCol w:w="1400"/>
        <w:gridCol w:w="1400"/>
      </w:tblGrid>
      <w:tr>
        <w:trPr>
          <w:tblHeader w:val="true"/>
        </w:trPr>
        <w:tc>
          <w:tcPr>
            <w:tcW w:w="119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Chapitre</w:t>
            </w:r>
          </w:p>
        </w:tc>
        <w:tc>
          <w:tcPr>
            <w:tcW w:w="5027"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Famille de désordres</w:t>
            </w:r>
          </w:p>
        </w:tc>
        <w:tc>
          <w:tcPr>
            <w:tcW w:w="14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Nb fiches</w:t>
            </w:r>
          </w:p>
        </w:tc>
        <w:tc>
          <w:tcPr>
            <w:tcW w:w="14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Nb paires</w:t>
            </w:r>
          </w:p>
        </w:tc>
      </w:tr>
      <w:tr>
        <w:trPr/>
        <w:tc>
          <w:tcPr>
            <w:tcW w:w="1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2</w:t>
            </w:r>
          </w:p>
        </w:tc>
        <w:tc>
          <w:tcPr>
            <w:tcW w:w="5027"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Dispositifs de retenue</w:t>
            </w:r>
          </w:p>
        </w:tc>
        <w:tc>
          <w:tcPr>
            <w:tcW w:w="14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19</w:t>
            </w:r>
          </w:p>
        </w:tc>
        <w:tc>
          <w:tcPr>
            <w:tcW w:w="14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30</w:t>
            </w:r>
          </w:p>
        </w:tc>
      </w:tr>
      <w:tr>
        <w:trPr/>
        <w:tc>
          <w:tcPr>
            <w:tcW w:w="11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3</w:t>
            </w:r>
          </w:p>
        </w:tc>
        <w:tc>
          <w:tcPr>
            <w:tcW w:w="5027"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Équipements de recueil et évacuation des eaux</w:t>
            </w:r>
          </w:p>
        </w:tc>
        <w:tc>
          <w:tcPr>
            <w:tcW w:w="14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3</w:t>
            </w:r>
          </w:p>
        </w:tc>
        <w:tc>
          <w:tcPr>
            <w:tcW w:w="14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3</w:t>
            </w:r>
          </w:p>
        </w:tc>
      </w:tr>
      <w:tr>
        <w:trPr/>
        <w:tc>
          <w:tcPr>
            <w:tcW w:w="1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4</w:t>
            </w:r>
          </w:p>
        </w:tc>
        <w:tc>
          <w:tcPr>
            <w:tcW w:w="5027"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Corniches et chaperons</w:t>
            </w:r>
          </w:p>
        </w:tc>
        <w:tc>
          <w:tcPr>
            <w:tcW w:w="14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28</w:t>
            </w:r>
          </w:p>
        </w:tc>
        <w:tc>
          <w:tcPr>
            <w:tcW w:w="14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57</w:t>
            </w:r>
          </w:p>
        </w:tc>
      </w:tr>
      <w:tr>
        <w:trPr/>
        <w:tc>
          <w:tcPr>
            <w:tcW w:w="11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5</w:t>
            </w:r>
          </w:p>
        </w:tc>
        <w:tc>
          <w:tcPr>
            <w:tcW w:w="5027"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Trottoirs et bordures</w:t>
            </w:r>
          </w:p>
        </w:tc>
        <w:tc>
          <w:tcPr>
            <w:tcW w:w="14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9</w:t>
            </w:r>
          </w:p>
        </w:tc>
        <w:tc>
          <w:tcPr>
            <w:tcW w:w="14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18</w:t>
            </w:r>
          </w:p>
        </w:tc>
      </w:tr>
      <w:tr>
        <w:trPr/>
        <w:tc>
          <w:tcPr>
            <w:tcW w:w="1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7</w:t>
            </w:r>
          </w:p>
        </w:tc>
        <w:tc>
          <w:tcPr>
            <w:tcW w:w="5027"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Drainage et étanchéité</w:t>
            </w:r>
          </w:p>
        </w:tc>
        <w:tc>
          <w:tcPr>
            <w:tcW w:w="14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8</w:t>
            </w:r>
          </w:p>
        </w:tc>
        <w:tc>
          <w:tcPr>
            <w:tcW w:w="14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19</w:t>
            </w:r>
          </w:p>
        </w:tc>
      </w:tr>
      <w:tr>
        <w:trPr/>
        <w:tc>
          <w:tcPr>
            <w:tcW w:w="11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8</w:t>
            </w:r>
          </w:p>
        </w:tc>
        <w:tc>
          <w:tcPr>
            <w:tcW w:w="5027"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Joints de chaussée</w:t>
            </w:r>
          </w:p>
        </w:tc>
        <w:tc>
          <w:tcPr>
            <w:tcW w:w="14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17</w:t>
            </w:r>
          </w:p>
        </w:tc>
        <w:tc>
          <w:tcPr>
            <w:tcW w:w="14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45</w:t>
            </w:r>
          </w:p>
        </w:tc>
      </w:tr>
      <w:tr>
        <w:trPr/>
        <w:tc>
          <w:tcPr>
            <w:tcW w:w="1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9</w:t>
            </w:r>
          </w:p>
        </w:tc>
        <w:tc>
          <w:tcPr>
            <w:tcW w:w="5027"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Étanchéité</w:t>
            </w:r>
          </w:p>
        </w:tc>
        <w:tc>
          <w:tcPr>
            <w:tcW w:w="14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5</w:t>
            </w:r>
          </w:p>
        </w:tc>
        <w:tc>
          <w:tcPr>
            <w:tcW w:w="14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8</w:t>
            </w:r>
          </w:p>
        </w:tc>
      </w:tr>
      <w:tr>
        <w:trPr/>
        <w:tc>
          <w:tcPr>
            <w:tcW w:w="11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10</w:t>
            </w:r>
          </w:p>
        </w:tc>
        <w:tc>
          <w:tcPr>
            <w:tcW w:w="5027"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Perrés et maçonneries</w:t>
            </w:r>
          </w:p>
        </w:tc>
        <w:tc>
          <w:tcPr>
            <w:tcW w:w="14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8</w:t>
            </w:r>
          </w:p>
        </w:tc>
        <w:tc>
          <w:tcPr>
            <w:tcW w:w="14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21</w:t>
            </w:r>
          </w:p>
        </w:tc>
      </w:tr>
      <w:tr>
        <w:trPr/>
        <w:tc>
          <w:tcPr>
            <w:tcW w:w="1199" w:type="dxa"/>
            <w:tcBorders>
              <w:top w:val="single" w:sz="2" w:space="0" w:color="AAAAAA"/>
              <w:start w:val="single" w:sz="2" w:space="0" w:color="AAAAAA"/>
              <w:bottom w:val="single" w:sz="2" w:space="0" w:color="AAAAAA"/>
              <w:end w:val="single" w:sz="2" w:space="0" w:color="AAAAAA"/>
            </w:tcBorders>
            <w:shd w:fill="D6E4F0" w:val="clear"/>
            <w:vAlign w:val="center"/>
          </w:tcPr>
          <w:p>
            <w:pPr>
              <w:pStyle w:val="Normal"/>
              <w:jc w:val="start"/>
              <w:rPr/>
            </w:pPr>
            <w:r>
              <w:rPr>
                <w:rFonts w:eastAsia="Arial" w:cs="Arial"/>
                <w:b/>
                <w:bCs/>
                <w:i w:val="false"/>
                <w:iCs w:val="false"/>
                <w:color w:val="1F4E79"/>
                <w:sz w:val="20"/>
                <w:szCs w:val="20"/>
              </w:rPr>
              <w:t>Total</w:t>
            </w:r>
          </w:p>
        </w:tc>
        <w:tc>
          <w:tcPr>
            <w:tcW w:w="5027" w:type="dxa"/>
            <w:tcBorders>
              <w:top w:val="single" w:sz="2" w:space="0" w:color="AAAAAA"/>
              <w:start w:val="single" w:sz="2" w:space="0" w:color="AAAAAA"/>
              <w:bottom w:val="single" w:sz="2" w:space="0" w:color="AAAAAA"/>
              <w:end w:val="single" w:sz="2" w:space="0" w:color="AAAAAA"/>
            </w:tcBorders>
            <w:shd w:fill="D6E4F0" w:val="clear"/>
            <w:vAlign w:val="center"/>
          </w:tcPr>
          <w:p>
            <w:pPr>
              <w:pStyle w:val="Normal"/>
              <w:jc w:val="start"/>
              <w:rPr/>
            </w:pPr>
            <w:r>
              <w:rPr>
                <w:rFonts w:eastAsia="Arial" w:cs="Arial"/>
                <w:b/>
                <w:bCs/>
                <w:i w:val="false"/>
                <w:iCs w:val="false"/>
                <w:color w:val="1F4E79"/>
                <w:sz w:val="20"/>
                <w:szCs w:val="20"/>
              </w:rPr>
              <w:t>8 familles actives</w:t>
            </w:r>
          </w:p>
        </w:tc>
        <w:tc>
          <w:tcPr>
            <w:tcW w:w="1400" w:type="dxa"/>
            <w:tcBorders>
              <w:top w:val="single" w:sz="2" w:space="0" w:color="AAAAAA"/>
              <w:start w:val="single" w:sz="2" w:space="0" w:color="AAAAAA"/>
              <w:bottom w:val="single" w:sz="2" w:space="0" w:color="AAAAAA"/>
              <w:end w:val="single" w:sz="2" w:space="0" w:color="AAAAAA"/>
            </w:tcBorders>
            <w:shd w:fill="D6E4F0" w:val="clear"/>
            <w:vAlign w:val="center"/>
          </w:tcPr>
          <w:p>
            <w:pPr>
              <w:pStyle w:val="Normal"/>
              <w:jc w:val="center"/>
              <w:rPr/>
            </w:pPr>
            <w:r>
              <w:rPr>
                <w:rFonts w:eastAsia="Arial" w:cs="Arial"/>
                <w:b/>
                <w:bCs/>
                <w:i w:val="false"/>
                <w:iCs w:val="false"/>
                <w:color w:val="1F4E79"/>
                <w:sz w:val="20"/>
                <w:szCs w:val="20"/>
              </w:rPr>
              <w:t>97</w:t>
            </w:r>
          </w:p>
        </w:tc>
        <w:tc>
          <w:tcPr>
            <w:tcW w:w="1400" w:type="dxa"/>
            <w:tcBorders>
              <w:top w:val="single" w:sz="2" w:space="0" w:color="AAAAAA"/>
              <w:start w:val="single" w:sz="2" w:space="0" w:color="AAAAAA"/>
              <w:bottom w:val="single" w:sz="2" w:space="0" w:color="AAAAAA"/>
              <w:end w:val="single" w:sz="2" w:space="0" w:color="AAAAAA"/>
            </w:tcBorders>
            <w:shd w:fill="D6E4F0" w:val="clear"/>
            <w:vAlign w:val="center"/>
          </w:tcPr>
          <w:p>
            <w:pPr>
              <w:pStyle w:val="Normal"/>
              <w:jc w:val="center"/>
              <w:rPr/>
            </w:pPr>
            <w:r>
              <w:rPr>
                <w:rFonts w:eastAsia="Arial" w:cs="Arial"/>
                <w:b/>
                <w:bCs/>
                <w:i w:val="false"/>
                <w:iCs w:val="false"/>
                <w:color w:val="1F4E79"/>
                <w:sz w:val="20"/>
                <w:szCs w:val="20"/>
              </w:rPr>
              <w:t>201+</w:t>
            </w:r>
          </w:p>
        </w:tc>
      </w:tr>
    </w:tbl>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Les fascicules 1 et 5 ont été exclus car ils contiennent des procédures générales sans fiches pathologiques illustrées. Le Fascicule 21, consacré exclusivement aux fiches pathologiques avec illustrations photographiques, constitue la source principale.</w:t>
      </w:r>
    </w:p>
    <w:p>
      <w:pPr>
        <w:pStyle w:val="Heading2"/>
        <w:spacing w:before="280" w:after="140"/>
        <w:rPr/>
      </w:pPr>
      <w:bookmarkStart w:id="9" w:name="__RefHeading___Toc1146_3687304687"/>
      <w:bookmarkEnd w:id="9"/>
      <w:r>
        <w:rPr>
          <w:rFonts w:eastAsia="Arial" w:cs="Arial" w:ascii="Arial" w:hAnsi="Arial"/>
          <w:b/>
          <w:bCs/>
          <w:color w:val="2E75B6"/>
          <w:sz w:val="26"/>
          <w:szCs w:val="26"/>
        </w:rPr>
        <w:t>2.4 Schéma de stockage MongoDB</w:t>
      </w:r>
    </w:p>
    <w:p>
      <w:pPr>
        <w:pStyle w:val="Normal"/>
        <w:spacing w:before="80" w:after="80"/>
        <w:jc w:val="start"/>
        <w:rPr/>
      </w:pPr>
      <w:r>
        <w:rPr>
          <w:rFonts w:eastAsia="Arial" w:cs="Arial"/>
          <w:b w:val="false"/>
          <w:bCs w:val="false"/>
          <w:i w:val="false"/>
          <w:iCs w:val="false"/>
          <w:color w:val="000000"/>
          <w:sz w:val="22"/>
          <w:szCs w:val="22"/>
        </w:rPr>
        <w:t>Chaque paire image-commentaire est stockée dans MongoDB Atlas selon le schéma suivant :</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500"/>
        <w:gridCol w:w="2000"/>
        <w:gridCol w:w="4526"/>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Champ</w:t>
            </w:r>
          </w:p>
        </w:tc>
        <w:tc>
          <w:tcPr>
            <w:tcW w:w="20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Type</w:t>
            </w:r>
          </w:p>
        </w:tc>
        <w:tc>
          <w:tcPr>
            <w:tcW w:w="4526"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Description</w:t>
            </w:r>
          </w:p>
        </w:tc>
      </w:tr>
      <w:tr>
        <w:trPr/>
        <w:tc>
          <w:tcPr>
            <w:tcW w:w="25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fiche_number</w:t>
            </w:r>
          </w:p>
        </w:tc>
        <w:tc>
          <w:tcPr>
            <w:tcW w:w="20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iCs/>
                <w:color w:val="595959"/>
                <w:sz w:val="20"/>
                <w:szCs w:val="20"/>
              </w:rPr>
              <w:t>String</w:t>
            </w:r>
          </w:p>
        </w:tc>
        <w:tc>
          <w:tcPr>
            <w:tcW w:w="45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Numéro de fiche (ex. : 4.2)</w:t>
            </w:r>
          </w:p>
        </w:tc>
      </w:tr>
      <w:tr>
        <w:trPr/>
        <w:tc>
          <w:tcPr>
            <w:tcW w:w="25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defect_name</w:t>
            </w:r>
          </w:p>
        </w:tc>
        <w:tc>
          <w:tcPr>
            <w:tcW w:w="2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iCs/>
                <w:color w:val="595959"/>
                <w:sz w:val="20"/>
                <w:szCs w:val="20"/>
              </w:rPr>
              <w:t>String</w:t>
            </w:r>
          </w:p>
        </w:tc>
        <w:tc>
          <w:tcPr>
            <w:tcW w:w="4526"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Intitulé du désordre</w:t>
            </w:r>
          </w:p>
        </w:tc>
      </w:tr>
      <w:tr>
        <w:trPr/>
        <w:tc>
          <w:tcPr>
            <w:tcW w:w="25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commentary_full</w:t>
            </w:r>
          </w:p>
        </w:tc>
        <w:tc>
          <w:tcPr>
            <w:tcW w:w="20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iCs/>
                <w:color w:val="595959"/>
                <w:sz w:val="20"/>
                <w:szCs w:val="20"/>
              </w:rPr>
              <w:t>String</w:t>
            </w:r>
          </w:p>
        </w:tc>
        <w:tc>
          <w:tcPr>
            <w:tcW w:w="45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Commentaire expert complet en français</w:t>
            </w:r>
          </w:p>
        </w:tc>
      </w:tr>
      <w:tr>
        <w:trPr/>
        <w:tc>
          <w:tcPr>
            <w:tcW w:w="25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image_b64</w:t>
            </w:r>
          </w:p>
        </w:tc>
        <w:tc>
          <w:tcPr>
            <w:tcW w:w="2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iCs/>
                <w:color w:val="595959"/>
                <w:sz w:val="20"/>
                <w:szCs w:val="20"/>
              </w:rPr>
              <w:t>String (base64)</w:t>
            </w:r>
          </w:p>
        </w:tc>
        <w:tc>
          <w:tcPr>
            <w:tcW w:w="4526"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Image encodée en base64</w:t>
            </w:r>
          </w:p>
        </w:tc>
      </w:tr>
      <w:tr>
        <w:trPr/>
        <w:tc>
          <w:tcPr>
            <w:tcW w:w="25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source_type</w:t>
            </w:r>
          </w:p>
        </w:tc>
        <w:tc>
          <w:tcPr>
            <w:tcW w:w="20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iCs/>
                <w:color w:val="595959"/>
                <w:sz w:val="20"/>
                <w:szCs w:val="20"/>
              </w:rPr>
              <w:t>String</w:t>
            </w:r>
          </w:p>
        </w:tc>
        <w:tc>
          <w:tcPr>
            <w:tcW w:w="45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itseoa_fiche ou manual_upload</w:t>
            </w:r>
          </w:p>
        </w:tc>
      </w:tr>
      <w:tr>
        <w:trPr/>
        <w:tc>
          <w:tcPr>
            <w:tcW w:w="25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validated</w:t>
            </w:r>
          </w:p>
        </w:tc>
        <w:tc>
          <w:tcPr>
            <w:tcW w:w="2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iCs/>
                <w:color w:val="595959"/>
                <w:sz w:val="20"/>
                <w:szCs w:val="20"/>
              </w:rPr>
              <w:t>Boolean</w:t>
            </w:r>
          </w:p>
        </w:tc>
        <w:tc>
          <w:tcPr>
            <w:tcW w:w="4526"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Statut de validation expert</w:t>
            </w:r>
          </w:p>
        </w:tc>
      </w:tr>
    </w:tbl>
    <w:p>
      <w:pPr>
        <w:pStyle w:val="Normal"/>
        <w:rPr/>
      </w:pPr>
      <w:r>
        <w:rPr/>
      </w:r>
      <w:r>
        <w:br w:type="page"/>
      </w:r>
    </w:p>
    <w:p>
      <w:pPr>
        <w:pStyle w:val="Heading1"/>
        <w:pBdr>
          <w:bottom w:val="single" w:sz="6" w:space="1" w:color="2E75B6"/>
        </w:pBdr>
        <w:spacing w:before="0" w:after="200"/>
        <w:rPr/>
      </w:pPr>
      <w:bookmarkStart w:id="10" w:name="__RefHeading___Toc1148_3687304687"/>
      <w:bookmarkEnd w:id="10"/>
      <w:r>
        <w:rPr>
          <w:rFonts w:eastAsia="Arial" w:cs="Arial" w:ascii="Arial" w:hAnsi="Arial"/>
          <w:b/>
          <w:bCs/>
          <w:color w:val="1F4E79"/>
          <w:sz w:val="32"/>
          <w:szCs w:val="32"/>
        </w:rPr>
        <w:t>3. Méthodologie de Sélection du Modèle</w:t>
      </w:r>
    </w:p>
    <w:p>
      <w:pPr>
        <w:pStyle w:val="Heading2"/>
        <w:spacing w:before="280" w:after="140"/>
        <w:rPr/>
      </w:pPr>
      <w:bookmarkStart w:id="11" w:name="__RefHeading___Toc1150_3687304687"/>
      <w:bookmarkEnd w:id="11"/>
      <w:r>
        <w:rPr>
          <w:rFonts w:eastAsia="Arial" w:cs="Arial" w:ascii="Arial" w:hAnsi="Arial"/>
          <w:b/>
          <w:bCs/>
          <w:color w:val="2E75B6"/>
          <w:sz w:val="26"/>
          <w:szCs w:val="26"/>
        </w:rPr>
        <w:t>3.1 Contexte de la décision</w:t>
      </w:r>
    </w:p>
    <w:p>
      <w:pPr>
        <w:pStyle w:val="Normal"/>
        <w:spacing w:before="80" w:after="80"/>
        <w:jc w:val="start"/>
        <w:rPr/>
      </w:pPr>
      <w:r>
        <w:rPr>
          <w:rFonts w:eastAsia="Arial" w:cs="Arial"/>
          <w:b w:val="false"/>
          <w:bCs w:val="false"/>
          <w:i w:val="false"/>
          <w:iCs w:val="false"/>
          <w:color w:val="000000"/>
          <w:sz w:val="22"/>
          <w:szCs w:val="22"/>
        </w:rPr>
        <w:t>Le choix du modèle de vision-langage (VLM) est une décision centrale dans le projet CID. Ce modèle constituera le cœur du système — il sera fine-tuné sur notre dataset ITSEOA et utilisé en production dans le pipeline d'inspection. Une mauvaise décision à ce stade aurait des conséquences sur toutes les phases suivantes du projet.</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Deux contraintes matérielles structurent la sélection : l'entraînement est conduit sur GPU NVIDIA T4 (15 GB VRAM, Google Colab gratuit), et la technique de fine-tuning retenue est QLoRA (Quantized Low-Rank Adaptation), qui réduit les besoins mémoire d'un facteur 4 en chargeant les poids du modèle en quantification 4-bit.</w:t>
      </w:r>
    </w:p>
    <w:p>
      <w:pPr>
        <w:pStyle w:val="Heading2"/>
        <w:spacing w:before="280" w:after="140"/>
        <w:rPr/>
      </w:pPr>
      <w:bookmarkStart w:id="12" w:name="__RefHeading___Toc1152_3687304687"/>
      <w:bookmarkEnd w:id="12"/>
      <w:r>
        <w:rPr>
          <w:rFonts w:eastAsia="Arial" w:cs="Arial" w:ascii="Arial" w:hAnsi="Arial"/>
          <w:b/>
          <w:bCs/>
          <w:color w:val="2E75B6"/>
          <w:sz w:val="26"/>
          <w:szCs w:val="26"/>
        </w:rPr>
        <w:t>3.2 Source de données pour la présélection</w:t>
      </w:r>
    </w:p>
    <w:p>
      <w:pPr>
        <w:pStyle w:val="Normal"/>
        <w:spacing w:before="80" w:after="80"/>
        <w:jc w:val="start"/>
        <w:rPr/>
      </w:pPr>
      <w:r>
        <w:rPr>
          <w:rFonts w:eastAsia="Arial" w:cs="Arial"/>
          <w:b w:val="false"/>
          <w:bCs w:val="false"/>
          <w:i w:val="false"/>
          <w:iCs w:val="false"/>
          <w:color w:val="000000"/>
          <w:sz w:val="22"/>
          <w:szCs w:val="22"/>
        </w:rPr>
        <w:t>La présélection des candidats repose sur le Open VLM Leaderboard (OpenCompass), qui évalue les modèles open-source sur 23 benchmarks multimodaux standardisés dont MMBench, MMStar, MMMU, et OCRBench. Le leaderboard a été filtré selon les critères suivants :</w:t>
      </w:r>
    </w:p>
    <w:p>
      <w:pPr>
        <w:pStyle w:val="ListParagraph"/>
        <w:numPr>
          <w:ilvl w:val="0"/>
          <w:numId w:val="1"/>
        </w:numPr>
        <w:spacing w:before="60" w:after="60"/>
        <w:rPr/>
      </w:pPr>
      <w:r>
        <w:rPr>
          <w:rFonts w:eastAsia="Arial" w:cs="Arial"/>
          <w:sz w:val="22"/>
          <w:szCs w:val="22"/>
        </w:rPr>
        <w:t>Taille du modèle : ≤ 4B paramètres (contrainte T4 avec QLoRA)</w:t>
      </w:r>
    </w:p>
    <w:p>
      <w:pPr>
        <w:pStyle w:val="ListParagraph"/>
        <w:numPr>
          <w:ilvl w:val="0"/>
          <w:numId w:val="1"/>
        </w:numPr>
        <w:spacing w:before="60" w:after="60"/>
        <w:rPr/>
      </w:pPr>
      <w:r>
        <w:rPr>
          <w:rFonts w:eastAsia="Arial" w:cs="Arial"/>
          <w:sz w:val="22"/>
          <w:szCs w:val="22"/>
        </w:rPr>
        <w:t>Disponibilité publique sur HuggingFace Hub</w:t>
      </w:r>
    </w:p>
    <w:p>
      <w:pPr>
        <w:pStyle w:val="ListParagraph"/>
        <w:numPr>
          <w:ilvl w:val="0"/>
          <w:numId w:val="1"/>
        </w:numPr>
        <w:spacing w:before="60" w:after="60"/>
        <w:rPr/>
      </w:pPr>
      <w:r>
        <w:rPr>
          <w:rFonts w:eastAsia="Arial" w:cs="Arial"/>
          <w:sz w:val="22"/>
          <w:szCs w:val="22"/>
        </w:rPr>
        <w:t>Architecture native HuggingFace (interface AutoModel standard)</w:t>
      </w:r>
    </w:p>
    <w:p>
      <w:pPr>
        <w:pStyle w:val="ListParagraph"/>
        <w:numPr>
          <w:ilvl w:val="0"/>
          <w:numId w:val="1"/>
        </w:numPr>
        <w:spacing w:before="60" w:after="60"/>
        <w:rPr/>
      </w:pPr>
      <w:r>
        <w:rPr>
          <w:rFonts w:eastAsia="Arial" w:cs="Arial"/>
          <w:sz w:val="22"/>
          <w:szCs w:val="22"/>
        </w:rPr>
        <w:t>Support LLaMA-Factory confirmé pour le fine-tuning</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Les modèles classés au-dessus du top 15 ont été exclus car trop récents (BlueLM-2.6-3B, évalué post-soumission) ou utilisant des pipelines de chargement non standards incompatibles avec l'environnement T4 (SAIL-VL, QTuneVL).</w:t>
      </w:r>
    </w:p>
    <w:p>
      <w:pPr>
        <w:pStyle w:val="Heading2"/>
        <w:spacing w:before="280" w:after="140"/>
        <w:rPr/>
      </w:pPr>
      <w:bookmarkStart w:id="13" w:name="__RefHeading___Toc1154_3687304687"/>
      <w:bookmarkEnd w:id="13"/>
      <w:r>
        <w:rPr>
          <w:rFonts w:eastAsia="Arial" w:cs="Arial" w:ascii="Arial" w:hAnsi="Arial"/>
          <w:b/>
          <w:bCs/>
          <w:color w:val="2E75B6"/>
          <w:sz w:val="26"/>
          <w:szCs w:val="26"/>
        </w:rPr>
        <w:t>3.3 Candidats retenus</w:t>
      </w:r>
    </w:p>
    <w:tbl>
      <w:tblPr>
        <w:tblW w:w="9026" w:type="dxa"/>
        <w:jc w:val="start"/>
        <w:tblInd w:w="0" w:type="dxa"/>
        <w:tblLayout w:type="fixed"/>
        <w:tblCellMar>
          <w:top w:w="80" w:type="dxa"/>
          <w:start w:w="120" w:type="dxa"/>
          <w:bottom w:w="80" w:type="dxa"/>
          <w:end w:w="120" w:type="dxa"/>
        </w:tblCellMar>
      </w:tblPr>
      <w:tblGrid>
        <w:gridCol w:w="1100"/>
        <w:gridCol w:w="2800"/>
        <w:gridCol w:w="1000"/>
        <w:gridCol w:w="1099"/>
        <w:gridCol w:w="1526"/>
        <w:gridCol w:w="1501"/>
      </w:tblGrid>
      <w:tr>
        <w:trPr>
          <w:tblHeader w:val="true"/>
        </w:trPr>
        <w:tc>
          <w:tcPr>
            <w:tcW w:w="11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Rang</w:t>
            </w:r>
          </w:p>
        </w:tc>
        <w:tc>
          <w:tcPr>
            <w:tcW w:w="28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Modèle</w:t>
            </w:r>
          </w:p>
        </w:tc>
        <w:tc>
          <w:tcPr>
            <w:tcW w:w="10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Params</w:t>
            </w:r>
          </w:p>
        </w:tc>
        <w:tc>
          <w:tcPr>
            <w:tcW w:w="109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Avg board</w:t>
            </w:r>
          </w:p>
        </w:tc>
        <w:tc>
          <w:tcPr>
            <w:tcW w:w="1526"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Organisation</w:t>
            </w:r>
          </w:p>
        </w:tc>
        <w:tc>
          <w:tcPr>
            <w:tcW w:w="150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Statut</w:t>
            </w:r>
          </w:p>
        </w:tc>
      </w:tr>
      <w:tr>
        <w:trPr/>
        <w:tc>
          <w:tcPr>
            <w:tcW w:w="11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#10</w:t>
            </w:r>
          </w:p>
        </w:tc>
        <w:tc>
          <w:tcPr>
            <w:tcW w:w="28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InternVL3-2B-hf</w:t>
            </w:r>
          </w:p>
        </w:tc>
        <w:tc>
          <w:tcPr>
            <w:tcW w:w="10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2B</w:t>
            </w:r>
          </w:p>
        </w:tc>
        <w:tc>
          <w:tcPr>
            <w:tcW w:w="1099"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64.5</w:t>
            </w:r>
          </w:p>
        </w:tc>
        <w:tc>
          <w:tcPr>
            <w:tcW w:w="15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OpenGVLab</w:t>
            </w:r>
          </w:p>
        </w:tc>
        <w:tc>
          <w:tcPr>
            <w:tcW w:w="15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bCs/>
                <w:i w:val="false"/>
                <w:iCs w:val="false"/>
                <w:color w:val="375623"/>
                <w:sz w:val="20"/>
                <w:szCs w:val="20"/>
              </w:rPr>
              <w:t>Retenu</w:t>
            </w:r>
          </w:p>
        </w:tc>
      </w:tr>
      <w:tr>
        <w:trPr/>
        <w:tc>
          <w:tcPr>
            <w:tcW w:w="11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#11</w:t>
            </w:r>
          </w:p>
        </w:tc>
        <w:tc>
          <w:tcPr>
            <w:tcW w:w="28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Qwen2.5-VL-3B-Instruct</w:t>
            </w:r>
          </w:p>
        </w:tc>
        <w:tc>
          <w:tcPr>
            <w:tcW w:w="1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3B</w:t>
            </w:r>
          </w:p>
        </w:tc>
        <w:tc>
          <w:tcPr>
            <w:tcW w:w="10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64.5</w:t>
            </w:r>
          </w:p>
        </w:tc>
        <w:tc>
          <w:tcPr>
            <w:tcW w:w="1526"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Alibaba/Qwen</w:t>
            </w:r>
          </w:p>
        </w:tc>
        <w:tc>
          <w:tcPr>
            <w:tcW w:w="15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bCs/>
                <w:i w:val="false"/>
                <w:iCs w:val="false"/>
                <w:color w:val="375623"/>
                <w:sz w:val="20"/>
                <w:szCs w:val="20"/>
              </w:rPr>
              <w:t>Retenu</w:t>
            </w:r>
          </w:p>
        </w:tc>
      </w:tr>
      <w:tr>
        <w:trPr/>
        <w:tc>
          <w:tcPr>
            <w:tcW w:w="11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~#13</w:t>
            </w:r>
          </w:p>
        </w:tc>
        <w:tc>
          <w:tcPr>
            <w:tcW w:w="28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Gemma3-4B-IT</w:t>
            </w:r>
          </w:p>
        </w:tc>
        <w:tc>
          <w:tcPr>
            <w:tcW w:w="10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4B</w:t>
            </w:r>
          </w:p>
        </w:tc>
        <w:tc>
          <w:tcPr>
            <w:tcW w:w="1099"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~63</w:t>
            </w:r>
          </w:p>
        </w:tc>
        <w:tc>
          <w:tcPr>
            <w:tcW w:w="15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Google DeepMind</w:t>
            </w:r>
          </w:p>
        </w:tc>
        <w:tc>
          <w:tcPr>
            <w:tcW w:w="15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bCs/>
                <w:i w:val="false"/>
                <w:iCs w:val="false"/>
                <w:color w:val="375623"/>
                <w:sz w:val="20"/>
                <w:szCs w:val="20"/>
              </w:rPr>
              <w:t>Retenu</w:t>
            </w:r>
          </w:p>
        </w:tc>
      </w:tr>
      <w:tr>
        <w:trPr/>
        <w:tc>
          <w:tcPr>
            <w:tcW w:w="11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w:t>
            </w:r>
          </w:p>
        </w:tc>
        <w:tc>
          <w:tcPr>
            <w:tcW w:w="28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SmolVLM2-2.2B-Instruct</w:t>
            </w:r>
          </w:p>
        </w:tc>
        <w:tc>
          <w:tcPr>
            <w:tcW w:w="1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2.2B</w:t>
            </w:r>
          </w:p>
        </w:tc>
        <w:tc>
          <w:tcPr>
            <w:tcW w:w="10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~55</w:t>
            </w:r>
          </w:p>
        </w:tc>
        <w:tc>
          <w:tcPr>
            <w:tcW w:w="1526"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HuggingFace</w:t>
            </w:r>
          </w:p>
        </w:tc>
        <w:tc>
          <w:tcPr>
            <w:tcW w:w="1501" w:type="dxa"/>
            <w:tcBorders>
              <w:top w:val="single" w:sz="2" w:space="0" w:color="AAAAAA"/>
              <w:start w:val="single" w:sz="2" w:space="0" w:color="AAAAAA"/>
              <w:bottom w:val="single" w:sz="2" w:space="0" w:color="AAAAAA"/>
              <w:end w:val="single" w:sz="2" w:space="0" w:color="AAAAAA"/>
            </w:tcBorders>
            <w:shd w:fill="FCE4D6" w:val="clear"/>
            <w:vAlign w:val="center"/>
          </w:tcPr>
          <w:p>
            <w:pPr>
              <w:pStyle w:val="Normal"/>
              <w:jc w:val="center"/>
              <w:rPr/>
            </w:pPr>
            <w:r>
              <w:rPr>
                <w:rFonts w:eastAsia="Arial" w:cs="Arial"/>
                <w:b/>
                <w:bCs/>
                <w:i w:val="false"/>
                <w:iCs w:val="false"/>
                <w:color w:val="C55A11"/>
                <w:sz w:val="20"/>
                <w:szCs w:val="20"/>
              </w:rPr>
              <w:t>Référence</w:t>
            </w:r>
          </w:p>
        </w:tc>
      </w:tr>
    </w:tbl>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SmolVLM2-2.2B a été inclus comme modèle de référence (baseline) pour fournir un point de comparaison à faible coût mémoire. InternVL2-2B, modèle initialement envisagé, a été exclu car son architecture non standard est incompatible avec l'interface HuggingFace et avec LLaMA-Factory.</w:t>
      </w:r>
    </w:p>
    <w:p>
      <w:pPr>
        <w:pStyle w:val="Heading2"/>
        <w:spacing w:before="280" w:after="140"/>
        <w:rPr/>
      </w:pPr>
      <w:bookmarkStart w:id="14" w:name="__RefHeading___Toc1156_3687304687"/>
      <w:bookmarkEnd w:id="14"/>
      <w:r>
        <w:rPr>
          <w:rFonts w:eastAsia="Arial" w:cs="Arial" w:ascii="Arial" w:hAnsi="Arial"/>
          <w:b/>
          <w:bCs/>
          <w:color w:val="2E75B6"/>
          <w:sz w:val="26"/>
          <w:szCs w:val="26"/>
        </w:rPr>
        <w:t>3.4 Critères de notation pondérée</w:t>
      </w:r>
    </w:p>
    <w:p>
      <w:pPr>
        <w:pStyle w:val="Normal"/>
        <w:spacing w:before="80" w:after="80"/>
        <w:jc w:val="start"/>
        <w:rPr/>
      </w:pPr>
      <w:r>
        <w:rPr>
          <w:rFonts w:eastAsia="Arial" w:cs="Arial"/>
          <w:b w:val="false"/>
          <w:bCs w:val="false"/>
          <w:i w:val="false"/>
          <w:iCs w:val="false"/>
          <w:color w:val="000000"/>
          <w:sz w:val="22"/>
          <w:szCs w:val="22"/>
        </w:rPr>
        <w:t>La décision finale repose sur cinq critères pondérés, chacun reflétant un aspect critique pour notre cas d'usage :</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3199"/>
        <w:gridCol w:w="1000"/>
        <w:gridCol w:w="4827"/>
      </w:tblGrid>
      <w:tr>
        <w:trPr>
          <w:tblHeader w:val="true"/>
        </w:trPr>
        <w:tc>
          <w:tcPr>
            <w:tcW w:w="319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Critère</w:t>
            </w:r>
          </w:p>
        </w:tc>
        <w:tc>
          <w:tcPr>
            <w:tcW w:w="10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Poids</w:t>
            </w:r>
          </w:p>
        </w:tc>
        <w:tc>
          <w:tcPr>
            <w:tcW w:w="4827"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Justification</w:t>
            </w:r>
          </w:p>
        </w:tc>
      </w:tr>
      <w:tr>
        <w:trPr/>
        <w:tc>
          <w:tcPr>
            <w:tcW w:w="3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Qualité visuelle (leaderboard avg)</w:t>
            </w:r>
          </w:p>
        </w:tc>
        <w:tc>
          <w:tcPr>
            <w:tcW w:w="10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25%</w:t>
            </w:r>
          </w:p>
        </w:tc>
        <w:tc>
          <w:tcPr>
            <w:tcW w:w="4827"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Capacité de base à comprendre des images structurelles</w:t>
            </w:r>
          </w:p>
        </w:tc>
      </w:tr>
      <w:tr>
        <w:trPr/>
        <w:tc>
          <w:tcPr>
            <w:tcW w:w="31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ROUGE-L moyen (3 images ITSEOA)</w:t>
            </w:r>
          </w:p>
        </w:tc>
        <w:tc>
          <w:tcPr>
            <w:tcW w:w="1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20%</w:t>
            </w:r>
          </w:p>
        </w:tc>
        <w:tc>
          <w:tcPr>
            <w:tcW w:w="4827"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Similarité lexicale avec commentaires experts (mesure expérimentale)</w:t>
            </w:r>
          </w:p>
        </w:tc>
      </w:tr>
      <w:tr>
        <w:trPr/>
        <w:tc>
          <w:tcPr>
            <w:tcW w:w="3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Capacité en langue française</w:t>
            </w:r>
          </w:p>
        </w:tc>
        <w:tc>
          <w:tcPr>
            <w:tcW w:w="10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20%</w:t>
            </w:r>
          </w:p>
        </w:tc>
        <w:tc>
          <w:tcPr>
            <w:tcW w:w="4827"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Dataset entièrement en français — vocabulaire technique ITSEOA</w:t>
            </w:r>
          </w:p>
        </w:tc>
      </w:tr>
      <w:tr>
        <w:trPr/>
        <w:tc>
          <w:tcPr>
            <w:tcW w:w="31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Compatibilité fine-tuning (LLaMA-Factory)</w:t>
            </w:r>
          </w:p>
        </w:tc>
        <w:tc>
          <w:tcPr>
            <w:tcW w:w="1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20%</w:t>
            </w:r>
          </w:p>
        </w:tc>
        <w:tc>
          <w:tcPr>
            <w:tcW w:w="4827"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Critère bloquant — Phase 1 dépend entièrement de ce support</w:t>
            </w:r>
          </w:p>
        </w:tc>
      </w:tr>
      <w:tr>
        <w:trPr/>
        <w:tc>
          <w:tcPr>
            <w:tcW w:w="3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Efficacité matérielle (VRAM + vitesse)</w:t>
            </w:r>
          </w:p>
        </w:tc>
        <w:tc>
          <w:tcPr>
            <w:tcW w:w="10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15%</w:t>
            </w:r>
          </w:p>
        </w:tc>
        <w:tc>
          <w:tcPr>
            <w:tcW w:w="4827"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Contrainte T4 (15 GB) et débit pour pipeline Phase 2</w:t>
            </w:r>
          </w:p>
        </w:tc>
      </w:tr>
    </w:tbl>
    <w:p>
      <w:pPr>
        <w:pStyle w:val="Normal"/>
        <w:rPr/>
      </w:pPr>
      <w:r>
        <w:rPr/>
      </w:r>
      <w:r>
        <w:br w:type="page"/>
      </w:r>
    </w:p>
    <w:p>
      <w:pPr>
        <w:pStyle w:val="Heading1"/>
        <w:pBdr>
          <w:bottom w:val="single" w:sz="6" w:space="1" w:color="2E75B6"/>
        </w:pBdr>
        <w:spacing w:before="0" w:after="200"/>
        <w:rPr/>
      </w:pPr>
      <w:bookmarkStart w:id="15" w:name="__RefHeading___Toc1158_3687304687"/>
      <w:bookmarkEnd w:id="15"/>
      <w:r>
        <w:rPr>
          <w:rFonts w:eastAsia="Arial" w:cs="Arial" w:ascii="Arial" w:hAnsi="Arial"/>
          <w:b/>
          <w:bCs/>
          <w:color w:val="1F4E79"/>
          <w:sz w:val="32"/>
          <w:szCs w:val="32"/>
        </w:rPr>
        <w:t>4. Expérimentation et Résultats</w:t>
      </w:r>
    </w:p>
    <w:p>
      <w:pPr>
        <w:pStyle w:val="Heading2"/>
        <w:spacing w:before="280" w:after="140"/>
        <w:rPr/>
      </w:pPr>
      <w:bookmarkStart w:id="16" w:name="__RefHeading___Toc1160_3687304687"/>
      <w:bookmarkEnd w:id="16"/>
      <w:r>
        <w:rPr>
          <w:rFonts w:eastAsia="Arial" w:cs="Arial" w:ascii="Arial" w:hAnsi="Arial"/>
          <w:b/>
          <w:bCs/>
          <w:color w:val="2E75B6"/>
          <w:sz w:val="26"/>
          <w:szCs w:val="26"/>
        </w:rPr>
        <w:t>4.1 Protocole expérimental</w:t>
      </w:r>
    </w:p>
    <w:p>
      <w:pPr>
        <w:pStyle w:val="Normal"/>
        <w:spacing w:before="80" w:after="80"/>
        <w:jc w:val="start"/>
        <w:rPr/>
      </w:pPr>
      <w:r>
        <w:rPr>
          <w:rFonts w:eastAsia="Arial" w:cs="Arial"/>
          <w:b w:val="false"/>
          <w:bCs w:val="false"/>
          <w:i w:val="false"/>
          <w:iCs w:val="false"/>
          <w:color w:val="000000"/>
          <w:sz w:val="22"/>
          <w:szCs w:val="22"/>
        </w:rPr>
        <w:t>Chaque modèle a été évalué sur trois images réelles extraites du dataset ITSEOA, couvrant trois familles de désordres distinctes. Ce choix de trois images vise à tester la robustesse des modèles sur des domaines visuels et textuels différents plutôt que de se limiter à une seule image qui pourrait favoriser ou défavoriser arbitrairement un modèle.</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899"/>
        <w:gridCol w:w="1000"/>
        <w:gridCol w:w="3626"/>
        <w:gridCol w:w="3501"/>
      </w:tblGrid>
      <w:tr>
        <w:trPr>
          <w:tblHeader w:val="true"/>
        </w:trPr>
        <w:tc>
          <w:tcPr>
            <w:tcW w:w="89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Index</w:t>
            </w:r>
          </w:p>
        </w:tc>
        <w:tc>
          <w:tcPr>
            <w:tcW w:w="10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Fiche</w:t>
            </w:r>
          </w:p>
        </w:tc>
        <w:tc>
          <w:tcPr>
            <w:tcW w:w="3626"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Désordre</w:t>
            </w:r>
          </w:p>
        </w:tc>
        <w:tc>
          <w:tcPr>
            <w:tcW w:w="350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Famille</w:t>
            </w:r>
          </w:p>
        </w:tc>
      </w:tr>
      <w:tr>
        <w:trPr/>
        <w:tc>
          <w:tcPr>
            <w:tcW w:w="8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12</w:t>
            </w:r>
          </w:p>
        </w:tc>
        <w:tc>
          <w:tcPr>
            <w:tcW w:w="10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2.9</w:t>
            </w:r>
          </w:p>
        </w:tc>
        <w:tc>
          <w:tcPr>
            <w:tcW w:w="36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Désordres sur les parapets en maçonnerie</w:t>
            </w:r>
          </w:p>
        </w:tc>
        <w:tc>
          <w:tcPr>
            <w:tcW w:w="3501"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Dégradation biologique / surface</w:t>
            </w:r>
          </w:p>
        </w:tc>
      </w:tr>
      <w:tr>
        <w:trPr/>
        <w:tc>
          <w:tcPr>
            <w:tcW w:w="8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38</w:t>
            </w:r>
          </w:p>
        </w:tc>
        <w:tc>
          <w:tcPr>
            <w:tcW w:w="10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4.2</w:t>
            </w:r>
          </w:p>
        </w:tc>
        <w:tc>
          <w:tcPr>
            <w:tcW w:w="3626"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Éclats résultant de la corrosion des armatures</w:t>
            </w:r>
          </w:p>
        </w:tc>
        <w:tc>
          <w:tcPr>
            <w:tcW w:w="350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Béton armé structural</w:t>
            </w:r>
          </w:p>
        </w:tc>
      </w:tr>
      <w:tr>
        <w:trPr/>
        <w:tc>
          <w:tcPr>
            <w:tcW w:w="8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116</w:t>
            </w:r>
          </w:p>
        </w:tc>
        <w:tc>
          <w:tcPr>
            <w:tcW w:w="10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7.2</w:t>
            </w:r>
          </w:p>
        </w:tc>
        <w:tc>
          <w:tcPr>
            <w:tcW w:w="3626"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Écoulement en intrados de tablier</w:t>
            </w:r>
          </w:p>
        </w:tc>
        <w:tc>
          <w:tcPr>
            <w:tcW w:w="3501"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Infiltration d'eau</w:t>
            </w:r>
          </w:p>
        </w:tc>
      </w:tr>
    </w:tbl>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Le protocole de chargement est uniforme pour tous les modèles : quantification 4-bit NF4 (BitsAndBytesConfig), device_map='auto', sans FlashAttention. Le prompt d'inspection est identique pour tous les modèles et toutes les images. La génération se fait en mode déterministe (do_sample=False, max_new_tokens=400).</w:t>
      </w:r>
    </w:p>
    <w:p>
      <w:pPr>
        <w:pStyle w:val="Heading2"/>
        <w:spacing w:before="280" w:after="140"/>
        <w:rPr/>
      </w:pPr>
      <w:bookmarkStart w:id="17" w:name="__RefHeading___Toc1162_3687304687"/>
      <w:bookmarkEnd w:id="17"/>
      <w:r>
        <w:rPr>
          <w:rFonts w:eastAsia="Arial" w:cs="Arial" w:ascii="Arial" w:hAnsi="Arial"/>
          <w:b/>
          <w:bCs/>
          <w:color w:val="2E75B6"/>
          <w:sz w:val="26"/>
          <w:szCs w:val="26"/>
        </w:rPr>
        <w:t>4.2 Métriques automatiques : BLEU et ROUGE-L</w:t>
      </w:r>
    </w:p>
    <w:p>
      <w:pPr>
        <w:pStyle w:val="Normal"/>
        <w:spacing w:before="80" w:after="80"/>
        <w:jc w:val="start"/>
        <w:rPr/>
      </w:pPr>
      <w:r>
        <w:rPr>
          <w:rFonts w:eastAsia="Arial" w:cs="Arial"/>
          <w:b w:val="false"/>
          <w:bCs w:val="false"/>
          <w:i w:val="false"/>
          <w:iCs w:val="false"/>
          <w:color w:val="000000"/>
          <w:sz w:val="22"/>
          <w:szCs w:val="22"/>
        </w:rPr>
        <w:t>Deux métriques automatiques mesurent la similarité lexicale entre la sortie du modèle et le commentaire expert de référence :</w:t>
      </w:r>
    </w:p>
    <w:p>
      <w:pPr>
        <w:pStyle w:val="ListParagraph"/>
        <w:numPr>
          <w:ilvl w:val="0"/>
          <w:numId w:val="1"/>
        </w:numPr>
        <w:spacing w:before="60" w:after="60"/>
        <w:rPr/>
      </w:pPr>
      <w:r>
        <w:rPr>
          <w:rFonts w:eastAsia="Arial" w:cs="Arial"/>
          <w:sz w:val="22"/>
          <w:szCs w:val="22"/>
        </w:rPr>
        <w:t>BLEU (Bilingual Evaluation Understudy) : précision des bigrammes et trigrammes communs, avec lissage pour les sorties courtes</w:t>
      </w:r>
    </w:p>
    <w:p>
      <w:pPr>
        <w:pStyle w:val="ListParagraph"/>
        <w:numPr>
          <w:ilvl w:val="0"/>
          <w:numId w:val="1"/>
        </w:numPr>
        <w:spacing w:before="60" w:after="60"/>
        <w:rPr/>
      </w:pPr>
      <w:r>
        <w:rPr>
          <w:rFonts w:eastAsia="Arial" w:cs="Arial"/>
          <w:sz w:val="22"/>
          <w:szCs w:val="22"/>
        </w:rPr>
        <w:t>ROUGE-L (Recall-Oriented Understudy for Gisting Evaluation) : longueur de la plus longue sous-séquence commune, normalisée en F-mesure</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Ces scores mesurent la proximité du vocabulaire utilisé par le modèle avec celui d'un ingénieur expert. Des valeurs absolues faibles (ROUGE-L 0.10–0.20) sont attendues en inférence zero-shot — les modèles n'ont pas encore été entraînés sur notre domaine. L'objectif est la comparaison relative entre modèles.</w:t>
      </w:r>
    </w:p>
    <w:p>
      <w:pPr>
        <w:pStyle w:val="Heading2"/>
        <w:spacing w:before="280" w:after="140"/>
        <w:rPr/>
      </w:pPr>
      <w:bookmarkStart w:id="18" w:name="__RefHeading___Toc1164_3687304687"/>
      <w:bookmarkEnd w:id="18"/>
      <w:r>
        <w:rPr>
          <w:rFonts w:eastAsia="Arial" w:cs="Arial" w:ascii="Arial" w:hAnsi="Arial"/>
          <w:b/>
          <w:bCs/>
          <w:color w:val="2E75B6"/>
          <w:sz w:val="26"/>
          <w:szCs w:val="26"/>
        </w:rPr>
        <w:t>4.3 Résultats quantitatifs</w:t>
      </w:r>
    </w:p>
    <w:p>
      <w:pPr>
        <w:pStyle w:val="Heading3"/>
        <w:spacing w:before="200" w:after="100"/>
        <w:rPr/>
      </w:pPr>
      <w:bookmarkStart w:id="19" w:name="__RefHeading___Toc1166_3687304687"/>
      <w:bookmarkEnd w:id="19"/>
      <w:r>
        <w:rPr>
          <w:rFonts w:eastAsia="Arial" w:cs="Arial" w:ascii="Arial" w:hAnsi="Arial"/>
          <w:b/>
          <w:bCs/>
          <w:color w:val="595959"/>
          <w:sz w:val="24"/>
          <w:szCs w:val="24"/>
        </w:rPr>
        <w:t>4.3.1 Métriques matérielles</w:t>
      </w:r>
    </w:p>
    <w:tbl>
      <w:tblPr>
        <w:tblW w:w="9026" w:type="dxa"/>
        <w:jc w:val="start"/>
        <w:tblInd w:w="0" w:type="dxa"/>
        <w:tblLayout w:type="fixed"/>
        <w:tblCellMar>
          <w:top w:w="80" w:type="dxa"/>
          <w:start w:w="120" w:type="dxa"/>
          <w:bottom w:w="80" w:type="dxa"/>
          <w:end w:w="120" w:type="dxa"/>
        </w:tblCellMar>
      </w:tblPr>
      <w:tblGrid>
        <w:gridCol w:w="2340"/>
        <w:gridCol w:w="1171"/>
        <w:gridCol w:w="1170"/>
        <w:gridCol w:w="1272"/>
        <w:gridCol w:w="1272"/>
        <w:gridCol w:w="1801"/>
      </w:tblGrid>
      <w:tr>
        <w:trPr>
          <w:tblHeader w:val="true"/>
        </w:trPr>
        <w:tc>
          <w:tcPr>
            <w:tcW w:w="234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Modèle</w:t>
            </w:r>
          </w:p>
        </w:tc>
        <w:tc>
          <w:tcPr>
            <w:tcW w:w="117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Rang LB</w:t>
            </w:r>
          </w:p>
        </w:tc>
        <w:tc>
          <w:tcPr>
            <w:tcW w:w="117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VRAM (GB)</w:t>
            </w:r>
          </w:p>
        </w:tc>
        <w:tc>
          <w:tcPr>
            <w:tcW w:w="1272"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Temps moy. (s)</w:t>
            </w:r>
          </w:p>
        </w:tc>
        <w:tc>
          <w:tcPr>
            <w:tcW w:w="1272"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 xml:space="preserve">≈ </w:t>
            </w:r>
            <w:r>
              <w:rPr>
                <w:rFonts w:eastAsia="Arial" w:cs="Arial"/>
                <w:b/>
                <w:bCs/>
                <w:i w:val="false"/>
                <w:iCs w:val="false"/>
                <w:color w:val="FFFFFF"/>
                <w:sz w:val="20"/>
                <w:szCs w:val="20"/>
              </w:rPr>
              <w:t>Tokens/s</w:t>
            </w:r>
          </w:p>
        </w:tc>
        <w:tc>
          <w:tcPr>
            <w:tcW w:w="180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Note</w:t>
            </w:r>
          </w:p>
        </w:tc>
      </w:tr>
      <w:tr>
        <w:trPr/>
        <w:tc>
          <w:tcPr>
            <w:tcW w:w="234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InternVL3-2B-hf</w:t>
            </w:r>
          </w:p>
        </w:tc>
        <w:tc>
          <w:tcPr>
            <w:tcW w:w="117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#10</w:t>
            </w:r>
          </w:p>
        </w:tc>
        <w:tc>
          <w:tcPr>
            <w:tcW w:w="117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1.81</w:t>
            </w:r>
          </w:p>
        </w:tc>
        <w:tc>
          <w:tcPr>
            <w:tcW w:w="1272"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40.4</w:t>
            </w:r>
          </w:p>
        </w:tc>
        <w:tc>
          <w:tcPr>
            <w:tcW w:w="1272"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bCs/>
                <w:i w:val="false"/>
                <w:iCs w:val="false"/>
                <w:color w:val="375623"/>
                <w:sz w:val="20"/>
                <w:szCs w:val="20"/>
              </w:rPr>
              <w:t>5.5</w:t>
            </w:r>
          </w:p>
        </w:tc>
        <w:tc>
          <w:tcPr>
            <w:tcW w:w="1801"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iCs/>
                <w:color w:val="595959"/>
                <w:sz w:val="20"/>
                <w:szCs w:val="20"/>
              </w:rPr>
              <w:t>Meilleure vitesse</w:t>
            </w:r>
          </w:p>
        </w:tc>
      </w:tr>
      <w:tr>
        <w:trPr/>
        <w:tc>
          <w:tcPr>
            <w:tcW w:w="2340"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start"/>
              <w:rPr/>
            </w:pPr>
            <w:r>
              <w:rPr>
                <w:rFonts w:eastAsia="Arial" w:cs="Arial"/>
                <w:b w:val="false"/>
                <w:bCs w:val="false"/>
                <w:i w:val="false"/>
                <w:iCs w:val="false"/>
                <w:color w:val="000000"/>
                <w:sz w:val="20"/>
                <w:szCs w:val="20"/>
              </w:rPr>
              <w:t>Qwen2.5-VL-3B</w:t>
            </w:r>
          </w:p>
        </w:tc>
        <w:tc>
          <w:tcPr>
            <w:tcW w:w="117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#11</w:t>
            </w:r>
          </w:p>
        </w:tc>
        <w:tc>
          <w:tcPr>
            <w:tcW w:w="1170"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2.43</w:t>
            </w:r>
          </w:p>
        </w:tc>
        <w:tc>
          <w:tcPr>
            <w:tcW w:w="1272"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50.7</w:t>
            </w:r>
          </w:p>
        </w:tc>
        <w:tc>
          <w:tcPr>
            <w:tcW w:w="1272"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4.6</w:t>
            </w:r>
          </w:p>
        </w:tc>
        <w:tc>
          <w:tcPr>
            <w:tcW w:w="18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start"/>
              <w:rPr/>
            </w:pPr>
            <w:r>
              <w:rPr>
                <w:rFonts w:eastAsia="Arial" w:cs="Arial"/>
                <w:b/>
                <w:bCs/>
                <w:i w:val="false"/>
                <w:iCs w:val="false"/>
                <w:color w:val="375623"/>
                <w:sz w:val="20"/>
                <w:szCs w:val="20"/>
              </w:rPr>
              <w:t xml:space="preserve">★ </w:t>
            </w:r>
            <w:r>
              <w:rPr>
                <w:rFonts w:eastAsia="Arial" w:cs="Arial"/>
                <w:b/>
                <w:bCs/>
                <w:i w:val="false"/>
                <w:iCs w:val="false"/>
                <w:color w:val="375623"/>
                <w:sz w:val="20"/>
                <w:szCs w:val="20"/>
              </w:rPr>
              <w:t>Sélectionné</w:t>
            </w:r>
          </w:p>
        </w:tc>
      </w:tr>
      <w:tr>
        <w:trPr/>
        <w:tc>
          <w:tcPr>
            <w:tcW w:w="234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Gemma3-4B-IT</w:t>
            </w:r>
          </w:p>
        </w:tc>
        <w:tc>
          <w:tcPr>
            <w:tcW w:w="117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~#13</w:t>
            </w:r>
          </w:p>
        </w:tc>
        <w:tc>
          <w:tcPr>
            <w:tcW w:w="117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3.24</w:t>
            </w:r>
          </w:p>
        </w:tc>
        <w:tc>
          <w:tcPr>
            <w:tcW w:w="1272"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61.1</w:t>
            </w:r>
          </w:p>
        </w:tc>
        <w:tc>
          <w:tcPr>
            <w:tcW w:w="1272"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C55A11"/>
                <w:sz w:val="20"/>
                <w:szCs w:val="20"/>
              </w:rPr>
              <w:t>3.9</w:t>
            </w:r>
          </w:p>
        </w:tc>
        <w:tc>
          <w:tcPr>
            <w:tcW w:w="1801"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iCs/>
                <w:color w:val="595959"/>
                <w:sz w:val="20"/>
                <w:szCs w:val="20"/>
              </w:rPr>
              <w:t>Plus lent</w:t>
            </w:r>
          </w:p>
        </w:tc>
      </w:tr>
      <w:tr>
        <w:trPr/>
        <w:tc>
          <w:tcPr>
            <w:tcW w:w="234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SmolVLM2-2.2B</w:t>
            </w:r>
          </w:p>
        </w:tc>
        <w:tc>
          <w:tcPr>
            <w:tcW w:w="117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w:t>
            </w:r>
          </w:p>
        </w:tc>
        <w:tc>
          <w:tcPr>
            <w:tcW w:w="117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1.89</w:t>
            </w:r>
          </w:p>
        </w:tc>
        <w:tc>
          <w:tcPr>
            <w:tcW w:w="1272"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14.7</w:t>
            </w:r>
          </w:p>
        </w:tc>
        <w:tc>
          <w:tcPr>
            <w:tcW w:w="1272"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5.9</w:t>
            </w:r>
          </w:p>
        </w:tc>
        <w:tc>
          <w:tcPr>
            <w:tcW w:w="180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iCs/>
                <w:color w:val="C55A11"/>
                <w:sz w:val="20"/>
                <w:szCs w:val="20"/>
              </w:rPr>
              <w:t>Sorties incohérentes</w:t>
            </w:r>
          </w:p>
        </w:tc>
      </w:tr>
    </w:tbl>
    <w:p>
      <w:pPr>
        <w:pStyle w:val="Normal"/>
        <w:spacing w:before="0" w:after="80"/>
        <w:rPr/>
      </w:pPr>
      <w:r>
        <w:rPr/>
      </w:r>
    </w:p>
    <w:p>
      <w:pPr>
        <w:pStyle w:val="Heading3"/>
        <w:spacing w:before="200" w:after="100"/>
        <w:rPr/>
      </w:pPr>
      <w:bookmarkStart w:id="20" w:name="__RefHeading___Toc1168_3687304687"/>
      <w:bookmarkEnd w:id="20"/>
      <w:r>
        <w:rPr>
          <w:rFonts w:eastAsia="Arial" w:cs="Arial" w:ascii="Arial" w:hAnsi="Arial"/>
          <w:b/>
          <w:bCs/>
          <w:color w:val="595959"/>
          <w:sz w:val="24"/>
          <w:szCs w:val="24"/>
        </w:rPr>
        <w:t>4.3.2 Scores BLEU et ROUGE-L</w:t>
      </w:r>
    </w:p>
    <w:tbl>
      <w:tblPr>
        <w:tblW w:w="9026" w:type="dxa"/>
        <w:jc w:val="start"/>
        <w:tblInd w:w="0" w:type="dxa"/>
        <w:tblLayout w:type="fixed"/>
        <w:tblCellMar>
          <w:top w:w="80" w:type="dxa"/>
          <w:start w:w="120" w:type="dxa"/>
          <w:bottom w:w="80" w:type="dxa"/>
          <w:end w:w="120" w:type="dxa"/>
        </w:tblCellMar>
      </w:tblPr>
      <w:tblGrid>
        <w:gridCol w:w="2600"/>
        <w:gridCol w:w="1300"/>
        <w:gridCol w:w="1412"/>
        <w:gridCol w:w="1414"/>
        <w:gridCol w:w="1299"/>
        <w:gridCol w:w="1001"/>
      </w:tblGrid>
      <w:tr>
        <w:trPr>
          <w:tblHeader w:val="true"/>
        </w:trPr>
        <w:tc>
          <w:tcPr>
            <w:tcW w:w="26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Modèle</w:t>
            </w:r>
          </w:p>
        </w:tc>
        <w:tc>
          <w:tcPr>
            <w:tcW w:w="13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BLEU moy.</w:t>
            </w:r>
          </w:p>
        </w:tc>
        <w:tc>
          <w:tcPr>
            <w:tcW w:w="1412"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ROUGE-L moy.</w:t>
            </w:r>
          </w:p>
        </w:tc>
        <w:tc>
          <w:tcPr>
            <w:tcW w:w="1414"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ROUGE-L img 38</w:t>
            </w:r>
          </w:p>
        </w:tc>
        <w:tc>
          <w:tcPr>
            <w:tcW w:w="129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ROUGE-L img 116</w:t>
            </w:r>
          </w:p>
        </w:tc>
        <w:tc>
          <w:tcPr>
            <w:tcW w:w="100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Rang ROUGE</w:t>
            </w:r>
          </w:p>
        </w:tc>
      </w:tr>
      <w:tr>
        <w:trPr/>
        <w:tc>
          <w:tcPr>
            <w:tcW w:w="2600"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start"/>
              <w:rPr/>
            </w:pPr>
            <w:r>
              <w:rPr>
                <w:rFonts w:eastAsia="Arial" w:cs="Arial"/>
                <w:b w:val="false"/>
                <w:bCs w:val="false"/>
                <w:i w:val="false"/>
                <w:iCs w:val="false"/>
                <w:color w:val="000000"/>
                <w:sz w:val="20"/>
                <w:szCs w:val="20"/>
              </w:rPr>
              <w:t>Qwen2.5-VL-3B</w:t>
            </w:r>
          </w:p>
        </w:tc>
        <w:tc>
          <w:tcPr>
            <w:tcW w:w="1300"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0.0579</w:t>
            </w:r>
          </w:p>
        </w:tc>
        <w:tc>
          <w:tcPr>
            <w:tcW w:w="1412"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bCs/>
                <w:i w:val="false"/>
                <w:iCs w:val="false"/>
                <w:color w:val="375623"/>
                <w:sz w:val="20"/>
                <w:szCs w:val="20"/>
              </w:rPr>
              <w:t>0.1452</w:t>
            </w:r>
          </w:p>
        </w:tc>
        <w:tc>
          <w:tcPr>
            <w:tcW w:w="1414"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0.1752</w:t>
            </w:r>
          </w:p>
        </w:tc>
        <w:tc>
          <w:tcPr>
            <w:tcW w:w="1299"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0.1542</w:t>
            </w:r>
          </w:p>
        </w:tc>
        <w:tc>
          <w:tcPr>
            <w:tcW w:w="10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bCs/>
                <w:i w:val="false"/>
                <w:iCs w:val="false"/>
                <w:color w:val="375623"/>
                <w:sz w:val="20"/>
                <w:szCs w:val="20"/>
              </w:rPr>
              <w:t>#1</w:t>
            </w:r>
          </w:p>
        </w:tc>
      </w:tr>
      <w:tr>
        <w:trPr/>
        <w:tc>
          <w:tcPr>
            <w:tcW w:w="26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InternVL3-2B-hf</w:t>
            </w:r>
          </w:p>
        </w:tc>
        <w:tc>
          <w:tcPr>
            <w:tcW w:w="13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0.0428</w:t>
            </w:r>
          </w:p>
        </w:tc>
        <w:tc>
          <w:tcPr>
            <w:tcW w:w="1412"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0.1375</w:t>
            </w:r>
          </w:p>
        </w:tc>
        <w:tc>
          <w:tcPr>
            <w:tcW w:w="1414"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0.1333</w:t>
            </w:r>
          </w:p>
        </w:tc>
        <w:tc>
          <w:tcPr>
            <w:tcW w:w="1299"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0.1626</w:t>
            </w:r>
          </w:p>
        </w:tc>
        <w:tc>
          <w:tcPr>
            <w:tcW w:w="100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#2</w:t>
            </w:r>
          </w:p>
        </w:tc>
      </w:tr>
      <w:tr>
        <w:trPr/>
        <w:tc>
          <w:tcPr>
            <w:tcW w:w="26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Gemma3-4B-IT</w:t>
            </w:r>
          </w:p>
        </w:tc>
        <w:tc>
          <w:tcPr>
            <w:tcW w:w="13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0.0471</w:t>
            </w:r>
          </w:p>
        </w:tc>
        <w:tc>
          <w:tcPr>
            <w:tcW w:w="1412"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0.1323</w:t>
            </w:r>
          </w:p>
        </w:tc>
        <w:tc>
          <w:tcPr>
            <w:tcW w:w="1414"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0.1391</w:t>
            </w:r>
          </w:p>
        </w:tc>
        <w:tc>
          <w:tcPr>
            <w:tcW w:w="12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0.1622</w:t>
            </w:r>
          </w:p>
        </w:tc>
        <w:tc>
          <w:tcPr>
            <w:tcW w:w="100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#3</w:t>
            </w:r>
          </w:p>
        </w:tc>
      </w:tr>
      <w:tr>
        <w:trPr/>
        <w:tc>
          <w:tcPr>
            <w:tcW w:w="2600"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SmolVLM2-2.2B</w:t>
            </w:r>
          </w:p>
        </w:tc>
        <w:tc>
          <w:tcPr>
            <w:tcW w:w="13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0.0046</w:t>
            </w:r>
          </w:p>
        </w:tc>
        <w:tc>
          <w:tcPr>
            <w:tcW w:w="1412"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C55A11"/>
                <w:sz w:val="20"/>
                <w:szCs w:val="20"/>
              </w:rPr>
              <w:t>0.0742</w:t>
            </w:r>
          </w:p>
        </w:tc>
        <w:tc>
          <w:tcPr>
            <w:tcW w:w="1414"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0.0885</w:t>
            </w:r>
          </w:p>
        </w:tc>
        <w:tc>
          <w:tcPr>
            <w:tcW w:w="1299"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0.0820</w:t>
            </w:r>
          </w:p>
        </w:tc>
        <w:tc>
          <w:tcPr>
            <w:tcW w:w="100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C55A11"/>
                <w:sz w:val="20"/>
                <w:szCs w:val="20"/>
              </w:rPr>
              <w:t>#4</w:t>
            </w:r>
          </w:p>
        </w:tc>
      </w:tr>
    </w:tbl>
    <w:p>
      <w:pPr>
        <w:pStyle w:val="Normal"/>
        <w:spacing w:before="0" w:after="80"/>
        <w:rPr/>
      </w:pPr>
      <w:r>
        <w:rPr/>
      </w:r>
    </w:p>
    <w:p>
      <w:pPr>
        <w:pStyle w:val="Heading2"/>
        <w:spacing w:before="280" w:after="140"/>
        <w:rPr/>
      </w:pPr>
      <w:bookmarkStart w:id="21" w:name="__RefHeading___Toc1170_3687304687"/>
      <w:bookmarkEnd w:id="21"/>
      <w:r>
        <w:rPr>
          <w:rFonts w:eastAsia="Arial" w:cs="Arial" w:ascii="Arial" w:hAnsi="Arial"/>
          <w:b/>
          <w:bCs/>
          <w:color w:val="2E75B6"/>
          <w:sz w:val="26"/>
          <w:szCs w:val="26"/>
        </w:rPr>
        <w:t>4.4 Analyse qualitative des sorties</w:t>
      </w:r>
    </w:p>
    <w:p>
      <w:pPr>
        <w:pStyle w:val="Normal"/>
        <w:spacing w:before="80" w:after="80"/>
        <w:jc w:val="start"/>
        <w:rPr/>
      </w:pPr>
      <w:r>
        <w:rPr>
          <w:rFonts w:eastAsia="Arial" w:cs="Arial"/>
          <w:b w:val="false"/>
          <w:bCs w:val="false"/>
          <w:i w:val="false"/>
          <w:iCs w:val="false"/>
          <w:color w:val="000000"/>
          <w:sz w:val="22"/>
          <w:szCs w:val="22"/>
        </w:rPr>
        <w:t>Au-delà des métriques automatiques, l'analyse des textes générés révèle des différences qualitatives importantes entre les modèles.</w:t>
      </w:r>
    </w:p>
    <w:p>
      <w:pPr>
        <w:pStyle w:val="Normal"/>
        <w:spacing w:before="0" w:after="80"/>
        <w:rPr/>
      </w:pPr>
      <w:r>
        <w:rPr/>
      </w:r>
    </w:p>
    <w:p>
      <w:pPr>
        <w:pStyle w:val="Heading3"/>
        <w:spacing w:before="200" w:after="100"/>
        <w:rPr/>
      </w:pPr>
      <w:bookmarkStart w:id="22" w:name="__RefHeading___Toc1172_3687304687"/>
      <w:bookmarkEnd w:id="22"/>
      <w:r>
        <w:rPr>
          <w:rFonts w:eastAsia="Arial" w:cs="Arial" w:ascii="Arial" w:hAnsi="Arial"/>
          <w:b/>
          <w:bCs/>
          <w:color w:val="595959"/>
          <w:sz w:val="24"/>
          <w:szCs w:val="24"/>
        </w:rPr>
        <w:t>Image 38 — Éclats résultant de la corrosion des armatures (Fiche 4.2)</w:t>
      </w:r>
    </w:p>
    <w:p>
      <w:pPr>
        <w:pStyle w:val="Normal"/>
        <w:spacing w:before="80" w:after="80"/>
        <w:jc w:val="start"/>
        <w:rPr/>
      </w:pPr>
      <w:r>
        <w:rPr>
          <w:rFonts w:eastAsia="Arial" w:cs="Arial"/>
          <w:b w:val="false"/>
          <w:bCs w:val="false"/>
          <w:i w:val="false"/>
          <w:iCs w:val="false"/>
          <w:color w:val="000000"/>
          <w:sz w:val="22"/>
          <w:szCs w:val="22"/>
        </w:rPr>
        <w:t>Cette image représente un désordre critique en béton armé. Le commentaire expert fait référence au faible enrobage, à la carbonatation, aux chlorures, et à la section réduite des armatures — un vocabulaire très spécifique.</w:t>
      </w:r>
    </w:p>
    <w:p>
      <w:pPr>
        <w:pStyle w:val="ListParagraph"/>
        <w:numPr>
          <w:ilvl w:val="0"/>
          <w:numId w:val="1"/>
        </w:numPr>
        <w:spacing w:before="60" w:after="60"/>
        <w:rPr/>
      </w:pPr>
      <w:r>
        <w:rPr>
          <w:rFonts w:eastAsia="Arial" w:cs="Arial"/>
          <w:sz w:val="22"/>
          <w:szCs w:val="22"/>
        </w:rPr>
        <w:t>Gemma3-4B : meilleure qualité descriptive — « perte de matière importante, fragments de béton brisés, corrosion des armatures d'acier apparentes, traces d'eau stagnante ». Vocabulaire proche de l'expert.</w:t>
      </w:r>
    </w:p>
    <w:p>
      <w:pPr>
        <w:pStyle w:val="ListParagraph"/>
        <w:numPr>
          <w:ilvl w:val="0"/>
          <w:numId w:val="1"/>
        </w:numPr>
        <w:spacing w:before="60" w:after="60"/>
        <w:rPr/>
      </w:pPr>
      <w:r>
        <w:rPr>
          <w:rFonts w:eastAsia="Arial" w:cs="Arial"/>
          <w:sz w:val="22"/>
          <w:szCs w:val="22"/>
        </w:rPr>
        <w:t>Qwen2.5-VL-3B : bonne identification — « zones de corrosion, débris de béton, barrière instable ». Moins précis mais structuré.</w:t>
      </w:r>
    </w:p>
    <w:p>
      <w:pPr>
        <w:pStyle w:val="ListParagraph"/>
        <w:numPr>
          <w:ilvl w:val="0"/>
          <w:numId w:val="1"/>
        </w:numPr>
        <w:spacing w:before="60" w:after="60"/>
        <w:rPr/>
      </w:pPr>
      <w:r>
        <w:rPr>
          <w:rFonts w:eastAsia="Arial" w:cs="Arial"/>
          <w:sz w:val="22"/>
          <w:szCs w:val="22"/>
        </w:rPr>
        <w:t>InternVL3-2B : correct — « béton endommagé, taches de rouille, support métallique abîmé ». Vocabulaire approprié.</w:t>
      </w:r>
    </w:p>
    <w:p>
      <w:pPr>
        <w:pStyle w:val="ListParagraph"/>
        <w:numPr>
          <w:ilvl w:val="0"/>
          <w:numId w:val="1"/>
        </w:numPr>
        <w:spacing w:before="60" w:after="60"/>
        <w:rPr/>
      </w:pPr>
      <w:r>
        <w:rPr>
          <w:rFonts w:eastAsia="Arial" w:cs="Arial"/>
          <w:sz w:val="22"/>
          <w:szCs w:val="22"/>
        </w:rPr>
        <w:t>SmolVLM2-2.2B : sortie aberrante — « maladie du poumon, maladie de l'estomac » (boucle de répétition). Éliminé.</w:t>
      </w:r>
    </w:p>
    <w:p>
      <w:pPr>
        <w:pStyle w:val="Normal"/>
        <w:spacing w:before="0" w:after="80"/>
        <w:rPr/>
      </w:pPr>
      <w:r>
        <w:rPr/>
      </w:r>
    </w:p>
    <w:p>
      <w:pPr>
        <w:pStyle w:val="Heading3"/>
        <w:spacing w:before="200" w:after="100"/>
        <w:rPr/>
      </w:pPr>
      <w:bookmarkStart w:id="23" w:name="__RefHeading___Toc1174_3687304687"/>
      <w:bookmarkEnd w:id="23"/>
      <w:r>
        <w:rPr>
          <w:rFonts w:eastAsia="Arial" w:cs="Arial" w:ascii="Arial" w:hAnsi="Arial"/>
          <w:b/>
          <w:bCs/>
          <w:color w:val="595959"/>
          <w:sz w:val="24"/>
          <w:szCs w:val="24"/>
        </w:rPr>
        <w:t>Image 116 — Écoulement en intrados de tablier (Fiche 7.2)</w:t>
      </w:r>
    </w:p>
    <w:p>
      <w:pPr>
        <w:pStyle w:val="Normal"/>
        <w:spacing w:before="80" w:after="80"/>
        <w:jc w:val="start"/>
        <w:rPr/>
      </w:pPr>
      <w:r>
        <w:rPr>
          <w:rFonts w:eastAsia="Arial" w:cs="Arial"/>
          <w:b w:val="false"/>
          <w:bCs w:val="false"/>
          <w:i w:val="false"/>
          <w:iCs w:val="false"/>
          <w:color w:val="000000"/>
          <w:sz w:val="22"/>
          <w:szCs w:val="22"/>
        </w:rPr>
        <w:t>Cette image montre des traces d'écoulement sous une dalle de pont. Le commentaire expert mentionne la gargouille, le tuyau de descente d'eau, et la chape d'étanchéité.</w:t>
      </w:r>
    </w:p>
    <w:p>
      <w:pPr>
        <w:pStyle w:val="ListParagraph"/>
        <w:numPr>
          <w:ilvl w:val="0"/>
          <w:numId w:val="1"/>
        </w:numPr>
        <w:spacing w:before="60" w:after="60"/>
        <w:rPr/>
      </w:pPr>
      <w:r>
        <w:rPr>
          <w:rFonts w:eastAsia="Arial" w:cs="Arial"/>
          <w:sz w:val="22"/>
          <w:szCs w:val="22"/>
        </w:rPr>
        <w:t>Qwen2.5-VL-3B : « corrosion autour d'une ouverture, contact avec l'eau » — reconnait le contexte hydraulique.</w:t>
      </w:r>
    </w:p>
    <w:p>
      <w:pPr>
        <w:pStyle w:val="ListParagraph"/>
        <w:numPr>
          <w:ilvl w:val="0"/>
          <w:numId w:val="1"/>
        </w:numPr>
        <w:spacing w:before="60" w:after="60"/>
        <w:rPr/>
      </w:pPr>
      <w:r>
        <w:rPr>
          <w:rFonts w:eastAsia="Arial" w:cs="Arial"/>
          <w:sz w:val="22"/>
          <w:szCs w:val="22"/>
        </w:rPr>
        <w:t>InternVL3-2B : « décoloration sur le plafond, cavité apparente » — description correcte mais générique.</w:t>
      </w:r>
    </w:p>
    <w:p>
      <w:pPr>
        <w:pStyle w:val="ListParagraph"/>
        <w:numPr>
          <w:ilvl w:val="0"/>
          <w:numId w:val="1"/>
        </w:numPr>
        <w:spacing w:before="60" w:after="60"/>
        <w:rPr/>
      </w:pPr>
      <w:r>
        <w:rPr>
          <w:rFonts w:eastAsia="Arial" w:cs="Arial"/>
          <w:sz w:val="22"/>
          <w:szCs w:val="22"/>
        </w:rPr>
        <w:t>Gemma3-4B : « écoulement de liquide brun-rougeâtre, trou circulaire, présence de rouille » — description la plus détaillée.</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Note importante : l'absence des termes techniques spécifiques (gargouille, chape d'étanchéité) dans toutes les sorties est attendue en inférence zero-shot. Ces termes seront acquis lors du fine-tuning sur le dataset ITSEOA.</w:t>
      </w:r>
    </w:p>
    <w:p>
      <w:pPr>
        <w:pStyle w:val="Normal"/>
        <w:rPr/>
      </w:pPr>
      <w:r>
        <w:rPr/>
      </w:r>
      <w:r>
        <w:br w:type="page"/>
      </w:r>
    </w:p>
    <w:p>
      <w:pPr>
        <w:pStyle w:val="Heading1"/>
        <w:pBdr>
          <w:bottom w:val="single" w:sz="6" w:space="1" w:color="2E75B6"/>
        </w:pBdr>
        <w:spacing w:before="0" w:after="200"/>
        <w:rPr/>
      </w:pPr>
      <w:bookmarkStart w:id="24" w:name="__RefHeading___Toc1176_3687304687"/>
      <w:bookmarkEnd w:id="24"/>
      <w:r>
        <w:rPr>
          <w:rFonts w:eastAsia="Arial" w:cs="Arial" w:ascii="Arial" w:hAnsi="Arial"/>
          <w:b/>
          <w:bCs/>
          <w:color w:val="1F4E79"/>
          <w:sz w:val="32"/>
          <w:szCs w:val="32"/>
        </w:rPr>
        <w:t>5. Scores de Référence Publiés</w:t>
      </w:r>
    </w:p>
    <w:p>
      <w:pPr>
        <w:pStyle w:val="Heading2"/>
        <w:spacing w:before="280" w:after="140"/>
        <w:rPr/>
      </w:pPr>
      <w:bookmarkStart w:id="25" w:name="__RefHeading___Toc1178_3687304687"/>
      <w:bookmarkEnd w:id="25"/>
      <w:r>
        <w:rPr>
          <w:rFonts w:eastAsia="Arial" w:cs="Arial" w:ascii="Arial" w:hAnsi="Arial"/>
          <w:b/>
          <w:bCs/>
          <w:color w:val="2E75B6"/>
          <w:sz w:val="26"/>
          <w:szCs w:val="26"/>
        </w:rPr>
        <w:t>5.1 Open VLM Leaderboard</w:t>
      </w:r>
    </w:p>
    <w:p>
      <w:pPr>
        <w:pStyle w:val="Normal"/>
        <w:spacing w:before="80" w:after="80"/>
        <w:jc w:val="start"/>
        <w:rPr/>
      </w:pPr>
      <w:r>
        <w:rPr>
          <w:rFonts w:eastAsia="Arial" w:cs="Arial"/>
          <w:b w:val="false"/>
          <w:bCs w:val="false"/>
          <w:i w:val="false"/>
          <w:iCs w:val="false"/>
          <w:color w:val="000000"/>
          <w:sz w:val="22"/>
          <w:szCs w:val="22"/>
        </w:rPr>
        <w:t>Les scores suivants sont issus du Open VLM Leaderboard (OpenCompass) et des rapports techniques officiels de chaque modèle. Ces benchmarks évaluent la compréhension visuelle générale et ne sont pas spécifiques à l'inspection d'ouvrages d'art.</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199"/>
        <w:gridCol w:w="901"/>
        <w:gridCol w:w="999"/>
        <w:gridCol w:w="1201"/>
        <w:gridCol w:w="1100"/>
        <w:gridCol w:w="1125"/>
        <w:gridCol w:w="1501"/>
      </w:tblGrid>
      <w:tr>
        <w:trPr>
          <w:tblHeader w:val="true"/>
        </w:trPr>
        <w:tc>
          <w:tcPr>
            <w:tcW w:w="219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Modèle</w:t>
            </w:r>
          </w:p>
        </w:tc>
        <w:tc>
          <w:tcPr>
            <w:tcW w:w="90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Params</w:t>
            </w:r>
          </w:p>
        </w:tc>
        <w:tc>
          <w:tcPr>
            <w:tcW w:w="99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Avg LB</w:t>
            </w:r>
          </w:p>
        </w:tc>
        <w:tc>
          <w:tcPr>
            <w:tcW w:w="120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MMBench</w:t>
            </w:r>
          </w:p>
        </w:tc>
        <w:tc>
          <w:tcPr>
            <w:tcW w:w="11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MMStar</w:t>
            </w:r>
          </w:p>
        </w:tc>
        <w:tc>
          <w:tcPr>
            <w:tcW w:w="1125"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OCRBench</w:t>
            </w:r>
          </w:p>
        </w:tc>
        <w:tc>
          <w:tcPr>
            <w:tcW w:w="150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Licence</w:t>
            </w:r>
          </w:p>
        </w:tc>
      </w:tr>
      <w:tr>
        <w:trPr/>
        <w:tc>
          <w:tcPr>
            <w:tcW w:w="2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InternVL3-2B-hf</w:t>
            </w:r>
          </w:p>
        </w:tc>
        <w:tc>
          <w:tcPr>
            <w:tcW w:w="90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2B</w:t>
            </w:r>
          </w:p>
        </w:tc>
        <w:tc>
          <w:tcPr>
            <w:tcW w:w="999"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64.5</w:t>
            </w:r>
          </w:p>
        </w:tc>
        <w:tc>
          <w:tcPr>
            <w:tcW w:w="120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78.0</w:t>
            </w:r>
          </w:p>
        </w:tc>
        <w:tc>
          <w:tcPr>
            <w:tcW w:w="11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bCs/>
                <w:i w:val="false"/>
                <w:iCs w:val="false"/>
                <w:color w:val="375623"/>
                <w:sz w:val="20"/>
                <w:szCs w:val="20"/>
              </w:rPr>
              <w:t>61.1</w:t>
            </w:r>
          </w:p>
        </w:tc>
        <w:tc>
          <w:tcPr>
            <w:tcW w:w="1125"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831</w:t>
            </w:r>
          </w:p>
        </w:tc>
        <w:tc>
          <w:tcPr>
            <w:tcW w:w="1501"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MIT</w:t>
            </w:r>
          </w:p>
        </w:tc>
      </w:tr>
      <w:tr>
        <w:trPr/>
        <w:tc>
          <w:tcPr>
            <w:tcW w:w="2199"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start"/>
              <w:rPr/>
            </w:pPr>
            <w:r>
              <w:rPr>
                <w:rFonts w:eastAsia="Arial" w:cs="Arial"/>
                <w:b w:val="false"/>
                <w:bCs w:val="false"/>
                <w:i w:val="false"/>
                <w:iCs w:val="false"/>
                <w:color w:val="000000"/>
                <w:sz w:val="20"/>
                <w:szCs w:val="20"/>
              </w:rPr>
              <w:t>Qwen2.5-VL-3B</w:t>
            </w:r>
          </w:p>
        </w:tc>
        <w:tc>
          <w:tcPr>
            <w:tcW w:w="9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3B</w:t>
            </w:r>
          </w:p>
        </w:tc>
        <w:tc>
          <w:tcPr>
            <w:tcW w:w="999"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64.5</w:t>
            </w:r>
          </w:p>
        </w:tc>
        <w:tc>
          <w:tcPr>
            <w:tcW w:w="12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76.8</w:t>
            </w:r>
          </w:p>
        </w:tc>
        <w:tc>
          <w:tcPr>
            <w:tcW w:w="1100"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56.3</w:t>
            </w:r>
          </w:p>
        </w:tc>
        <w:tc>
          <w:tcPr>
            <w:tcW w:w="1125"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828</w:t>
            </w:r>
          </w:p>
        </w:tc>
        <w:tc>
          <w:tcPr>
            <w:tcW w:w="15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start"/>
              <w:rPr/>
            </w:pPr>
            <w:r>
              <w:rPr>
                <w:rFonts w:eastAsia="Arial" w:cs="Arial"/>
                <w:b/>
                <w:bCs/>
                <w:i w:val="false"/>
                <w:iCs w:val="false"/>
                <w:color w:val="375623"/>
                <w:sz w:val="20"/>
                <w:szCs w:val="20"/>
              </w:rPr>
              <w:t>Apache 2.0</w:t>
            </w:r>
          </w:p>
        </w:tc>
      </w:tr>
      <w:tr>
        <w:trPr/>
        <w:tc>
          <w:tcPr>
            <w:tcW w:w="2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Gemma3-4B-IT</w:t>
            </w:r>
          </w:p>
        </w:tc>
        <w:tc>
          <w:tcPr>
            <w:tcW w:w="90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4B</w:t>
            </w:r>
          </w:p>
        </w:tc>
        <w:tc>
          <w:tcPr>
            <w:tcW w:w="999"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~63</w:t>
            </w:r>
          </w:p>
        </w:tc>
        <w:tc>
          <w:tcPr>
            <w:tcW w:w="120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bCs/>
                <w:i w:val="false"/>
                <w:iCs w:val="false"/>
                <w:color w:val="375623"/>
                <w:sz w:val="20"/>
                <w:szCs w:val="20"/>
              </w:rPr>
              <w:t>79.4</w:t>
            </w:r>
          </w:p>
        </w:tc>
        <w:tc>
          <w:tcPr>
            <w:tcW w:w="11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~56</w:t>
            </w:r>
          </w:p>
        </w:tc>
        <w:tc>
          <w:tcPr>
            <w:tcW w:w="1125"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~750</w:t>
            </w:r>
          </w:p>
        </w:tc>
        <w:tc>
          <w:tcPr>
            <w:tcW w:w="1501"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C55A11"/>
                <w:sz w:val="20"/>
                <w:szCs w:val="20"/>
              </w:rPr>
              <w:t>Gemma ToU</w:t>
            </w:r>
          </w:p>
        </w:tc>
      </w:tr>
      <w:tr>
        <w:trPr/>
        <w:tc>
          <w:tcPr>
            <w:tcW w:w="21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SmolVLM2-2.2B</w:t>
            </w:r>
          </w:p>
        </w:tc>
        <w:tc>
          <w:tcPr>
            <w:tcW w:w="90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2.2B</w:t>
            </w:r>
          </w:p>
        </w:tc>
        <w:tc>
          <w:tcPr>
            <w:tcW w:w="9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~55</w:t>
            </w:r>
          </w:p>
        </w:tc>
        <w:tc>
          <w:tcPr>
            <w:tcW w:w="120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~67</w:t>
            </w:r>
          </w:p>
        </w:tc>
        <w:tc>
          <w:tcPr>
            <w:tcW w:w="11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C55A11"/>
                <w:sz w:val="20"/>
                <w:szCs w:val="20"/>
              </w:rPr>
              <w:t>46.0</w:t>
            </w:r>
          </w:p>
        </w:tc>
        <w:tc>
          <w:tcPr>
            <w:tcW w:w="1125"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~600</w:t>
            </w:r>
          </w:p>
        </w:tc>
        <w:tc>
          <w:tcPr>
            <w:tcW w:w="150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Apache 2.0</w:t>
            </w:r>
          </w:p>
        </w:tc>
      </w:tr>
    </w:tbl>
    <w:p>
      <w:pPr>
        <w:pStyle w:val="Normal"/>
        <w:spacing w:before="0" w:after="80"/>
        <w:rPr/>
      </w:pPr>
      <w:r>
        <w:rPr/>
      </w:r>
    </w:p>
    <w:p>
      <w:pPr>
        <w:pStyle w:val="Normal"/>
        <w:spacing w:before="80" w:after="80"/>
        <w:jc w:val="start"/>
        <w:rPr/>
      </w:pPr>
      <w:r>
        <w:rPr>
          <w:rFonts w:eastAsia="Arial" w:cs="Arial"/>
          <w:b w:val="false"/>
          <w:bCs w:val="false"/>
          <w:i/>
          <w:iCs/>
          <w:color w:val="595959"/>
          <w:sz w:val="20"/>
          <w:szCs w:val="20"/>
        </w:rPr>
        <w:t>Source : Open VLM Leaderboard (OpenCompass), rapports techniques officiels et model cards HuggingFace, Mars 2026. Les valeurs préfixées ~ sont estimées par interpolation depuis les rapports de la famille de modèles.</w:t>
      </w:r>
    </w:p>
    <w:p>
      <w:pPr>
        <w:pStyle w:val="Normal"/>
        <w:rPr/>
      </w:pPr>
      <w:r>
        <w:rPr/>
      </w:r>
      <w:r>
        <w:br w:type="page"/>
      </w:r>
    </w:p>
    <w:p>
      <w:pPr>
        <w:pStyle w:val="Heading1"/>
        <w:pBdr>
          <w:bottom w:val="single" w:sz="6" w:space="1" w:color="2E75B6"/>
        </w:pBdr>
        <w:spacing w:before="0" w:after="200"/>
        <w:rPr/>
      </w:pPr>
      <w:bookmarkStart w:id="26" w:name="__RefHeading___Toc1180_3687304687"/>
      <w:bookmarkEnd w:id="26"/>
      <w:r>
        <w:rPr>
          <w:rFonts w:eastAsia="Arial" w:cs="Arial" w:ascii="Arial" w:hAnsi="Arial"/>
          <w:b/>
          <w:bCs/>
          <w:color w:val="1F4E79"/>
          <w:sz w:val="32"/>
          <w:szCs w:val="32"/>
        </w:rPr>
        <w:t>6. Décision Finale et Justification</w:t>
      </w:r>
    </w:p>
    <w:p>
      <w:pPr>
        <w:pStyle w:val="Heading2"/>
        <w:spacing w:before="280" w:after="140"/>
        <w:rPr/>
      </w:pPr>
      <w:bookmarkStart w:id="27" w:name="__RefHeading___Toc1182_3687304687"/>
      <w:bookmarkEnd w:id="27"/>
      <w:r>
        <w:rPr>
          <w:rFonts w:eastAsia="Arial" w:cs="Arial" w:ascii="Arial" w:hAnsi="Arial"/>
          <w:b/>
          <w:bCs/>
          <w:color w:val="2E75B6"/>
          <w:sz w:val="26"/>
          <w:szCs w:val="26"/>
        </w:rPr>
        <w:t>6.1 Scores pondérés</w:t>
      </w:r>
    </w:p>
    <w:tbl>
      <w:tblPr>
        <w:tblW w:w="9026" w:type="dxa"/>
        <w:jc w:val="start"/>
        <w:tblInd w:w="0" w:type="dxa"/>
        <w:tblLayout w:type="fixed"/>
        <w:tblCellMar>
          <w:top w:w="80" w:type="dxa"/>
          <w:start w:w="120" w:type="dxa"/>
          <w:bottom w:w="80" w:type="dxa"/>
          <w:end w:w="120" w:type="dxa"/>
        </w:tblCellMar>
      </w:tblPr>
      <w:tblGrid>
        <w:gridCol w:w="2199"/>
        <w:gridCol w:w="951"/>
        <w:gridCol w:w="949"/>
        <w:gridCol w:w="1100"/>
        <w:gridCol w:w="1150"/>
        <w:gridCol w:w="1176"/>
        <w:gridCol w:w="1501"/>
      </w:tblGrid>
      <w:tr>
        <w:trPr>
          <w:tblHeader w:val="true"/>
        </w:trPr>
        <w:tc>
          <w:tcPr>
            <w:tcW w:w="219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Modèle</w:t>
            </w:r>
          </w:p>
        </w:tc>
        <w:tc>
          <w:tcPr>
            <w:tcW w:w="95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Visuel /25</w:t>
            </w:r>
          </w:p>
        </w:tc>
        <w:tc>
          <w:tcPr>
            <w:tcW w:w="949"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ROUGE-L /20</w:t>
            </w:r>
          </w:p>
        </w:tc>
        <w:tc>
          <w:tcPr>
            <w:tcW w:w="110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Français /20</w:t>
            </w:r>
          </w:p>
        </w:tc>
        <w:tc>
          <w:tcPr>
            <w:tcW w:w="1150"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Fine-tuning /20</w:t>
            </w:r>
          </w:p>
        </w:tc>
        <w:tc>
          <w:tcPr>
            <w:tcW w:w="1176"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Matériel /15</w:t>
            </w:r>
          </w:p>
        </w:tc>
        <w:tc>
          <w:tcPr>
            <w:tcW w:w="1501" w:type="dxa"/>
            <w:tcBorders>
              <w:top w:val="single" w:sz="2" w:space="0" w:color="AAAAAA"/>
              <w:start w:val="single" w:sz="2" w:space="0" w:color="AAAAAA"/>
              <w:bottom w:val="single" w:sz="2" w:space="0" w:color="AAAAAA"/>
              <w:end w:val="single" w:sz="2" w:space="0" w:color="AAAAAA"/>
            </w:tcBorders>
            <w:shd w:fill="1F4E79" w:val="clear"/>
            <w:vAlign w:val="center"/>
          </w:tcPr>
          <w:p>
            <w:pPr>
              <w:pStyle w:val="Normal"/>
              <w:jc w:val="center"/>
              <w:rPr/>
            </w:pPr>
            <w:r>
              <w:rPr>
                <w:rFonts w:eastAsia="Arial" w:cs="Arial"/>
                <w:b/>
                <w:bCs/>
                <w:i w:val="false"/>
                <w:iCs w:val="false"/>
                <w:color w:val="FFFFFF"/>
                <w:sz w:val="20"/>
                <w:szCs w:val="20"/>
              </w:rPr>
              <w:t>TOTAL /100</w:t>
            </w:r>
          </w:p>
        </w:tc>
      </w:tr>
      <w:tr>
        <w:trPr/>
        <w:tc>
          <w:tcPr>
            <w:tcW w:w="2199"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start"/>
              <w:rPr/>
            </w:pPr>
            <w:r>
              <w:rPr>
                <w:rFonts w:eastAsia="Arial" w:cs="Arial"/>
                <w:b w:val="false"/>
                <w:bCs w:val="false"/>
                <w:i w:val="false"/>
                <w:iCs w:val="false"/>
                <w:color w:val="000000"/>
                <w:sz w:val="20"/>
                <w:szCs w:val="20"/>
              </w:rPr>
              <w:t>Qwen2.5-VL-3B</w:t>
            </w:r>
          </w:p>
        </w:tc>
        <w:tc>
          <w:tcPr>
            <w:tcW w:w="95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23.0</w:t>
            </w:r>
          </w:p>
        </w:tc>
        <w:tc>
          <w:tcPr>
            <w:tcW w:w="949"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9.7</w:t>
            </w:r>
          </w:p>
        </w:tc>
        <w:tc>
          <w:tcPr>
            <w:tcW w:w="1100"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18.0</w:t>
            </w:r>
          </w:p>
        </w:tc>
        <w:tc>
          <w:tcPr>
            <w:tcW w:w="1150"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19.0</w:t>
            </w:r>
          </w:p>
        </w:tc>
        <w:tc>
          <w:tcPr>
            <w:tcW w:w="1176"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val="false"/>
                <w:bCs w:val="false"/>
                <w:i w:val="false"/>
                <w:iCs w:val="false"/>
                <w:color w:val="000000"/>
                <w:sz w:val="20"/>
                <w:szCs w:val="20"/>
              </w:rPr>
              <w:t>10.2</w:t>
            </w:r>
          </w:p>
        </w:tc>
        <w:tc>
          <w:tcPr>
            <w:tcW w:w="1501" w:type="dxa"/>
            <w:tcBorders>
              <w:top w:val="single" w:sz="2" w:space="0" w:color="AAAAAA"/>
              <w:start w:val="single" w:sz="2" w:space="0" w:color="AAAAAA"/>
              <w:bottom w:val="single" w:sz="2" w:space="0" w:color="AAAAAA"/>
              <w:end w:val="single" w:sz="2" w:space="0" w:color="AAAAAA"/>
            </w:tcBorders>
            <w:shd w:fill="E2EFDA" w:val="clear"/>
            <w:vAlign w:val="center"/>
          </w:tcPr>
          <w:p>
            <w:pPr>
              <w:pStyle w:val="Normal"/>
              <w:jc w:val="center"/>
              <w:rPr/>
            </w:pPr>
            <w:r>
              <w:rPr>
                <w:rFonts w:eastAsia="Arial" w:cs="Arial"/>
                <w:b/>
                <w:bCs/>
                <w:i w:val="false"/>
                <w:iCs w:val="false"/>
                <w:color w:val="375623"/>
                <w:sz w:val="20"/>
                <w:szCs w:val="20"/>
              </w:rPr>
              <w:t>79.9</w:t>
            </w:r>
          </w:p>
        </w:tc>
      </w:tr>
      <w:tr>
        <w:trPr/>
        <w:tc>
          <w:tcPr>
            <w:tcW w:w="2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SmolVLM2-2.2B</w:t>
            </w:r>
          </w:p>
        </w:tc>
        <w:tc>
          <w:tcPr>
            <w:tcW w:w="95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19.6</w:t>
            </w:r>
          </w:p>
        </w:tc>
        <w:tc>
          <w:tcPr>
            <w:tcW w:w="949"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4.9</w:t>
            </w:r>
          </w:p>
        </w:tc>
        <w:tc>
          <w:tcPr>
            <w:tcW w:w="11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8.0</w:t>
            </w:r>
          </w:p>
        </w:tc>
        <w:tc>
          <w:tcPr>
            <w:tcW w:w="115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19.0</w:t>
            </w:r>
          </w:p>
        </w:tc>
        <w:tc>
          <w:tcPr>
            <w:tcW w:w="1176"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12.7</w:t>
            </w:r>
          </w:p>
        </w:tc>
        <w:tc>
          <w:tcPr>
            <w:tcW w:w="150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64.2</w:t>
            </w:r>
          </w:p>
        </w:tc>
      </w:tr>
      <w:tr>
        <w:trPr/>
        <w:tc>
          <w:tcPr>
            <w:tcW w:w="219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start"/>
              <w:rPr/>
            </w:pPr>
            <w:r>
              <w:rPr>
                <w:rFonts w:eastAsia="Arial" w:cs="Arial"/>
                <w:b w:val="false"/>
                <w:bCs w:val="false"/>
                <w:i w:val="false"/>
                <w:iCs w:val="false"/>
                <w:color w:val="000000"/>
                <w:sz w:val="20"/>
                <w:szCs w:val="20"/>
              </w:rPr>
              <w:t>Gemma3-4B-IT</w:t>
            </w:r>
          </w:p>
        </w:tc>
        <w:tc>
          <w:tcPr>
            <w:tcW w:w="95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22.5</w:t>
            </w:r>
          </w:p>
        </w:tc>
        <w:tc>
          <w:tcPr>
            <w:tcW w:w="949"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8.8</w:t>
            </w:r>
          </w:p>
        </w:tc>
        <w:tc>
          <w:tcPr>
            <w:tcW w:w="110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20.0</w:t>
            </w:r>
          </w:p>
        </w:tc>
        <w:tc>
          <w:tcPr>
            <w:tcW w:w="1150"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19.0</w:t>
            </w:r>
          </w:p>
        </w:tc>
        <w:tc>
          <w:tcPr>
            <w:tcW w:w="1176"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7.1</w:t>
            </w:r>
          </w:p>
        </w:tc>
        <w:tc>
          <w:tcPr>
            <w:tcW w:w="1501" w:type="dxa"/>
            <w:tcBorders>
              <w:top w:val="single" w:sz="2" w:space="0" w:color="AAAAAA"/>
              <w:start w:val="single" w:sz="2" w:space="0" w:color="AAAAAA"/>
              <w:bottom w:val="single" w:sz="2" w:space="0" w:color="AAAAAA"/>
              <w:end w:val="single" w:sz="2" w:space="0" w:color="AAAAAA"/>
            </w:tcBorders>
            <w:shd w:fill="F2F2F2" w:val="clear"/>
            <w:vAlign w:val="center"/>
          </w:tcPr>
          <w:p>
            <w:pPr>
              <w:pStyle w:val="Normal"/>
              <w:jc w:val="center"/>
              <w:rPr/>
            </w:pPr>
            <w:r>
              <w:rPr>
                <w:rFonts w:eastAsia="Arial" w:cs="Arial"/>
                <w:b w:val="false"/>
                <w:bCs w:val="false"/>
                <w:i w:val="false"/>
                <w:iCs w:val="false"/>
                <w:color w:val="000000"/>
                <w:sz w:val="20"/>
                <w:szCs w:val="20"/>
              </w:rPr>
              <w:t>77.4</w:t>
            </w:r>
          </w:p>
        </w:tc>
      </w:tr>
      <w:tr>
        <w:trPr/>
        <w:tc>
          <w:tcPr>
            <w:tcW w:w="2199" w:type="dxa"/>
            <w:tcBorders>
              <w:top w:val="single" w:sz="2" w:space="0" w:color="AAAAAA"/>
              <w:start w:val="single" w:sz="2" w:space="0" w:color="AAAAAA"/>
              <w:bottom w:val="single" w:sz="2" w:space="0" w:color="AAAAAA"/>
              <w:end w:val="single" w:sz="2" w:space="0" w:color="AAAAAA"/>
            </w:tcBorders>
            <w:vAlign w:val="center"/>
          </w:tcPr>
          <w:p>
            <w:pPr>
              <w:pStyle w:val="Normal"/>
              <w:jc w:val="start"/>
              <w:rPr/>
            </w:pPr>
            <w:r>
              <w:rPr>
                <w:rFonts w:eastAsia="Arial" w:cs="Arial"/>
                <w:b w:val="false"/>
                <w:bCs w:val="false"/>
                <w:i w:val="false"/>
                <w:iCs w:val="false"/>
                <w:color w:val="000000"/>
                <w:sz w:val="20"/>
                <w:szCs w:val="20"/>
              </w:rPr>
              <w:t>InternVL3-2B-hf</w:t>
            </w:r>
          </w:p>
        </w:tc>
        <w:tc>
          <w:tcPr>
            <w:tcW w:w="95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23.0</w:t>
            </w:r>
          </w:p>
        </w:tc>
        <w:tc>
          <w:tcPr>
            <w:tcW w:w="949"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9.2</w:t>
            </w:r>
          </w:p>
        </w:tc>
        <w:tc>
          <w:tcPr>
            <w:tcW w:w="110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15.0</w:t>
            </w:r>
          </w:p>
        </w:tc>
        <w:tc>
          <w:tcPr>
            <w:tcW w:w="1150"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19.0</w:t>
            </w:r>
          </w:p>
        </w:tc>
        <w:tc>
          <w:tcPr>
            <w:tcW w:w="1176"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11.3</w:t>
            </w:r>
          </w:p>
        </w:tc>
        <w:tc>
          <w:tcPr>
            <w:tcW w:w="1501" w:type="dxa"/>
            <w:tcBorders>
              <w:top w:val="single" w:sz="2" w:space="0" w:color="AAAAAA"/>
              <w:start w:val="single" w:sz="2" w:space="0" w:color="AAAAAA"/>
              <w:bottom w:val="single" w:sz="2" w:space="0" w:color="AAAAAA"/>
              <w:end w:val="single" w:sz="2" w:space="0" w:color="AAAAAA"/>
            </w:tcBorders>
            <w:vAlign w:val="center"/>
          </w:tcPr>
          <w:p>
            <w:pPr>
              <w:pStyle w:val="Normal"/>
              <w:jc w:val="center"/>
              <w:rPr/>
            </w:pPr>
            <w:r>
              <w:rPr>
                <w:rFonts w:eastAsia="Arial" w:cs="Arial"/>
                <w:b w:val="false"/>
                <w:bCs w:val="false"/>
                <w:i w:val="false"/>
                <w:iCs w:val="false"/>
                <w:color w:val="000000"/>
                <w:sz w:val="20"/>
                <w:szCs w:val="20"/>
              </w:rPr>
              <w:t>77.5</w:t>
            </w:r>
          </w:p>
        </w:tc>
      </w:tr>
    </w:tbl>
    <w:p>
      <w:pPr>
        <w:pStyle w:val="Normal"/>
        <w:spacing w:before="0" w:after="80"/>
        <w:rPr/>
      </w:pPr>
      <w:r>
        <w:rPr/>
      </w:r>
    </w:p>
    <w:p>
      <w:pPr>
        <w:pStyle w:val="Normal"/>
        <w:spacing w:before="80" w:after="80"/>
        <w:jc w:val="start"/>
        <w:rPr/>
      </w:pPr>
      <w:r>
        <w:rPr>
          <w:rFonts w:eastAsia="Arial" w:cs="Arial"/>
          <w:b w:val="false"/>
          <w:bCs w:val="false"/>
          <w:i/>
          <w:iCs/>
          <w:color w:val="595959"/>
          <w:sz w:val="20"/>
          <w:szCs w:val="20"/>
        </w:rPr>
        <w:t>Note : Les scores ROUGE-L et matériels sont calculés à partir des mesures expérimentales sur Google Colab T4. Les scores français reflètent le nombre de langues d'entraînement et la présence confirmée de corpus français techniques dans les données d'entraînement.</w:t>
      </w:r>
    </w:p>
    <w:p>
      <w:pPr>
        <w:pStyle w:val="Heading2"/>
        <w:spacing w:before="280" w:after="140"/>
        <w:rPr/>
      </w:pPr>
      <w:bookmarkStart w:id="28" w:name="__RefHeading___Toc1184_3687304687"/>
      <w:bookmarkEnd w:id="28"/>
      <w:r>
        <w:rPr>
          <w:rFonts w:eastAsia="Arial" w:cs="Arial" w:ascii="Arial" w:hAnsi="Arial"/>
          <w:b/>
          <w:bCs/>
          <w:color w:val="2E75B6"/>
          <w:sz w:val="26"/>
          <w:szCs w:val="26"/>
        </w:rPr>
        <w:t>6.2 Modèle retenu : Qwen2.5-VL-3B-Instruct</w:t>
      </w:r>
    </w:p>
    <w:p>
      <w:pPr>
        <w:pStyle w:val="Normal"/>
        <w:spacing w:before="0" w:after="80"/>
        <w:rPr/>
      </w:pPr>
      <w:r>
        <w:rPr/>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AAAAAA"/>
              <w:start w:val="single" w:sz="2" w:space="0" w:color="AAAAAA"/>
              <w:bottom w:val="single" w:sz="2" w:space="0" w:color="AAAAAA"/>
              <w:end w:val="single" w:sz="2" w:space="0" w:color="AAAAAA"/>
            </w:tcBorders>
            <w:shd w:fill="E2EFDA" w:val="clear"/>
          </w:tcPr>
          <w:p>
            <w:pPr>
              <w:pStyle w:val="Normal"/>
              <w:rPr/>
            </w:pPr>
            <w:r>
              <w:rPr>
                <w:rFonts w:eastAsia="Arial" w:cs="Arial"/>
                <w:b/>
                <w:bCs/>
                <w:color w:val="375623"/>
                <w:sz w:val="22"/>
                <w:szCs w:val="22"/>
              </w:rPr>
              <w:t xml:space="preserve">★ </w:t>
            </w:r>
            <w:r>
              <w:rPr>
                <w:rFonts w:eastAsia="Arial" w:cs="Arial"/>
                <w:b/>
                <w:bCs/>
                <w:color w:val="375623"/>
                <w:sz w:val="22"/>
                <w:szCs w:val="22"/>
              </w:rPr>
              <w:t>Modèle retenu pour le fine-tuning Phase 1</w:t>
            </w:r>
          </w:p>
          <w:p>
            <w:pPr>
              <w:pStyle w:val="Normal"/>
              <w:rPr/>
            </w:pPr>
            <w:r>
              <w:rPr>
                <w:rFonts w:eastAsia="Arial" w:cs="Arial"/>
                <w:color w:val="000000"/>
                <w:sz w:val="22"/>
                <w:szCs w:val="22"/>
              </w:rPr>
              <w:t>Qwen2.5-VL-3B-Instruct — Alibaba / Qwen — Rang #11 Open VLM Leaderboard Score pondéré : 79.9/100  |  ROUGE-L moyen : 0.1452  |  VRAM : 2.43 GB  |  Licence : Apache 2.0</w:t>
            </w:r>
          </w:p>
        </w:tc>
      </w:tr>
    </w:tbl>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La sélection de Qwen2.5-VL-3B-Instruct repose sur les arguments suivants :</w:t>
      </w:r>
    </w:p>
    <w:p>
      <w:pPr>
        <w:pStyle w:val="ListParagraph"/>
        <w:numPr>
          <w:ilvl w:val="0"/>
          <w:numId w:val="1"/>
        </w:numPr>
        <w:spacing w:before="60" w:after="60"/>
        <w:rPr/>
      </w:pPr>
      <w:r>
        <w:rPr>
          <w:rFonts w:eastAsia="Arial" w:cs="Arial"/>
          <w:sz w:val="22"/>
          <w:szCs w:val="22"/>
        </w:rPr>
        <w:t>ROUGE-L le plus élevé (0.1452) — meilleure proximité lexicale avec les commentaires experts ITSEOA en inférence zero-shot. Ce score prédit une meilleure base d'apprentissage pour le fine-tuning.</w:t>
      </w:r>
    </w:p>
    <w:p>
      <w:pPr>
        <w:pStyle w:val="ListParagraph"/>
        <w:numPr>
          <w:ilvl w:val="0"/>
          <w:numId w:val="1"/>
        </w:numPr>
        <w:spacing w:before="60" w:after="60"/>
        <w:rPr/>
      </w:pPr>
      <w:r>
        <w:rPr>
          <w:rFonts w:eastAsia="Arial" w:cs="Arial"/>
          <w:sz w:val="22"/>
          <w:szCs w:val="22"/>
        </w:rPr>
        <w:t>29 langues d'entraînement incluant le français — la tokenisation française est native et le vocabulaire technique du génie civil est présent dans les données pré-entraînement.</w:t>
      </w:r>
    </w:p>
    <w:p>
      <w:pPr>
        <w:pStyle w:val="ListParagraph"/>
        <w:numPr>
          <w:ilvl w:val="0"/>
          <w:numId w:val="1"/>
        </w:numPr>
        <w:spacing w:before="60" w:after="60"/>
        <w:rPr/>
      </w:pPr>
      <w:r>
        <w:rPr>
          <w:rFonts w:eastAsia="Arial" w:cs="Arial"/>
          <w:sz w:val="22"/>
          <w:szCs w:val="22"/>
        </w:rPr>
        <w:t>Licence Apache 2.0 — autorisant l'utilisation commerciale et académique sans restriction, contrairement à la Gemma Terms of Use de Google.</w:t>
      </w:r>
    </w:p>
    <w:p>
      <w:pPr>
        <w:pStyle w:val="ListParagraph"/>
        <w:numPr>
          <w:ilvl w:val="0"/>
          <w:numId w:val="1"/>
        </w:numPr>
        <w:spacing w:before="60" w:after="60"/>
        <w:rPr/>
      </w:pPr>
      <w:r>
        <w:rPr>
          <w:rFonts w:eastAsia="Arial" w:cs="Arial"/>
          <w:sz w:val="22"/>
          <w:szCs w:val="22"/>
        </w:rPr>
        <w:t>Support LLaMA-Factory confirmé via le template qwen2_5_vl, testé et documenté par la communauté.</w:t>
      </w:r>
    </w:p>
    <w:p>
      <w:pPr>
        <w:pStyle w:val="ListParagraph"/>
        <w:numPr>
          <w:ilvl w:val="0"/>
          <w:numId w:val="1"/>
        </w:numPr>
        <w:spacing w:before="60" w:after="60"/>
        <w:rPr/>
      </w:pPr>
      <w:r>
        <w:rPr>
          <w:rFonts w:eastAsia="Arial" w:cs="Arial"/>
          <w:sz w:val="22"/>
          <w:szCs w:val="22"/>
        </w:rPr>
        <w:t>Efficacité matérielle : 2.43 GB VRAM en 4-bit, laissant 12.6 GB disponibles sur T4 pour les activations et les gradients pendant le fine-tuning.</w:t>
      </w:r>
    </w:p>
    <w:p>
      <w:pPr>
        <w:pStyle w:val="Heading2"/>
        <w:spacing w:before="280" w:after="140"/>
        <w:rPr/>
      </w:pPr>
      <w:bookmarkStart w:id="29" w:name="__RefHeading___Toc1186_3687304687"/>
      <w:bookmarkEnd w:id="29"/>
      <w:r>
        <w:rPr>
          <w:rFonts w:eastAsia="Arial" w:cs="Arial" w:ascii="Arial" w:hAnsi="Arial"/>
          <w:b/>
          <w:bCs/>
          <w:color w:val="2E75B6"/>
          <w:sz w:val="26"/>
          <w:szCs w:val="26"/>
        </w:rPr>
        <w:t>6.3 Modèles non retenus — analyse</w:t>
      </w:r>
    </w:p>
    <w:p>
      <w:pPr>
        <w:pStyle w:val="Heading3"/>
        <w:spacing w:before="200" w:after="100"/>
        <w:rPr/>
      </w:pPr>
      <w:bookmarkStart w:id="30" w:name="__RefHeading___Toc1188_3687304687"/>
      <w:bookmarkEnd w:id="30"/>
      <w:r>
        <w:rPr>
          <w:rFonts w:eastAsia="Arial" w:cs="Arial" w:ascii="Arial" w:hAnsi="Arial"/>
          <w:b/>
          <w:bCs/>
          <w:color w:val="595959"/>
          <w:sz w:val="24"/>
          <w:szCs w:val="24"/>
        </w:rPr>
        <w:t>Gemma3-4B-IT</w:t>
      </w:r>
    </w:p>
    <w:p>
      <w:pPr>
        <w:pStyle w:val="Normal"/>
        <w:spacing w:before="80" w:after="80"/>
        <w:jc w:val="start"/>
        <w:rPr/>
      </w:pPr>
      <w:r>
        <w:rPr>
          <w:rFonts w:eastAsia="Arial" w:cs="Arial"/>
          <w:b w:val="false"/>
          <w:bCs w:val="false"/>
          <w:i w:val="false"/>
          <w:iCs w:val="false"/>
          <w:color w:val="000000"/>
          <w:sz w:val="22"/>
          <w:szCs w:val="22"/>
        </w:rPr>
        <w:t>Gemma3 a produit les descriptions les plus détaillées et les plus précises en inférence zero-shot, notamment sur l'image de corrosion des armatures. Son score ROUGE-L (0.1323) est inférieur à Qwen malgré une meilleure qualité subjective — cela s'explique par un style de rédaction plus verbeux qui dilue les termes clés.</w:t>
      </w:r>
    </w:p>
    <w:p>
      <w:pPr>
        <w:pStyle w:val="Normal"/>
        <w:spacing w:before="80" w:after="80"/>
        <w:jc w:val="start"/>
        <w:rPr/>
      </w:pPr>
      <w:r>
        <w:rPr>
          <w:rFonts w:eastAsia="Arial" w:cs="Arial"/>
          <w:b w:val="false"/>
          <w:bCs w:val="false"/>
          <w:i w:val="false"/>
          <w:iCs w:val="false"/>
          <w:color w:val="000000"/>
          <w:sz w:val="22"/>
          <w:szCs w:val="22"/>
        </w:rPr>
        <w:t>Non retenu pour trois raisons : (1) consommation mémoire supérieure (3.24 GB vs 2.43 GB), laissant moins de marge pour le fine-tuning ; (2) vitesse d'inférence inférieure (3.9 vs 4.6 tokens/s), problématique pour le pipeline Phase 2 ; (3) licence Gemma Terms of Use plus restrictive qu'Apache 2.0.</w:t>
      </w:r>
    </w:p>
    <w:p>
      <w:pPr>
        <w:pStyle w:val="Heading3"/>
        <w:spacing w:before="200" w:after="100"/>
        <w:rPr/>
      </w:pPr>
      <w:bookmarkStart w:id="31" w:name="__RefHeading___Toc1190_3687304687"/>
      <w:bookmarkEnd w:id="31"/>
      <w:r>
        <w:rPr>
          <w:rFonts w:eastAsia="Arial" w:cs="Arial" w:ascii="Arial" w:hAnsi="Arial"/>
          <w:b/>
          <w:bCs/>
          <w:color w:val="595959"/>
          <w:sz w:val="24"/>
          <w:szCs w:val="24"/>
        </w:rPr>
        <w:t>InternVL3-2B-hf</w:t>
      </w:r>
    </w:p>
    <w:p>
      <w:pPr>
        <w:pStyle w:val="Normal"/>
        <w:spacing w:before="80" w:after="80"/>
        <w:jc w:val="start"/>
        <w:rPr/>
      </w:pPr>
      <w:r>
        <w:rPr>
          <w:rFonts w:eastAsia="Arial" w:cs="Arial"/>
          <w:b w:val="false"/>
          <w:bCs w:val="false"/>
          <w:i w:val="false"/>
          <w:iCs w:val="false"/>
          <w:color w:val="000000"/>
          <w:sz w:val="22"/>
          <w:szCs w:val="22"/>
        </w:rPr>
        <w:t>InternVL3-2B-hf est une alternative très compétitive — ROUGE-L de 0.1375 (proche de Qwen), VRAM de 1.81 GB (le plus faible), et vitesse la plus élevée (5.5 tokens/s). Il surpasse Qwen sur l'image 116 (ROUGE-L 0.1626 vs 0.1542). En cas de problèmes avec Qwen lors du fine-tuning, InternVL3-2B-hf est le premier candidat de substitution.</w:t>
      </w:r>
    </w:p>
    <w:p>
      <w:pPr>
        <w:pStyle w:val="Heading3"/>
        <w:spacing w:before="200" w:after="100"/>
        <w:rPr/>
      </w:pPr>
      <w:bookmarkStart w:id="32" w:name="__RefHeading___Toc1192_3687304687"/>
      <w:bookmarkEnd w:id="32"/>
      <w:r>
        <w:rPr>
          <w:rFonts w:eastAsia="Arial" w:cs="Arial" w:ascii="Arial" w:hAnsi="Arial"/>
          <w:b/>
          <w:bCs/>
          <w:color w:val="595959"/>
          <w:sz w:val="24"/>
          <w:szCs w:val="24"/>
        </w:rPr>
        <w:t>SmolVLM2-2.2B</w:t>
      </w:r>
    </w:p>
    <w:p>
      <w:pPr>
        <w:pStyle w:val="Normal"/>
        <w:spacing w:before="80" w:after="80"/>
        <w:jc w:val="start"/>
        <w:rPr/>
      </w:pPr>
      <w:r>
        <w:rPr>
          <w:rFonts w:eastAsia="Arial" w:cs="Arial"/>
          <w:b w:val="false"/>
          <w:bCs w:val="false"/>
          <w:i w:val="false"/>
          <w:iCs w:val="false"/>
          <w:color w:val="000000"/>
          <w:sz w:val="22"/>
          <w:szCs w:val="22"/>
        </w:rPr>
        <w:t>SmolVLM2-2.2B est formellement éliminé. Ses sorties sont des boucles de répétition incohérentes (« maladie du poumon », « maladie de l'estomac » pour une image de pont) sans aucun rapport avec le domaine d'inspection. Son ROUGE-L moyen (0.0742) est deux fois inférieur au candidat suivant. Malgré son faible encombrement mémoire, ce modèle est inadapté à notre cas d'usage.</w:t>
      </w:r>
    </w:p>
    <w:p>
      <w:pPr>
        <w:pStyle w:val="Normal"/>
        <w:rPr/>
      </w:pPr>
      <w:r>
        <w:rPr/>
      </w:r>
      <w:r>
        <w:br w:type="page"/>
      </w:r>
    </w:p>
    <w:p>
      <w:pPr>
        <w:pStyle w:val="Heading1"/>
        <w:pBdr>
          <w:bottom w:val="single" w:sz="6" w:space="1" w:color="2E75B6"/>
        </w:pBdr>
        <w:spacing w:before="0" w:after="200"/>
        <w:rPr/>
      </w:pPr>
      <w:bookmarkStart w:id="33" w:name="__RefHeading___Toc1194_3687304687"/>
      <w:bookmarkEnd w:id="33"/>
      <w:r>
        <w:rPr>
          <w:rFonts w:eastAsia="Arial" w:cs="Arial" w:ascii="Arial" w:hAnsi="Arial"/>
          <w:b/>
          <w:bCs/>
          <w:color w:val="1F4E79"/>
          <w:sz w:val="32"/>
          <w:szCs w:val="32"/>
        </w:rPr>
        <w:t>7. Conclusion et Prochaines Étapes</w:t>
      </w:r>
    </w:p>
    <w:p>
      <w:pPr>
        <w:pStyle w:val="Heading2"/>
        <w:spacing w:before="280" w:after="140"/>
        <w:rPr/>
      </w:pPr>
      <w:bookmarkStart w:id="34" w:name="__RefHeading___Toc1196_3687304687"/>
      <w:bookmarkEnd w:id="34"/>
      <w:r>
        <w:rPr>
          <w:rFonts w:eastAsia="Arial" w:cs="Arial" w:ascii="Arial" w:hAnsi="Arial"/>
          <w:b/>
          <w:bCs/>
          <w:color w:val="2E75B6"/>
          <w:sz w:val="26"/>
          <w:szCs w:val="26"/>
        </w:rPr>
        <w:t>7.1 Synthèse de la Phase 0</w:t>
      </w:r>
    </w:p>
    <w:p>
      <w:pPr>
        <w:pStyle w:val="Normal"/>
        <w:spacing w:before="80" w:after="80"/>
        <w:jc w:val="start"/>
        <w:rPr/>
      </w:pPr>
      <w:r>
        <w:rPr>
          <w:rFonts w:eastAsia="Arial" w:cs="Arial"/>
          <w:b w:val="false"/>
          <w:bCs w:val="false"/>
          <w:i w:val="false"/>
          <w:iCs w:val="false"/>
          <w:color w:val="000000"/>
          <w:sz w:val="22"/>
          <w:szCs w:val="22"/>
        </w:rPr>
        <w:t>La Phase 0 a atteint ses deux objectifs : (1) construire un dataset d'entraînement de 214 paires image-commentaire à partir des fascicules ITSEOA, et (2) sélectionner le modèle VLM le plus adapté au fine-tuning sur données d'inspection en français.</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La démarche de sélection est rigoureuse et reproductible : présélection depuis le Open VLM Leaderboard (top 15, ≤4B paramètres), filtrage par faisabilité technique, évaluation expérimentale sur 3 images réelles du domaine, scoring pondéré sur 5 critères objectifs. Le modèle Qwen2.5-VL-3B-Instruct est retenu avec un score de 79.9/100.</w:t>
      </w:r>
    </w:p>
    <w:p>
      <w:pPr>
        <w:pStyle w:val="Heading2"/>
        <w:spacing w:before="280" w:after="140"/>
        <w:rPr/>
      </w:pPr>
      <w:bookmarkStart w:id="35" w:name="__RefHeading___Toc1198_3687304687"/>
      <w:bookmarkEnd w:id="35"/>
      <w:r>
        <w:rPr>
          <w:rFonts w:eastAsia="Arial" w:cs="Arial" w:ascii="Arial" w:hAnsi="Arial"/>
          <w:b/>
          <w:bCs/>
          <w:color w:val="2E75B6"/>
          <w:sz w:val="26"/>
          <w:szCs w:val="26"/>
        </w:rPr>
        <w:t>7.2 Feuille de route Phase 1</w:t>
      </w:r>
    </w:p>
    <w:p>
      <w:pPr>
        <w:pStyle w:val="Normal"/>
        <w:spacing w:before="80" w:after="80"/>
        <w:jc w:val="start"/>
        <w:rPr/>
      </w:pPr>
      <w:r>
        <w:rPr>
          <w:rFonts w:eastAsia="Arial" w:cs="Arial"/>
          <w:b w:val="false"/>
          <w:bCs w:val="false"/>
          <w:i w:val="false"/>
          <w:iCs w:val="false"/>
          <w:color w:val="000000"/>
          <w:sz w:val="22"/>
          <w:szCs w:val="22"/>
        </w:rPr>
        <w:t>La Phase 1 consiste à fine-tuner Qwen2.5-VL-3B-Instruct sur le dataset ITSEOA en utilisant LLaMA-Factory avec la méthode QLoRA. Les paramètres retenus sont :</w:t>
      </w:r>
    </w:p>
    <w:p>
      <w:pPr>
        <w:pStyle w:val="ListParagraph"/>
        <w:numPr>
          <w:ilvl w:val="0"/>
          <w:numId w:val="1"/>
        </w:numPr>
        <w:spacing w:before="60" w:after="60"/>
        <w:rPr/>
      </w:pPr>
      <w:r>
        <w:rPr>
          <w:rFonts w:eastAsia="Arial" w:cs="Arial"/>
          <w:sz w:val="22"/>
          <w:szCs w:val="22"/>
        </w:rPr>
        <w:t>LoRA rank : 16, alpha : 32, dropout : 0.05</w:t>
      </w:r>
    </w:p>
    <w:p>
      <w:pPr>
        <w:pStyle w:val="ListParagraph"/>
        <w:numPr>
          <w:ilvl w:val="0"/>
          <w:numId w:val="1"/>
        </w:numPr>
        <w:spacing w:before="60" w:after="60"/>
        <w:rPr/>
      </w:pPr>
      <w:r>
        <w:rPr>
          <w:rFonts w:eastAsia="Arial" w:cs="Arial"/>
          <w:sz w:val="22"/>
          <w:szCs w:val="22"/>
        </w:rPr>
        <w:t>Quantification : 4-bit NF4 (BitsAndBytesConfig)</w:t>
      </w:r>
    </w:p>
    <w:p>
      <w:pPr>
        <w:pStyle w:val="ListParagraph"/>
        <w:numPr>
          <w:ilvl w:val="0"/>
          <w:numId w:val="1"/>
        </w:numPr>
        <w:spacing w:before="60" w:after="60"/>
        <w:rPr/>
      </w:pPr>
      <w:r>
        <w:rPr>
          <w:rFonts w:eastAsia="Arial" w:cs="Arial"/>
          <w:sz w:val="22"/>
          <w:szCs w:val="22"/>
        </w:rPr>
        <w:t>Epochs : 3, batch effectif : 16 (2 × 8 gradient accumulation steps)</w:t>
      </w:r>
    </w:p>
    <w:p>
      <w:pPr>
        <w:pStyle w:val="ListParagraph"/>
        <w:numPr>
          <w:ilvl w:val="0"/>
          <w:numId w:val="1"/>
        </w:numPr>
        <w:spacing w:before="60" w:after="60"/>
        <w:rPr/>
      </w:pPr>
      <w:r>
        <w:rPr>
          <w:rFonts w:eastAsia="Arial" w:cs="Arial"/>
          <w:sz w:val="22"/>
          <w:szCs w:val="22"/>
        </w:rPr>
        <w:t>Learning rate : 2×10⁻⁴ avec scheduler cosinus et warmup 3%</w:t>
      </w:r>
    </w:p>
    <w:p>
      <w:pPr>
        <w:pStyle w:val="ListParagraph"/>
        <w:numPr>
          <w:ilvl w:val="0"/>
          <w:numId w:val="1"/>
        </w:numPr>
        <w:spacing w:before="60" w:after="60"/>
        <w:rPr/>
      </w:pPr>
      <w:r>
        <w:rPr>
          <w:rFonts w:eastAsia="Arial" w:cs="Arial"/>
          <w:sz w:val="22"/>
          <w:szCs w:val="22"/>
        </w:rPr>
        <w:t>Template LLaMA-Factory : qwen2_5_vl</w:t>
      </w:r>
    </w:p>
    <w:p>
      <w:pPr>
        <w:pStyle w:val="ListParagraph"/>
        <w:numPr>
          <w:ilvl w:val="0"/>
          <w:numId w:val="1"/>
        </w:numPr>
        <w:spacing w:before="60" w:after="60"/>
        <w:rPr/>
      </w:pPr>
      <w:r>
        <w:rPr>
          <w:rFonts w:eastAsia="Arial" w:cs="Arial"/>
          <w:sz w:val="22"/>
          <w:szCs w:val="22"/>
        </w:rPr>
        <w:t>Données : 193 paires d'entraînement, 21 paires de validation (split 90/10)</w:t>
      </w:r>
    </w:p>
    <w:p>
      <w:pPr>
        <w:pStyle w:val="Heading2"/>
        <w:spacing w:before="280" w:after="140"/>
        <w:rPr/>
      </w:pPr>
      <w:bookmarkStart w:id="36" w:name="__RefHeading___Toc1200_3687304687"/>
      <w:bookmarkEnd w:id="36"/>
      <w:r>
        <w:rPr>
          <w:rFonts w:eastAsia="Arial" w:cs="Arial" w:ascii="Arial" w:hAnsi="Arial"/>
          <w:b/>
          <w:bCs/>
          <w:color w:val="2E75B6"/>
          <w:sz w:val="26"/>
          <w:szCs w:val="26"/>
        </w:rPr>
        <w:t>7.3 Données supplémentaires prévues</w:t>
      </w:r>
    </w:p>
    <w:p>
      <w:pPr>
        <w:pStyle w:val="Normal"/>
        <w:spacing w:before="80" w:after="80"/>
        <w:jc w:val="start"/>
        <w:rPr/>
      </w:pPr>
      <w:r>
        <w:rPr>
          <w:rFonts w:eastAsia="Arial" w:cs="Arial"/>
          <w:b w:val="false"/>
          <w:bCs w:val="false"/>
          <w:i w:val="false"/>
          <w:iCs w:val="false"/>
          <w:color w:val="000000"/>
          <w:sz w:val="22"/>
          <w:szCs w:val="22"/>
        </w:rPr>
        <w:t>Le dataset de 214 paires sera enrichi dans les phases suivantes par :</w:t>
      </w:r>
    </w:p>
    <w:p>
      <w:pPr>
        <w:pStyle w:val="ListParagraph"/>
        <w:numPr>
          <w:ilvl w:val="0"/>
          <w:numId w:val="1"/>
        </w:numPr>
        <w:spacing w:before="60" w:after="60"/>
        <w:rPr/>
      </w:pPr>
      <w:r>
        <w:rPr>
          <w:rFonts w:eastAsia="Arial" w:cs="Arial"/>
          <w:sz w:val="22"/>
          <w:szCs w:val="22"/>
        </w:rPr>
        <w:t>Dataset GYU-DET : ~10 000 images annotées de désordres sur ponts-poutres (6 classes : crack, spallation, seepage, honeycomb, exposed_rebar, hole)</w:t>
      </w:r>
    </w:p>
    <w:p>
      <w:pPr>
        <w:pStyle w:val="ListParagraph"/>
        <w:numPr>
          <w:ilvl w:val="0"/>
          <w:numId w:val="1"/>
        </w:numPr>
        <w:spacing w:before="60" w:after="60"/>
        <w:rPr/>
      </w:pPr>
      <w:r>
        <w:rPr>
          <w:rFonts w:eastAsia="Arial" w:cs="Arial"/>
          <w:sz w:val="22"/>
          <w:szCs w:val="22"/>
        </w:rPr>
        <w:t>Rapports de terrain confidentiels : images et commentaires issus des inspections terrain de CID (accès en entreprise)</w:t>
      </w:r>
    </w:p>
    <w:p>
      <w:pPr>
        <w:pStyle w:val="Normal"/>
        <w:spacing w:before="0" w:after="80"/>
        <w:rPr/>
      </w:pPr>
      <w:r>
        <w:rPr/>
      </w:r>
    </w:p>
    <w:p>
      <w:pPr>
        <w:pStyle w:val="Normal"/>
        <w:spacing w:before="80" w:after="80"/>
        <w:jc w:val="start"/>
        <w:rPr/>
      </w:pPr>
      <w:r>
        <w:rPr>
          <w:rFonts w:eastAsia="Arial" w:cs="Arial"/>
          <w:b w:val="false"/>
          <w:bCs w:val="false"/>
          <w:i w:val="false"/>
          <w:iCs w:val="false"/>
          <w:color w:val="000000"/>
          <w:sz w:val="22"/>
          <w:szCs w:val="22"/>
        </w:rPr>
        <w:t>Ces données supplémentaires alimenteront une version étendue du fine-tuning pour améliorer les performances du modèle sur des conditions réelles d'inspection.</w:t>
      </w:r>
    </w:p>
    <w:p>
      <w:pPr>
        <w:pStyle w:val="Normal"/>
        <w:spacing w:before="0" w:after="320"/>
        <w:rPr/>
      </w:pPr>
      <w:r>
        <w:rPr/>
      </w:r>
    </w:p>
    <w:p>
      <w:pPr>
        <w:pStyle w:val="Heading1"/>
        <w:pBdr>
          <w:bottom w:val="single" w:sz="6" w:space="1" w:color="2E75B6"/>
        </w:pBdr>
        <w:spacing w:before="360" w:after="200"/>
        <w:rPr/>
      </w:pPr>
      <w:bookmarkStart w:id="37" w:name="__RefHeading___Toc1202_3687304687"/>
      <w:bookmarkEnd w:id="37"/>
      <w:r>
        <w:rPr>
          <w:rFonts w:eastAsia="Arial" w:cs="Arial" w:ascii="Arial" w:hAnsi="Arial"/>
          <w:b/>
          <w:bCs/>
          <w:color w:val="1F4E79"/>
          <w:sz w:val="32"/>
          <w:szCs w:val="32"/>
        </w:rPr>
        <w:t>Références</w:t>
      </w:r>
    </w:p>
    <w:p>
      <w:pPr>
        <w:pStyle w:val="ListParagraph"/>
        <w:numPr>
          <w:ilvl w:val="0"/>
          <w:numId w:val="1"/>
        </w:numPr>
        <w:spacing w:before="60" w:after="60"/>
        <w:rPr/>
      </w:pPr>
      <w:r>
        <w:rPr>
          <w:rFonts w:eastAsia="Arial" w:cs="Arial"/>
          <w:sz w:val="22"/>
          <w:szCs w:val="22"/>
        </w:rPr>
        <w:t>ITSEOA — Instruction Technique pour la Surveillance et l'Entretien des Ouvrages d'Art, Fascicule 21, SETRA/LCPC</w:t>
      </w:r>
    </w:p>
    <w:p>
      <w:pPr>
        <w:pStyle w:val="ListParagraph"/>
        <w:numPr>
          <w:ilvl w:val="0"/>
          <w:numId w:val="1"/>
        </w:numPr>
        <w:spacing w:before="60" w:after="60"/>
        <w:rPr/>
      </w:pPr>
      <w:r>
        <w:rPr>
          <w:rFonts w:eastAsia="Arial" w:cs="Arial"/>
          <w:sz w:val="22"/>
          <w:szCs w:val="22"/>
        </w:rPr>
        <w:t>IQOA — Image de la Qualité des Ouvrages d'Art, Ministère de l'Équipement</w:t>
      </w:r>
    </w:p>
    <w:p>
      <w:pPr>
        <w:pStyle w:val="ListParagraph"/>
        <w:numPr>
          <w:ilvl w:val="0"/>
          <w:numId w:val="1"/>
        </w:numPr>
        <w:spacing w:before="60" w:after="60"/>
        <w:rPr/>
      </w:pPr>
      <w:r>
        <w:rPr>
          <w:rFonts w:eastAsia="Arial" w:cs="Arial"/>
          <w:sz w:val="22"/>
          <w:szCs w:val="22"/>
        </w:rPr>
        <w:t>DT375 — Guide d'inspection des ouvrages d'art, CEREMA</w:t>
      </w:r>
    </w:p>
    <w:p>
      <w:pPr>
        <w:pStyle w:val="ListParagraph"/>
        <w:numPr>
          <w:ilvl w:val="0"/>
          <w:numId w:val="1"/>
        </w:numPr>
        <w:spacing w:before="60" w:after="60"/>
        <w:rPr/>
      </w:pPr>
      <w:r>
        <w:rPr>
          <w:rFonts w:eastAsia="Arial" w:cs="Arial"/>
          <w:sz w:val="22"/>
          <w:szCs w:val="22"/>
        </w:rPr>
        <w:t>Open VLM Leaderboard, OpenCompass, huggingface.co/spaces/opencompass/open_vlm_leaderboard, Mars 2026</w:t>
      </w:r>
    </w:p>
    <w:p>
      <w:pPr>
        <w:pStyle w:val="ListParagraph"/>
        <w:numPr>
          <w:ilvl w:val="0"/>
          <w:numId w:val="1"/>
        </w:numPr>
        <w:spacing w:before="60" w:after="60"/>
        <w:rPr/>
      </w:pPr>
      <w:r>
        <w:rPr>
          <w:rFonts w:eastAsia="Arial" w:cs="Arial"/>
          <w:sz w:val="22"/>
          <w:szCs w:val="22"/>
        </w:rPr>
        <w:t>Qwen2.5-VL Technical Report, Alibaba/Qwen Team, 2025</w:t>
      </w:r>
    </w:p>
    <w:p>
      <w:pPr>
        <w:pStyle w:val="ListParagraph"/>
        <w:numPr>
          <w:ilvl w:val="0"/>
          <w:numId w:val="1"/>
        </w:numPr>
        <w:spacing w:before="60" w:after="60"/>
        <w:rPr/>
      </w:pPr>
      <w:r>
        <w:rPr>
          <w:rFonts w:eastAsia="Arial" w:cs="Arial"/>
          <w:sz w:val="22"/>
          <w:szCs w:val="22"/>
        </w:rPr>
        <w:t>InternVL3 Technical Report, OpenGVLab, Shanghai AI Lab, 2025</w:t>
      </w:r>
    </w:p>
    <w:p>
      <w:pPr>
        <w:pStyle w:val="ListParagraph"/>
        <w:numPr>
          <w:ilvl w:val="0"/>
          <w:numId w:val="1"/>
        </w:numPr>
        <w:spacing w:before="60" w:after="60"/>
        <w:rPr/>
      </w:pPr>
      <w:r>
        <w:rPr>
          <w:rFonts w:eastAsia="Arial" w:cs="Arial"/>
          <w:sz w:val="22"/>
          <w:szCs w:val="22"/>
        </w:rPr>
        <w:t>Gemma 3 Technical Report, Google DeepMind, 2025</w:t>
      </w:r>
    </w:p>
    <w:p>
      <w:pPr>
        <w:pStyle w:val="ListParagraph"/>
        <w:numPr>
          <w:ilvl w:val="0"/>
          <w:numId w:val="1"/>
        </w:numPr>
        <w:spacing w:before="60" w:after="60"/>
        <w:rPr/>
      </w:pPr>
      <w:r>
        <w:rPr>
          <w:rFonts w:eastAsia="Arial" w:cs="Arial"/>
          <w:sz w:val="22"/>
          <w:szCs w:val="22"/>
        </w:rPr>
        <w:t>LLaMA-Factory: Unified Efficient Fine-Tuning of 100+ Language Models, Hiyouga et al., 2024</w:t>
      </w:r>
    </w:p>
    <w:p>
      <w:pPr>
        <w:pStyle w:val="ListParagraph"/>
        <w:numPr>
          <w:ilvl w:val="0"/>
          <w:numId w:val="1"/>
        </w:numPr>
        <w:spacing w:before="60" w:after="60"/>
        <w:rPr/>
      </w:pPr>
      <w:r>
        <w:rPr>
          <w:rFonts w:eastAsia="Arial" w:cs="Arial"/>
          <w:sz w:val="22"/>
          <w:szCs w:val="22"/>
        </w:rPr>
        <w:t>QLoRA: Efficient Finetuning of Quantized LLMs, Dettmers et al., NeurIPS 2023</w:t>
      </w:r>
    </w:p>
    <w:p>
      <w:pPr>
        <w:pStyle w:val="ListParagraph"/>
        <w:numPr>
          <w:ilvl w:val="0"/>
          <w:numId w:val="1"/>
        </w:numPr>
        <w:spacing w:before="60" w:after="60"/>
        <w:rPr/>
      </w:pPr>
      <w:r>
        <w:rPr>
          <w:rFonts w:eastAsia="Arial" w:cs="Arial"/>
          <w:sz w:val="22"/>
          <w:szCs w:val="22"/>
        </w:rPr>
        <w:t>Hu et al. — LoRA: Low-Rank Adaptation of Large Language Models, ICLR 2022</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120" w:after="0"/>
      <w:jc w:val="center"/>
      <w:rPr/>
    </w:pPr>
    <w:r>
      <w:rPr>
        <w:rFonts w:eastAsia="Arial" w:cs="Arial"/>
        <w:color w:val="595959"/>
        <w:sz w:val="18"/>
        <w:szCs w:val="18"/>
      </w:rPr>
      <w:t xml:space="preserve">Youssef Elhardouzi  —  ISMAGI  —  PFE 2026  |  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120" w:after="0"/>
      <w:jc w:val="center"/>
      <w:rPr/>
    </w:pPr>
    <w:r>
      <w:rPr>
        <w:rFonts w:eastAsia="Arial" w:cs="Arial"/>
        <w:color w:val="595959"/>
        <w:sz w:val="18"/>
        <w:szCs w:val="18"/>
      </w:rPr>
      <w:t xml:space="preserve">Youssef Elhardouzi  —  ISMAGI  —  PFE 2026  |  Page </w:t>
    </w:r>
    <w:r>
      <w:rPr/>
      <w:fldChar w:fldCharType="begin"/>
    </w:r>
    <w:r>
      <w:rPr/>
      <w:instrText xml:space="preserve"> PAGE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120"/>
      <w:rPr/>
    </w:pPr>
    <w:r>
      <w:rPr>
        <w:rFonts w:eastAsia="Arial" w:cs="Arial"/>
        <w:color w:val="595959"/>
        <w:sz w:val="18"/>
        <w:szCs w:val="18"/>
      </w:rPr>
      <w:t xml:space="preserve">Rapport Phase 0 — Sélection du Modèle VLM  |  </w:t>
    </w:r>
    <w:r>
      <w:rPr>
        <w:rFonts w:eastAsia="Arial" w:cs="Arial"/>
        <w:b/>
        <w:bCs/>
        <w:color w:val="2E75B6"/>
        <w:sz w:val="18"/>
        <w:szCs w:val="18"/>
      </w:rPr>
      <w:t>CID — Conseil Ingénierie et Développement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120"/>
      <w:rPr/>
    </w:pPr>
    <w:r>
      <w:rPr>
        <w:rFonts w:eastAsia="Arial" w:cs="Arial"/>
        <w:color w:val="595959"/>
        <w:sz w:val="18"/>
        <w:szCs w:val="18"/>
      </w:rPr>
      <w:t xml:space="preserve">Rapport Phase 0 — Sélection du Modèle VLM  |  </w:t>
    </w:r>
    <w:r>
      <w:rPr>
        <w:rFonts w:eastAsia="Arial" w:cs="Arial"/>
        <w:b/>
        <w:bCs/>
        <w:color w:val="2E75B6"/>
        <w:sz w:val="18"/>
        <w:szCs w:val="18"/>
      </w:rPr>
      <w:t>CID — Conseil Ingénierie et Développement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2"/>
      <w:szCs w:val="32"/>
    </w:rPr>
  </w:style>
  <w:style w:type="paragraph" w:styleId="Heading2">
    <w:name w:val="heading 2"/>
    <w:basedOn w:val="Heading"/>
    <w:qFormat/>
    <w:pPr>
      <w:spacing w:before="280" w:after="140"/>
      <w:outlineLvl w:val="1"/>
    </w:pPr>
    <w:rPr>
      <w:rFonts w:ascii="Arial" w:hAnsi="Arial" w:eastAsia="Arial" w:cs="Arial"/>
      <w:b/>
      <w:bCs/>
      <w:color w:val="2E75B6"/>
      <w:sz w:val="26"/>
      <w:szCs w:val="26"/>
    </w:rPr>
  </w:style>
  <w:style w:type="paragraph" w:styleId="Heading3">
    <w:name w:val="heading 3"/>
    <w:basedOn w:val="Heading"/>
    <w:qFormat/>
    <w:pPr>
      <w:spacing w:before="200" w:after="10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LibreOffice/25.8.5.2$Linux_X86_64 LibreOffice_project/580$Build-2</Application>
  <AppVersion>15.0000</AppVersion>
  <Pages>14</Pages>
  <Words>2867</Words>
  <Characters>16642</Characters>
  <CharactersWithSpaces>19086</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2026-03-16T00:27:37Z</dcterms:created>
  <dc:creator>Un-named</dc:creator>
  <dc:description/>
  <dc:language>en-US</dc:language>
  <cp:lastModifiedBy/>
  <dcterms:modified xsi:type="dcterms:W3CDTF">2026-03-16T01:05:15Z</dcterms:modified>
  <cp:revision>2</cp:revision>
  <dc:subject/>
  <dc:title/>
</cp:coreProperties>
</file>