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The given bar chart and line graph describe the data about the different movies which were shown in UK and Australia in 2001 and number of viewers in these countries between 1976 and 2006, respectively.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According to the bar chart, it is clearly seen that there were much more shares in Britain. Likewise, the line graph also proves that UK had several tens of millions more cinema admission than Australia.</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shares was bigger in Australian related to other films, except Australian, UK and US films. Furthermore, US films were very popular in both countries with 66% and 76%, separately.</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Even if the movie attendance in England was higher than the second country, it declined significantly in 1983-1984. However, the final index showed good results and was about 150 millions viewers. Admission in Australian cinemas was increased steadily and the results in 2006 was twice bigger than the index in 1976.</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