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Override PartName="/word/footer14.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numbering.xml" ContentType="application/vnd.openxmlformats-officedocument.wordprocessingml.numbering+xml"/>
  <Override PartName="/word/header1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10.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media/image32.wmf" ContentType="image/x-wmf"/>
  <Override PartName="/word/media/image31.wmf" ContentType="image/x-wmf"/>
  <Override PartName="/word/media/image30.wmf" ContentType="image/x-wmf"/>
  <Override PartName="/word/media/image29.wmf" ContentType="image/x-wmf"/>
  <Override PartName="/word/media/image28.wmf" ContentType="image/x-wmf"/>
  <Override PartName="/word/media/image27.png" ContentType="image/png"/>
  <Override PartName="/word/media/image26.png" ContentType="image/png"/>
  <Override PartName="/word/media/image25.wmf" ContentType="image/x-wmf"/>
  <Override PartName="/word/media/image23.png" ContentType="image/png"/>
  <Override PartName="/word/media/image24.wmf" ContentType="image/x-wmf"/>
  <Override PartName="/word/media/image9.wmf" ContentType="image/x-wmf"/>
  <Override PartName="/word/media/image10.wmf" ContentType="image/x-wmf"/>
  <Override PartName="/word/media/image8.wmf" ContentType="image/x-wmf"/>
  <Override PartName="/word/media/image7.wmf" ContentType="image/x-wmf"/>
  <Override PartName="/word/media/image6.wmf" ContentType="image/x-wmf"/>
  <Override PartName="/word/media/image5.wmf" ContentType="image/x-wmf"/>
  <Override PartName="/word/media/image1.png" ContentType="image/png"/>
  <Override PartName="/word/media/image21.png" ContentType="image/png"/>
  <Override PartName="/word/media/image2.wmf" ContentType="image/x-wmf"/>
  <Override PartName="/word/media/image22.png" ContentType="image/png"/>
  <Override PartName="/word/media/image3.wmf" ContentType="image/x-wmf"/>
  <Override PartName="/word/media/image4.wmf" ContentType="image/x-wmf"/>
  <Override PartName="/word/media/image11.wmf" ContentType="image/x-wmf"/>
  <Override PartName="/word/media/image12.wmf" ContentType="image/x-wmf"/>
  <Override PartName="/word/media/image13.wmf" ContentType="image/x-wmf"/>
  <Override PartName="/word/media/image14.wmf" ContentType="image/x-wmf"/>
  <Override PartName="/word/media/image15.wmf" ContentType="image/x-wmf"/>
  <Override PartName="/word/media/image16.png" ContentType="image/png"/>
  <Override PartName="/word/media/image17.png" ContentType="image/png"/>
  <Override PartName="/word/media/image18.wmf" ContentType="image/x-wmf"/>
  <Override PartName="/word/media/image19.wmf" ContentType="image/x-wmf"/>
  <Override PartName="/word/media/image20.png" ContentType="image/png"/>
  <Override PartName="/word/_rels/header8.xml.rels" ContentType="application/vnd.openxmlformats-package.relationships+xml"/>
  <Override PartName="/word/_rels/header7.xml.rels" ContentType="application/vnd.openxmlformats-package.relationships+xml"/>
  <Override PartName="/word/_rels/header6.xml.rels" ContentType="application/vnd.openxmlformats-package.relationships+xml"/>
  <Override PartName="/word/_rels/document.xml.rels" ContentType="application/vnd.openxmlformats-package.relationships+xml"/>
  <Override PartName="/word/_rels/header5.xml.rels" ContentType="application/vnd.openxmlformats-package.relationships+xml"/>
  <Override PartName="/word/_rels/header4.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header3.xml.rels" ContentType="application/vnd.openxmlformats-package.relationships+xml"/>
  <Override PartName="/word/header1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212" w:type="dxa"/>
        <w:jc w:val="left"/>
        <w:tblInd w:w="0" w:type="dxa"/>
        <w:tblBorders/>
        <w:tblCellMar>
          <w:top w:w="0" w:type="dxa"/>
          <w:left w:w="108" w:type="dxa"/>
          <w:bottom w:w="0" w:type="dxa"/>
          <w:right w:w="108" w:type="dxa"/>
        </w:tblCellMar>
      </w:tblPr>
      <w:tblGrid>
        <w:gridCol w:w="2660"/>
        <w:gridCol w:w="6552"/>
      </w:tblGrid>
      <w:tr>
        <w:trPr>
          <w:trHeight w:val="1559" w:hRule="atLeast"/>
        </w:trPr>
        <w:tc>
          <w:tcPr>
            <w:tcW w:w="9212" w:type="dxa"/>
            <w:gridSpan w:val="2"/>
            <w:tcBorders/>
            <w:shd w:fill="auto" w:val="clear"/>
            <w:vAlign w:val="center"/>
          </w:tcPr>
          <w:p>
            <w:pPr>
              <w:pStyle w:val="Normal"/>
              <w:keepLines/>
              <w:widowControl w:val="false"/>
              <w:jc w:val="center"/>
              <w:rPr>
                <w:szCs w:val="20"/>
              </w:rPr>
            </w:pPr>
            <w:r>
              <w:rPr>
                <w:rFonts w:cs="Verdana" w:ascii="Verdana" w:hAnsi="Verdana"/>
                <w:b/>
                <w:bCs/>
                <w:sz w:val="32"/>
                <w:szCs w:val="32"/>
              </w:rPr>
              <w:drawing>
                <wp:inline distT="0" distB="0" distL="0" distR="0">
                  <wp:extent cx="1661160" cy="4171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661160" cy="417195"/>
                          </a:xfrm>
                          <a:prstGeom prst="rect">
                            <a:avLst/>
                          </a:prstGeom>
                        </pic:spPr>
                      </pic:pic>
                    </a:graphicData>
                  </a:graphic>
                </wp:inline>
              </w:drawing>
            </w:r>
          </w:p>
        </w:tc>
      </w:tr>
      <w:tr>
        <w:trPr>
          <w:trHeight w:val="701" w:hRule="atLeast"/>
        </w:trPr>
        <w:tc>
          <w:tcPr>
            <w:tcW w:w="9212" w:type="dxa"/>
            <w:gridSpan w:val="2"/>
            <w:tcBorders/>
            <w:shd w:fill="auto" w:val="clear"/>
            <w:vAlign w:val="center"/>
          </w:tcPr>
          <w:p>
            <w:pPr>
              <w:pStyle w:val="Normal"/>
              <w:snapToGrid w:val="false"/>
              <w:jc w:val="center"/>
              <w:rPr>
                <w:rFonts w:ascii="Verdana" w:hAnsi="Verdana" w:cs="Verdana"/>
                <w:bCs/>
                <w:iCs/>
                <w:color w:val="333333"/>
                <w:sz w:val="20"/>
                <w:szCs w:val="20"/>
              </w:rPr>
            </w:pPr>
            <w:r>
              <w:rPr>
                <w:rFonts w:cs="Verdana" w:ascii="Verdana" w:hAnsi="Verdana"/>
                <w:bCs/>
                <w:iCs/>
                <w:color w:val="333333"/>
                <w:sz w:val="20"/>
                <w:szCs w:val="20"/>
              </w:rPr>
            </w:r>
          </w:p>
        </w:tc>
      </w:tr>
      <w:tr>
        <w:trPr>
          <w:trHeight w:val="1841" w:hRule="atLeast"/>
        </w:trPr>
        <w:tc>
          <w:tcPr>
            <w:tcW w:w="9212" w:type="dxa"/>
            <w:gridSpan w:val="2"/>
            <w:tcBorders/>
            <w:shd w:fill="auto" w:val="clear"/>
            <w:vAlign w:val="center"/>
          </w:tcPr>
          <w:p>
            <w:pPr>
              <w:pStyle w:val="Normal"/>
              <w:jc w:val="center"/>
              <w:rPr>
                <w:rFonts w:ascii="Verdana" w:hAnsi="Verdana" w:cs="Verdana"/>
                <w:b/>
                <w:b/>
                <w:color w:val="005DAB"/>
                <w:spacing w:val="20"/>
                <w:sz w:val="44"/>
                <w:szCs w:val="44"/>
              </w:rPr>
            </w:pPr>
            <w:r>
              <w:rPr>
                <w:rFonts w:cs="Verdana" w:ascii="Verdana" w:hAnsi="Verdana"/>
                <w:b/>
                <w:color w:val="005DAB"/>
                <w:spacing w:val="20"/>
                <w:sz w:val="44"/>
                <w:szCs w:val="44"/>
              </w:rPr>
              <w:t>STUDIE</w:t>
            </w:r>
          </w:p>
        </w:tc>
      </w:tr>
      <w:tr>
        <w:trPr>
          <w:trHeight w:val="298" w:hRule="atLeast"/>
        </w:trPr>
        <w:tc>
          <w:tcPr>
            <w:tcW w:w="9212" w:type="dxa"/>
            <w:gridSpan w:val="2"/>
            <w:tcBorders/>
            <w:shd w:fill="auto" w:val="clear"/>
            <w:vAlign w:val="center"/>
          </w:tcPr>
          <w:p>
            <w:pPr>
              <w:pStyle w:val="Normal"/>
              <w:jc w:val="center"/>
              <w:rPr>
                <w:rFonts w:ascii="Verdana" w:hAnsi="Verdana" w:cs="Verdana"/>
                <w:b/>
                <w:b/>
                <w:color w:val="005DAB"/>
                <w:spacing w:val="20"/>
                <w:sz w:val="44"/>
                <w:szCs w:val="44"/>
              </w:rPr>
            </w:pPr>
            <w:r>
              <w:rPr>
                <w:rFonts w:cs="Verdana" w:ascii="Verdana" w:hAnsi="Verdana"/>
                <w:b/>
                <w:color w:val="005DAB"/>
                <w:spacing w:val="20"/>
                <w:sz w:val="44"/>
                <w:szCs w:val="44"/>
              </w:rPr>
              <w:t>Ekonomická analýza</w:t>
            </w:r>
          </w:p>
          <w:p>
            <w:pPr>
              <w:pStyle w:val="Normal"/>
              <w:jc w:val="center"/>
              <w:rPr>
                <w:rFonts w:ascii="Verdana" w:hAnsi="Verdana" w:cs="Verdana"/>
                <w:b/>
                <w:b/>
                <w:color w:val="005DAB"/>
                <w:spacing w:val="20"/>
                <w:sz w:val="44"/>
                <w:szCs w:val="44"/>
              </w:rPr>
            </w:pPr>
            <w:r>
              <w:rPr>
                <w:rFonts w:cs="Verdana" w:ascii="Verdana" w:hAnsi="Verdana"/>
                <w:b/>
                <w:color w:val="005DAB"/>
                <w:spacing w:val="20"/>
                <w:sz w:val="44"/>
                <w:szCs w:val="44"/>
              </w:rPr>
              <w:t>transformace</w:t>
            </w:r>
          </w:p>
          <w:p>
            <w:pPr>
              <w:pStyle w:val="Normal"/>
              <w:jc w:val="center"/>
              <w:rPr>
                <w:rFonts w:ascii="Verdana" w:hAnsi="Verdana" w:cs="Verdana"/>
                <w:b/>
                <w:b/>
                <w:color w:val="005DAB"/>
                <w:spacing w:val="20"/>
                <w:sz w:val="44"/>
                <w:szCs w:val="44"/>
              </w:rPr>
            </w:pPr>
            <w:r>
              <w:rPr>
                <w:rFonts w:cs="Verdana" w:ascii="Verdana" w:hAnsi="Verdana"/>
                <w:b/>
                <w:color w:val="005DAB"/>
                <w:spacing w:val="20"/>
                <w:sz w:val="44"/>
                <w:szCs w:val="44"/>
              </w:rPr>
              <w:t>příspěvkové organizace</w:t>
            </w:r>
          </w:p>
          <w:p>
            <w:pPr>
              <w:pStyle w:val="Normal"/>
              <w:jc w:val="center"/>
              <w:rPr>
                <w:rFonts w:ascii="Verdana" w:hAnsi="Verdana" w:cs="Verdana"/>
                <w:b/>
                <w:b/>
                <w:color w:val="005DAB"/>
                <w:spacing w:val="20"/>
                <w:sz w:val="44"/>
                <w:szCs w:val="44"/>
              </w:rPr>
            </w:pPr>
            <w:r>
              <w:rPr>
                <w:rFonts w:cs="Verdana" w:ascii="Verdana" w:hAnsi="Verdana"/>
                <w:b/>
                <w:color w:val="005DAB"/>
                <w:spacing w:val="20"/>
                <w:sz w:val="44"/>
                <w:szCs w:val="44"/>
              </w:rPr>
              <w:t>Technická správa komunikací</w:t>
            </w:r>
          </w:p>
          <w:p>
            <w:pPr>
              <w:pStyle w:val="Normal"/>
              <w:jc w:val="center"/>
              <w:rPr>
                <w:rFonts w:ascii="Verdana" w:hAnsi="Verdana" w:cs="Verdana"/>
                <w:b/>
                <w:b/>
                <w:color w:val="005DAB"/>
                <w:spacing w:val="20"/>
                <w:sz w:val="44"/>
                <w:szCs w:val="44"/>
              </w:rPr>
            </w:pPr>
            <w:r>
              <w:rPr>
                <w:rFonts w:cs="Verdana" w:ascii="Verdana" w:hAnsi="Verdana"/>
                <w:b/>
                <w:color w:val="005DAB"/>
                <w:spacing w:val="20"/>
                <w:sz w:val="44"/>
                <w:szCs w:val="44"/>
              </w:rPr>
              <w:t>hl. m. Prahy</w:t>
            </w:r>
          </w:p>
          <w:p>
            <w:pPr>
              <w:pStyle w:val="Normal"/>
              <w:jc w:val="center"/>
              <w:rPr>
                <w:rFonts w:ascii="Verdana" w:hAnsi="Verdana" w:cs="Verdana"/>
                <w:b/>
                <w:b/>
                <w:color w:val="005DAB"/>
                <w:spacing w:val="20"/>
                <w:sz w:val="32"/>
                <w:szCs w:val="32"/>
              </w:rPr>
            </w:pPr>
            <w:r>
              <w:rPr>
                <w:rFonts w:cs="Verdana" w:ascii="Verdana" w:hAnsi="Verdana"/>
                <w:b/>
                <w:color w:val="005DAB"/>
                <w:spacing w:val="20"/>
                <w:sz w:val="32"/>
                <w:szCs w:val="32"/>
              </w:rPr>
            </w:r>
          </w:p>
        </w:tc>
      </w:tr>
      <w:tr>
        <w:trPr>
          <w:trHeight w:val="759" w:hRule="atLeast"/>
        </w:trPr>
        <w:tc>
          <w:tcPr>
            <w:tcW w:w="9212" w:type="dxa"/>
            <w:gridSpan w:val="2"/>
            <w:tcBorders/>
            <w:shd w:fill="auto" w:val="clear"/>
            <w:vAlign w:val="center"/>
          </w:tcPr>
          <w:p>
            <w:pPr>
              <w:pStyle w:val="Normal"/>
              <w:snapToGrid w:val="false"/>
              <w:jc w:val="center"/>
              <w:rPr>
                <w:color w:val="005DAB"/>
                <w:sz w:val="32"/>
                <w:szCs w:val="32"/>
              </w:rPr>
            </w:pPr>
            <w:r>
              <w:rPr>
                <w:color w:val="005DAB"/>
                <w:sz w:val="32"/>
                <w:szCs w:val="32"/>
              </w:rPr>
            </w:r>
          </w:p>
        </w:tc>
      </w:tr>
      <w:tr>
        <w:trPr>
          <w:trHeight w:val="80" w:hRule="atLeast"/>
        </w:trPr>
        <w:tc>
          <w:tcPr>
            <w:tcW w:w="9212" w:type="dxa"/>
            <w:gridSpan w:val="2"/>
            <w:tcBorders/>
            <w:shd w:fill="auto" w:val="clear"/>
            <w:vAlign w:val="center"/>
          </w:tcPr>
          <w:p>
            <w:pPr>
              <w:pStyle w:val="Normal"/>
              <w:snapToGrid w:val="false"/>
              <w:rPr>
                <w:rFonts w:ascii="Verdana" w:hAnsi="Verdana" w:cs="Verdana"/>
                <w:b/>
                <w:b/>
                <w:bCs/>
                <w:caps/>
                <w:shadow/>
                <w:color w:val="005DAB"/>
                <w:sz w:val="36"/>
                <w:szCs w:val="36"/>
              </w:rPr>
            </w:pPr>
            <w:r>
              <w:rPr>
                <w:rFonts w:cs="Verdana" w:ascii="Verdana" w:hAnsi="Verdana"/>
                <w:b/>
                <w:bCs/>
                <w:caps/>
                <w:shadow/>
                <w:color w:val="005DAB"/>
                <w:sz w:val="36"/>
                <w:szCs w:val="36"/>
              </w:rPr>
            </w:r>
          </w:p>
        </w:tc>
      </w:tr>
      <w:tr>
        <w:trPr>
          <w:trHeight w:val="1263" w:hRule="atLeast"/>
        </w:trPr>
        <w:tc>
          <w:tcPr>
            <w:tcW w:w="9212" w:type="dxa"/>
            <w:gridSpan w:val="2"/>
            <w:tcBorders/>
            <w:shd w:fill="auto" w:val="clear"/>
            <w:vAlign w:val="center"/>
          </w:tcPr>
          <w:p>
            <w:pPr>
              <w:pStyle w:val="Normal"/>
              <w:keepLines/>
              <w:widowControl w:val="false"/>
              <w:snapToGrid w:val="false"/>
              <w:jc w:val="center"/>
              <w:rPr>
                <w:rFonts w:ascii="Verdana" w:hAnsi="Verdana" w:cs="Verdana"/>
                <w:b/>
                <w:b/>
                <w:bCs/>
                <w:caps/>
                <w:shadow/>
                <w:color w:val="808080"/>
                <w:sz w:val="36"/>
                <w:szCs w:val="20"/>
                <w:u w:val="single"/>
              </w:rPr>
            </w:pPr>
            <w:r>
              <w:rPr>
                <w:rFonts w:cs="Verdana" w:ascii="Verdana" w:hAnsi="Verdana"/>
                <w:b/>
                <w:bCs/>
                <w:caps/>
                <w:shadow/>
                <w:color w:val="808080"/>
                <w:sz w:val="36"/>
                <w:szCs w:val="20"/>
                <w:u w:val="single"/>
              </w:rPr>
            </w:r>
          </w:p>
        </w:tc>
      </w:tr>
      <w:tr>
        <w:trPr/>
        <w:tc>
          <w:tcPr>
            <w:tcW w:w="2660" w:type="dxa"/>
            <w:tcBorders/>
            <w:shd w:fill="auto" w:val="clear"/>
            <w:vAlign w:val="center"/>
          </w:tcPr>
          <w:p>
            <w:pPr>
              <w:pStyle w:val="Normal"/>
              <w:keepLines/>
              <w:widowControl w:val="false"/>
              <w:rPr>
                <w:rFonts w:ascii="Verdana" w:hAnsi="Verdana" w:cs="Verdana"/>
                <w:b/>
                <w:b/>
                <w:color w:val="005DAB"/>
                <w:sz w:val="20"/>
                <w:szCs w:val="20"/>
              </w:rPr>
            </w:pPr>
            <w:r>
              <w:rPr>
                <w:rFonts w:cs="Verdana" w:ascii="Verdana" w:hAnsi="Verdana"/>
                <w:b/>
                <w:color w:val="005DAB"/>
                <w:sz w:val="20"/>
                <w:szCs w:val="20"/>
              </w:rPr>
              <w:t>Objednatel</w:t>
            </w:r>
          </w:p>
        </w:tc>
        <w:tc>
          <w:tcPr>
            <w:tcW w:w="6552" w:type="dxa"/>
            <w:tcBorders/>
            <w:shd w:fill="auto" w:val="clear"/>
            <w:vAlign w:val="bottom"/>
          </w:tcPr>
          <w:p>
            <w:pPr>
              <w:pStyle w:val="Normal"/>
              <w:keepLines/>
              <w:widowControl w:val="false"/>
              <w:rPr>
                <w:rFonts w:ascii="Verdana" w:hAnsi="Verdana" w:cs="Verdana"/>
                <w:bCs/>
                <w:iCs/>
                <w:color w:val="333333"/>
                <w:sz w:val="20"/>
                <w:szCs w:val="20"/>
              </w:rPr>
            </w:pPr>
            <w:r>
              <w:rPr>
                <w:rFonts w:cs="Verdana" w:ascii="Verdana" w:hAnsi="Verdana"/>
                <w:bCs/>
                <w:iCs/>
                <w:color w:val="333333"/>
                <w:sz w:val="20"/>
                <w:szCs w:val="20"/>
              </w:rPr>
              <w:t>Technická správa komunikací hlavního města Prahy</w:t>
            </w:r>
          </w:p>
        </w:tc>
      </w:tr>
      <w:tr>
        <w:trPr/>
        <w:tc>
          <w:tcPr>
            <w:tcW w:w="2660" w:type="dxa"/>
            <w:tcBorders/>
            <w:shd w:fill="auto" w:val="clear"/>
            <w:vAlign w:val="center"/>
          </w:tcPr>
          <w:p>
            <w:pPr>
              <w:pStyle w:val="Normal"/>
              <w:keepLines/>
              <w:widowControl w:val="false"/>
              <w:snapToGrid w:val="false"/>
              <w:rPr>
                <w:rFonts w:ascii="Verdana" w:hAnsi="Verdana" w:cs="Verdana"/>
                <w:b/>
                <w:b/>
                <w:bCs/>
                <w:iCs/>
                <w:color w:val="003058"/>
                <w:sz w:val="20"/>
                <w:szCs w:val="20"/>
              </w:rPr>
            </w:pPr>
            <w:r>
              <w:rPr>
                <w:rFonts w:cs="Verdana" w:ascii="Verdana" w:hAnsi="Verdana"/>
                <w:b/>
                <w:bCs/>
                <w:iCs/>
                <w:color w:val="003058"/>
                <w:sz w:val="20"/>
                <w:szCs w:val="20"/>
              </w:rPr>
            </w:r>
          </w:p>
        </w:tc>
        <w:tc>
          <w:tcPr>
            <w:tcW w:w="6552" w:type="dxa"/>
            <w:tcBorders/>
            <w:shd w:fill="auto" w:val="clear"/>
            <w:vAlign w:val="center"/>
          </w:tcPr>
          <w:p>
            <w:pPr>
              <w:pStyle w:val="Normal"/>
              <w:keepLines/>
              <w:widowControl w:val="false"/>
              <w:rPr>
                <w:rFonts w:ascii="Verdana" w:hAnsi="Verdana" w:cs="Verdana"/>
                <w:color w:val="333333"/>
                <w:sz w:val="20"/>
                <w:szCs w:val="20"/>
              </w:rPr>
            </w:pPr>
            <w:r>
              <w:rPr>
                <w:rFonts w:cs="Verdana" w:ascii="Verdana" w:hAnsi="Verdana"/>
                <w:color w:val="333333"/>
                <w:sz w:val="20"/>
                <w:szCs w:val="20"/>
              </w:rPr>
              <w:t>Praha 1, Nové Město</w:t>
            </w:r>
          </w:p>
        </w:tc>
      </w:tr>
      <w:tr>
        <w:trPr/>
        <w:tc>
          <w:tcPr>
            <w:tcW w:w="2660" w:type="dxa"/>
            <w:tcBorders/>
            <w:shd w:fill="auto" w:val="clear"/>
            <w:vAlign w:val="center"/>
          </w:tcPr>
          <w:p>
            <w:pPr>
              <w:pStyle w:val="Normal"/>
              <w:keepLines/>
              <w:widowControl w:val="false"/>
              <w:snapToGrid w:val="false"/>
              <w:rPr>
                <w:rFonts w:ascii="Verdana" w:hAnsi="Verdana" w:cs="Verdana"/>
                <w:b/>
                <w:b/>
                <w:color w:val="003058"/>
                <w:sz w:val="20"/>
                <w:szCs w:val="20"/>
              </w:rPr>
            </w:pPr>
            <w:r>
              <w:rPr>
                <w:rFonts w:cs="Verdana" w:ascii="Verdana" w:hAnsi="Verdana"/>
                <w:b/>
                <w:color w:val="003058"/>
                <w:sz w:val="20"/>
                <w:szCs w:val="20"/>
              </w:rPr>
            </w:r>
          </w:p>
        </w:tc>
        <w:tc>
          <w:tcPr>
            <w:tcW w:w="6552" w:type="dxa"/>
            <w:tcBorders/>
            <w:shd w:fill="auto" w:val="clear"/>
            <w:vAlign w:val="center"/>
          </w:tcPr>
          <w:p>
            <w:pPr>
              <w:pStyle w:val="Normal"/>
              <w:keepLines/>
              <w:widowControl w:val="false"/>
              <w:rPr>
                <w:rFonts w:ascii="Verdana" w:hAnsi="Verdana" w:cs="Verdana"/>
                <w:color w:val="333333"/>
                <w:sz w:val="20"/>
                <w:szCs w:val="20"/>
              </w:rPr>
            </w:pPr>
            <w:r>
              <w:rPr>
                <w:rFonts w:cs="Verdana" w:ascii="Verdana" w:hAnsi="Verdana"/>
                <w:color w:val="333333"/>
                <w:sz w:val="20"/>
                <w:szCs w:val="20"/>
              </w:rPr>
              <w:t>Řásnovka 770/8</w:t>
            </w:r>
          </w:p>
        </w:tc>
      </w:tr>
      <w:tr>
        <w:trPr/>
        <w:tc>
          <w:tcPr>
            <w:tcW w:w="2660" w:type="dxa"/>
            <w:tcBorders/>
            <w:shd w:fill="auto" w:val="clear"/>
            <w:vAlign w:val="center"/>
          </w:tcPr>
          <w:p>
            <w:pPr>
              <w:pStyle w:val="Normal"/>
              <w:keepLines/>
              <w:widowControl w:val="false"/>
              <w:snapToGrid w:val="false"/>
              <w:rPr>
                <w:rFonts w:ascii="Verdana" w:hAnsi="Verdana" w:cs="Verdana"/>
                <w:b/>
                <w:b/>
                <w:color w:val="003058"/>
                <w:sz w:val="20"/>
                <w:szCs w:val="20"/>
              </w:rPr>
            </w:pPr>
            <w:r>
              <w:rPr>
                <w:rFonts w:cs="Verdana" w:ascii="Verdana" w:hAnsi="Verdana"/>
                <w:b/>
                <w:color w:val="003058"/>
                <w:sz w:val="20"/>
                <w:szCs w:val="20"/>
              </w:rPr>
            </w:r>
          </w:p>
        </w:tc>
        <w:tc>
          <w:tcPr>
            <w:tcW w:w="6552" w:type="dxa"/>
            <w:tcBorders/>
            <w:shd w:fill="auto" w:val="clear"/>
            <w:vAlign w:val="center"/>
          </w:tcPr>
          <w:p>
            <w:pPr>
              <w:pStyle w:val="Normal"/>
              <w:keepLines/>
              <w:widowControl w:val="false"/>
              <w:rPr>
                <w:rFonts w:ascii="Verdana" w:hAnsi="Verdana" w:cs="Verdana"/>
                <w:color w:val="333333"/>
                <w:sz w:val="20"/>
                <w:szCs w:val="20"/>
              </w:rPr>
            </w:pPr>
            <w:r>
              <w:rPr>
                <w:rFonts w:cs="Verdana" w:ascii="Verdana" w:hAnsi="Verdana"/>
                <w:color w:val="333333"/>
                <w:sz w:val="20"/>
                <w:szCs w:val="20"/>
              </w:rPr>
              <w:t>PSČ 110 00</w:t>
            </w:r>
          </w:p>
        </w:tc>
      </w:tr>
      <w:tr>
        <w:trPr/>
        <w:tc>
          <w:tcPr>
            <w:tcW w:w="2660" w:type="dxa"/>
            <w:tcBorders/>
            <w:shd w:fill="auto" w:val="clear"/>
            <w:vAlign w:val="center"/>
          </w:tcPr>
          <w:p>
            <w:pPr>
              <w:pStyle w:val="Normal"/>
              <w:keepLines/>
              <w:widowControl w:val="false"/>
              <w:snapToGrid w:val="false"/>
              <w:rPr>
                <w:rFonts w:ascii="Verdana" w:hAnsi="Verdana" w:cs="Verdana"/>
                <w:b/>
                <w:b/>
                <w:color w:val="003058"/>
                <w:sz w:val="20"/>
                <w:szCs w:val="20"/>
              </w:rPr>
            </w:pPr>
            <w:r>
              <w:rPr>
                <w:rFonts w:cs="Verdana" w:ascii="Verdana" w:hAnsi="Verdana"/>
                <w:b/>
                <w:color w:val="003058"/>
                <w:sz w:val="20"/>
                <w:szCs w:val="20"/>
              </w:rPr>
            </w:r>
          </w:p>
        </w:tc>
        <w:tc>
          <w:tcPr>
            <w:tcW w:w="6552" w:type="dxa"/>
            <w:tcBorders/>
            <w:shd w:fill="auto" w:val="clear"/>
            <w:vAlign w:val="center"/>
          </w:tcPr>
          <w:p>
            <w:pPr>
              <w:pStyle w:val="Normal"/>
              <w:keepLines/>
              <w:widowControl w:val="false"/>
              <w:rPr>
                <w:rFonts w:ascii="Verdana" w:hAnsi="Verdana" w:cs="Verdana"/>
                <w:color w:val="333333"/>
                <w:sz w:val="20"/>
                <w:szCs w:val="20"/>
              </w:rPr>
            </w:pPr>
            <w:r>
              <w:rPr>
                <w:rFonts w:cs="Verdana" w:ascii="Verdana" w:hAnsi="Verdana"/>
                <w:color w:val="333333"/>
                <w:sz w:val="20"/>
                <w:szCs w:val="20"/>
              </w:rPr>
              <w:t>IČ: 638 34 197</w:t>
            </w:r>
          </w:p>
        </w:tc>
      </w:tr>
      <w:tr>
        <w:trPr/>
        <w:tc>
          <w:tcPr>
            <w:tcW w:w="9212" w:type="dxa"/>
            <w:gridSpan w:val="2"/>
            <w:tcBorders/>
            <w:shd w:fill="auto" w:val="clear"/>
            <w:vAlign w:val="center"/>
          </w:tcPr>
          <w:p>
            <w:pPr>
              <w:pStyle w:val="Normal"/>
              <w:keepLines/>
              <w:widowControl w:val="false"/>
              <w:snapToGrid w:val="false"/>
              <w:rPr>
                <w:rFonts w:ascii="Verdana" w:hAnsi="Verdana" w:cs="Verdana"/>
                <w:b/>
                <w:b/>
                <w:bCs/>
                <w:iCs/>
                <w:color w:val="333333"/>
                <w:sz w:val="20"/>
                <w:szCs w:val="20"/>
              </w:rPr>
            </w:pPr>
            <w:r>
              <w:rPr>
                <w:rFonts w:cs="Verdana" w:ascii="Verdana" w:hAnsi="Verdana"/>
                <w:b/>
                <w:bCs/>
                <w:iCs/>
                <w:color w:val="333333"/>
                <w:sz w:val="20"/>
                <w:szCs w:val="20"/>
              </w:rPr>
            </w:r>
          </w:p>
        </w:tc>
      </w:tr>
      <w:tr>
        <w:trPr/>
        <w:tc>
          <w:tcPr>
            <w:tcW w:w="2660" w:type="dxa"/>
            <w:tcBorders/>
            <w:shd w:fill="auto" w:val="clear"/>
            <w:vAlign w:val="center"/>
          </w:tcPr>
          <w:p>
            <w:pPr>
              <w:pStyle w:val="Normal"/>
              <w:keepLines/>
              <w:widowControl w:val="false"/>
              <w:rPr/>
            </w:pPr>
            <w:r>
              <w:rPr>
                <w:rFonts w:cs="Verdana" w:ascii="Verdana" w:hAnsi="Verdana"/>
                <w:b/>
                <w:color w:val="005DAB"/>
                <w:sz w:val="20"/>
                <w:szCs w:val="20"/>
              </w:rPr>
              <w:t>Zhotovitel</w:t>
            </w:r>
          </w:p>
        </w:tc>
        <w:tc>
          <w:tcPr>
            <w:tcW w:w="6552" w:type="dxa"/>
            <w:tcBorders/>
            <w:shd w:fill="auto" w:val="clear"/>
            <w:vAlign w:val="center"/>
          </w:tcPr>
          <w:p>
            <w:pPr>
              <w:pStyle w:val="Normal"/>
              <w:keepLines/>
              <w:widowControl w:val="false"/>
              <w:rPr>
                <w:rFonts w:ascii="Verdana" w:hAnsi="Verdana" w:cs="Verdana"/>
                <w:bCs/>
                <w:iCs/>
                <w:color w:val="333333"/>
                <w:sz w:val="20"/>
                <w:szCs w:val="20"/>
              </w:rPr>
            </w:pPr>
            <w:r>
              <w:rPr>
                <w:rFonts w:cs="Verdana" w:ascii="Verdana" w:hAnsi="Verdana"/>
                <w:bCs/>
                <w:iCs/>
                <w:color w:val="333333"/>
                <w:sz w:val="20"/>
                <w:szCs w:val="20"/>
              </w:rPr>
              <w:t>Euro–Trend, s.r.o.</w:t>
            </w:r>
          </w:p>
        </w:tc>
      </w:tr>
      <w:tr>
        <w:trPr/>
        <w:tc>
          <w:tcPr>
            <w:tcW w:w="2660" w:type="dxa"/>
            <w:tcBorders/>
            <w:shd w:fill="auto" w:val="clear"/>
            <w:vAlign w:val="center"/>
          </w:tcPr>
          <w:p>
            <w:pPr>
              <w:pStyle w:val="Normal"/>
              <w:keepLines/>
              <w:widowControl w:val="false"/>
              <w:snapToGrid w:val="false"/>
              <w:rPr>
                <w:rFonts w:ascii="Verdana" w:hAnsi="Verdana" w:cs="Verdana"/>
                <w:b/>
                <w:b/>
                <w:bCs/>
                <w:iCs/>
                <w:color w:val="003058"/>
                <w:sz w:val="20"/>
                <w:szCs w:val="20"/>
              </w:rPr>
            </w:pPr>
            <w:r>
              <w:rPr>
                <w:rFonts w:cs="Verdana" w:ascii="Verdana" w:hAnsi="Verdana"/>
                <w:b/>
                <w:bCs/>
                <w:iCs/>
                <w:color w:val="003058"/>
                <w:sz w:val="20"/>
                <w:szCs w:val="20"/>
              </w:rPr>
            </w:r>
          </w:p>
        </w:tc>
        <w:tc>
          <w:tcPr>
            <w:tcW w:w="6552" w:type="dxa"/>
            <w:tcBorders/>
            <w:shd w:fill="auto" w:val="clear"/>
            <w:vAlign w:val="center"/>
          </w:tcPr>
          <w:p>
            <w:pPr>
              <w:pStyle w:val="Normal"/>
              <w:keepLines/>
              <w:widowControl w:val="false"/>
              <w:rPr>
                <w:rFonts w:ascii="Verdana" w:hAnsi="Verdana" w:cs="Verdana"/>
                <w:color w:val="333333"/>
                <w:sz w:val="20"/>
                <w:szCs w:val="20"/>
              </w:rPr>
            </w:pPr>
            <w:r>
              <w:rPr>
                <w:rFonts w:cs="Verdana" w:ascii="Verdana" w:hAnsi="Verdana"/>
                <w:color w:val="333333"/>
                <w:sz w:val="20"/>
                <w:szCs w:val="20"/>
              </w:rPr>
              <w:t>Praha 1, Nové Město</w:t>
            </w:r>
          </w:p>
        </w:tc>
      </w:tr>
      <w:tr>
        <w:trPr/>
        <w:tc>
          <w:tcPr>
            <w:tcW w:w="2660" w:type="dxa"/>
            <w:tcBorders/>
            <w:shd w:fill="auto" w:val="clear"/>
            <w:vAlign w:val="center"/>
          </w:tcPr>
          <w:p>
            <w:pPr>
              <w:pStyle w:val="Normal"/>
              <w:keepLines/>
              <w:widowControl w:val="false"/>
              <w:snapToGrid w:val="false"/>
              <w:rPr>
                <w:rFonts w:ascii="Verdana" w:hAnsi="Verdana" w:cs="Verdana"/>
                <w:b/>
                <w:b/>
                <w:color w:val="003058"/>
                <w:sz w:val="20"/>
                <w:szCs w:val="20"/>
              </w:rPr>
            </w:pPr>
            <w:r>
              <w:rPr>
                <w:rFonts w:cs="Verdana" w:ascii="Verdana" w:hAnsi="Verdana"/>
                <w:b/>
                <w:color w:val="003058"/>
                <w:sz w:val="20"/>
                <w:szCs w:val="20"/>
              </w:rPr>
            </w:r>
          </w:p>
        </w:tc>
        <w:tc>
          <w:tcPr>
            <w:tcW w:w="6552" w:type="dxa"/>
            <w:tcBorders/>
            <w:shd w:fill="auto" w:val="clear"/>
            <w:vAlign w:val="center"/>
          </w:tcPr>
          <w:p>
            <w:pPr>
              <w:pStyle w:val="Normal"/>
              <w:keepLines/>
              <w:widowControl w:val="false"/>
              <w:rPr>
                <w:rFonts w:ascii="Verdana" w:hAnsi="Verdana" w:cs="Verdana"/>
                <w:color w:val="333333"/>
                <w:sz w:val="20"/>
                <w:szCs w:val="20"/>
              </w:rPr>
            </w:pPr>
            <w:r>
              <w:rPr>
                <w:rFonts w:cs="Verdana" w:ascii="Verdana" w:hAnsi="Verdana"/>
                <w:color w:val="333333"/>
                <w:sz w:val="20"/>
                <w:szCs w:val="20"/>
              </w:rPr>
              <w:t>Senovážné náměstí 978/23</w:t>
            </w:r>
          </w:p>
        </w:tc>
      </w:tr>
      <w:tr>
        <w:trPr/>
        <w:tc>
          <w:tcPr>
            <w:tcW w:w="2660" w:type="dxa"/>
            <w:tcBorders/>
            <w:shd w:fill="auto" w:val="clear"/>
            <w:vAlign w:val="center"/>
          </w:tcPr>
          <w:p>
            <w:pPr>
              <w:pStyle w:val="Normal"/>
              <w:keepLines/>
              <w:widowControl w:val="false"/>
              <w:snapToGrid w:val="false"/>
              <w:rPr>
                <w:rFonts w:ascii="Verdana" w:hAnsi="Verdana" w:cs="Verdana"/>
                <w:b/>
                <w:b/>
                <w:color w:val="003058"/>
                <w:sz w:val="20"/>
                <w:szCs w:val="20"/>
              </w:rPr>
            </w:pPr>
            <w:r>
              <w:rPr>
                <w:rFonts w:cs="Verdana" w:ascii="Verdana" w:hAnsi="Verdana"/>
                <w:b/>
                <w:color w:val="003058"/>
                <w:sz w:val="20"/>
                <w:szCs w:val="20"/>
              </w:rPr>
            </w:r>
          </w:p>
        </w:tc>
        <w:tc>
          <w:tcPr>
            <w:tcW w:w="6552" w:type="dxa"/>
            <w:tcBorders/>
            <w:shd w:fill="auto" w:val="clear"/>
            <w:vAlign w:val="center"/>
          </w:tcPr>
          <w:p>
            <w:pPr>
              <w:pStyle w:val="Normal"/>
              <w:keepLines/>
              <w:widowControl w:val="false"/>
              <w:rPr>
                <w:rFonts w:ascii="Verdana" w:hAnsi="Verdana" w:cs="Verdana"/>
                <w:color w:val="333333"/>
                <w:sz w:val="20"/>
                <w:szCs w:val="20"/>
              </w:rPr>
            </w:pPr>
            <w:r>
              <w:rPr>
                <w:rFonts w:cs="Verdana" w:ascii="Verdana" w:hAnsi="Verdana"/>
                <w:color w:val="333333"/>
                <w:sz w:val="20"/>
                <w:szCs w:val="20"/>
              </w:rPr>
              <w:t>PSČ 110 00</w:t>
            </w:r>
          </w:p>
        </w:tc>
      </w:tr>
      <w:tr>
        <w:trPr/>
        <w:tc>
          <w:tcPr>
            <w:tcW w:w="2660" w:type="dxa"/>
            <w:tcBorders/>
            <w:shd w:fill="auto" w:val="clear"/>
            <w:vAlign w:val="center"/>
          </w:tcPr>
          <w:p>
            <w:pPr>
              <w:pStyle w:val="Normal"/>
              <w:keepLines/>
              <w:widowControl w:val="false"/>
              <w:snapToGrid w:val="false"/>
              <w:rPr>
                <w:rFonts w:ascii="Verdana" w:hAnsi="Verdana" w:cs="Verdana"/>
                <w:b/>
                <w:b/>
                <w:color w:val="003058"/>
                <w:sz w:val="20"/>
                <w:szCs w:val="20"/>
              </w:rPr>
            </w:pPr>
            <w:r>
              <w:rPr>
                <w:rFonts w:cs="Verdana" w:ascii="Verdana" w:hAnsi="Verdana"/>
                <w:b/>
                <w:color w:val="003058"/>
                <w:sz w:val="20"/>
                <w:szCs w:val="20"/>
              </w:rPr>
            </w:r>
          </w:p>
        </w:tc>
        <w:tc>
          <w:tcPr>
            <w:tcW w:w="6552" w:type="dxa"/>
            <w:tcBorders/>
            <w:shd w:fill="auto" w:val="clear"/>
            <w:vAlign w:val="center"/>
          </w:tcPr>
          <w:p>
            <w:pPr>
              <w:pStyle w:val="Normal"/>
              <w:keepLines/>
              <w:widowControl w:val="false"/>
              <w:rPr>
                <w:rFonts w:ascii="Verdana" w:hAnsi="Verdana" w:cs="Verdana"/>
                <w:color w:val="333333"/>
                <w:sz w:val="20"/>
                <w:szCs w:val="20"/>
              </w:rPr>
            </w:pPr>
            <w:r>
              <w:rPr>
                <w:rFonts w:cs="Verdana" w:ascii="Verdana" w:hAnsi="Verdana"/>
                <w:color w:val="333333"/>
                <w:sz w:val="20"/>
                <w:szCs w:val="20"/>
              </w:rPr>
              <w:t>IČ: 615 00 542</w:t>
            </w:r>
          </w:p>
        </w:tc>
      </w:tr>
      <w:tr>
        <w:trPr/>
        <w:tc>
          <w:tcPr>
            <w:tcW w:w="9212" w:type="dxa"/>
            <w:gridSpan w:val="2"/>
            <w:tcBorders/>
            <w:shd w:fill="auto" w:val="clear"/>
            <w:vAlign w:val="center"/>
          </w:tcPr>
          <w:p>
            <w:pPr>
              <w:pStyle w:val="Normal"/>
              <w:keepLines/>
              <w:widowControl w:val="false"/>
              <w:snapToGrid w:val="false"/>
              <w:rPr>
                <w:rFonts w:ascii="Verdana" w:hAnsi="Verdana" w:cs="Verdana"/>
                <w:b/>
                <w:b/>
                <w:color w:val="333333"/>
                <w:sz w:val="20"/>
                <w:szCs w:val="20"/>
              </w:rPr>
            </w:pPr>
            <w:r>
              <w:rPr>
                <w:rFonts w:cs="Verdana" w:ascii="Verdana" w:hAnsi="Verdana"/>
                <w:b/>
                <w:color w:val="333333"/>
                <w:sz w:val="20"/>
                <w:szCs w:val="20"/>
              </w:rPr>
            </w:r>
          </w:p>
        </w:tc>
      </w:tr>
      <w:tr>
        <w:trPr/>
        <w:tc>
          <w:tcPr>
            <w:tcW w:w="2660" w:type="dxa"/>
            <w:tcBorders/>
            <w:shd w:fill="auto" w:val="clear"/>
            <w:vAlign w:val="center"/>
          </w:tcPr>
          <w:p>
            <w:pPr>
              <w:pStyle w:val="Normal"/>
              <w:keepLines/>
              <w:widowControl w:val="false"/>
              <w:snapToGrid w:val="false"/>
              <w:jc w:val="center"/>
              <w:rPr>
                <w:rFonts w:ascii="Verdana" w:hAnsi="Verdana" w:cs="Verdana"/>
                <w:b/>
                <w:b/>
                <w:color w:val="003058"/>
                <w:sz w:val="20"/>
                <w:szCs w:val="20"/>
              </w:rPr>
            </w:pPr>
            <w:r>
              <w:rPr>
                <w:rFonts w:cs="Verdana" w:ascii="Verdana" w:hAnsi="Verdana"/>
                <w:b/>
                <w:color w:val="003058"/>
                <w:sz w:val="20"/>
                <w:szCs w:val="20"/>
              </w:rPr>
            </w:r>
          </w:p>
        </w:tc>
        <w:tc>
          <w:tcPr>
            <w:tcW w:w="6552" w:type="dxa"/>
            <w:tcBorders/>
            <w:shd w:fill="auto" w:val="clear"/>
            <w:vAlign w:val="center"/>
          </w:tcPr>
          <w:p>
            <w:pPr>
              <w:pStyle w:val="Normal"/>
              <w:keepLines/>
              <w:widowControl w:val="false"/>
              <w:snapToGrid w:val="false"/>
              <w:rPr>
                <w:rFonts w:ascii="Verdana" w:hAnsi="Verdana" w:cs="Verdana"/>
                <w:b/>
                <w:b/>
                <w:color w:val="333333"/>
                <w:sz w:val="20"/>
                <w:szCs w:val="20"/>
              </w:rPr>
            </w:pPr>
            <w:r>
              <w:rPr>
                <w:rFonts w:cs="Verdana" w:ascii="Verdana" w:hAnsi="Verdana"/>
                <w:b/>
                <w:color w:val="333333"/>
                <w:sz w:val="20"/>
                <w:szCs w:val="20"/>
              </w:rPr>
            </w:r>
          </w:p>
        </w:tc>
      </w:tr>
      <w:tr>
        <w:trPr/>
        <w:tc>
          <w:tcPr>
            <w:tcW w:w="2660" w:type="dxa"/>
            <w:tcBorders/>
            <w:shd w:fill="auto" w:val="clear"/>
            <w:vAlign w:val="center"/>
          </w:tcPr>
          <w:p>
            <w:pPr>
              <w:pStyle w:val="Normal"/>
              <w:keepLines/>
              <w:widowControl w:val="false"/>
              <w:rPr>
                <w:rFonts w:ascii="Verdana" w:hAnsi="Verdana" w:cs="Verdana"/>
                <w:b/>
                <w:b/>
                <w:color w:val="005DAB"/>
                <w:sz w:val="20"/>
                <w:szCs w:val="20"/>
              </w:rPr>
            </w:pPr>
            <w:r>
              <w:rPr>
                <w:rFonts w:cs="Verdana" w:ascii="Verdana" w:hAnsi="Verdana"/>
                <w:b/>
                <w:color w:val="005DAB"/>
                <w:sz w:val="20"/>
                <w:szCs w:val="20"/>
              </w:rPr>
              <w:t>Zhotoveno ke dni</w:t>
            </w:r>
          </w:p>
        </w:tc>
        <w:tc>
          <w:tcPr>
            <w:tcW w:w="6552" w:type="dxa"/>
            <w:tcBorders/>
            <w:shd w:fill="auto" w:val="clear"/>
            <w:vAlign w:val="center"/>
          </w:tcPr>
          <w:p>
            <w:pPr>
              <w:pStyle w:val="Normal"/>
              <w:keepLines/>
              <w:widowControl w:val="false"/>
              <w:rPr>
                <w:rFonts w:ascii="Verdana" w:hAnsi="Verdana" w:cs="Verdana"/>
                <w:color w:val="333333"/>
                <w:sz w:val="20"/>
                <w:szCs w:val="20"/>
              </w:rPr>
            </w:pPr>
            <w:r>
              <w:rPr>
                <w:rFonts w:cs="Verdana" w:ascii="Verdana" w:hAnsi="Verdana"/>
                <w:color w:val="333333"/>
                <w:sz w:val="20"/>
                <w:szCs w:val="20"/>
              </w:rPr>
              <w:t>20. 3. 2014</w:t>
            </w:r>
          </w:p>
        </w:tc>
      </w:tr>
      <w:tr>
        <w:trPr>
          <w:trHeight w:val="533" w:hRule="atLeast"/>
        </w:trPr>
        <w:tc>
          <w:tcPr>
            <w:tcW w:w="9212" w:type="dxa"/>
            <w:gridSpan w:val="2"/>
            <w:tcBorders/>
            <w:shd w:fill="auto" w:val="clear"/>
            <w:vAlign w:val="center"/>
          </w:tcPr>
          <w:p>
            <w:pPr>
              <w:pStyle w:val="Normal"/>
              <w:keepLines/>
              <w:widowControl w:val="false"/>
              <w:snapToGrid w:val="false"/>
              <w:jc w:val="center"/>
              <w:rPr>
                <w:rFonts w:ascii="Verdana" w:hAnsi="Verdana" w:cs="Verdana"/>
                <w:b/>
                <w:b/>
                <w:color w:val="333333"/>
                <w:sz w:val="20"/>
                <w:szCs w:val="20"/>
              </w:rPr>
            </w:pPr>
            <w:r>
              <w:rPr>
                <w:rFonts w:cs="Verdana" w:ascii="Verdana" w:hAnsi="Verdana"/>
                <w:b/>
                <w:color w:val="333333"/>
                <w:sz w:val="20"/>
                <w:szCs w:val="20"/>
              </w:rPr>
            </w:r>
          </w:p>
        </w:tc>
      </w:tr>
    </w:tbl>
    <w:p>
      <w:pPr>
        <w:pStyle w:val="Contents1"/>
        <w:rPr>
          <w:rFonts w:ascii="Verdana" w:hAnsi="Verdana" w:cs="Tahoma"/>
          <w:b w:val="false"/>
          <w:b w:val="false"/>
          <w:color w:val="005DAB"/>
          <w:sz w:val="28"/>
          <w:szCs w:val="28"/>
        </w:rPr>
      </w:pPr>
      <w:r>
        <w:br w:type="page"/>
      </w:r>
      <w:r>
        <w:rPr>
          <w:rFonts w:cs="Tahoma" w:ascii="Verdana" w:hAnsi="Verdana"/>
          <w:b w:val="false"/>
          <w:color w:val="005DAB"/>
          <w:sz w:val="28"/>
          <w:szCs w:val="28"/>
        </w:rPr>
        <w:t>Obsah:</w:t>
      </w:r>
    </w:p>
    <w:p>
      <w:pPr>
        <w:pStyle w:val="Contents1"/>
        <w:rPr>
          <w:rFonts w:ascii="Verdana" w:hAnsi="Verdana" w:cs="Verdana"/>
          <w:b w:val="false"/>
          <w:b w:val="false"/>
          <w:sz w:val="20"/>
          <w:szCs w:val="20"/>
        </w:rPr>
      </w:pPr>
      <w:r>
        <w:fldChar w:fldCharType="begin"/>
      </w:r>
      <w:r>
        <w:instrText> TOC \h \z \t "Stanovisko 1;1;Stanovisko 2;2;Stanovisko 3;3" </w:instrText>
      </w:r>
      <w:r>
        <w:fldChar w:fldCharType="separate"/>
      </w:r>
      <w:hyperlink w:anchor="__RefHeading___Toc382588285">
        <w:r>
          <w:rPr>
            <w:rStyle w:val="IndexLink"/>
            <w:rFonts w:cs="Verdana" w:ascii="Verdana" w:hAnsi="Verdana"/>
            <w:sz w:val="20"/>
            <w:szCs w:val="20"/>
          </w:rPr>
          <w:t>Manažerské shrnutí</w:t>
          <w:tab/>
          <w:t>5</w:t>
        </w:r>
      </w:hyperlink>
    </w:p>
    <w:p>
      <w:pPr>
        <w:pStyle w:val="Contents1"/>
        <w:rPr>
          <w:rFonts w:ascii="Verdana" w:hAnsi="Verdana" w:cs="Verdana"/>
          <w:b w:val="false"/>
          <w:b w:val="false"/>
          <w:sz w:val="20"/>
          <w:szCs w:val="20"/>
        </w:rPr>
      </w:pPr>
      <w:hyperlink w:anchor="__RefHeading___Toc382588286">
        <w:r>
          <w:rPr>
            <w:rStyle w:val="IndexLink"/>
            <w:rFonts w:cs="Verdana" w:ascii="Verdana" w:hAnsi="Verdana"/>
            <w:sz w:val="20"/>
            <w:szCs w:val="20"/>
          </w:rPr>
          <w:t>I.</w:t>
        </w:r>
        <w:r>
          <w:rPr>
            <w:rStyle w:val="IndexLink"/>
            <w:rFonts w:cs="Verdana" w:ascii="Verdana" w:hAnsi="Verdana"/>
            <w:b w:val="false"/>
            <w:sz w:val="20"/>
            <w:szCs w:val="20"/>
          </w:rPr>
          <w:tab/>
        </w:r>
        <w:r>
          <w:rPr>
            <w:rStyle w:val="IndexLink"/>
            <w:rFonts w:cs="Verdana" w:ascii="Verdana" w:hAnsi="Verdana"/>
            <w:sz w:val="20"/>
            <w:szCs w:val="20"/>
          </w:rPr>
          <w:t>Úvod</w:t>
          <w:tab/>
          <w:t>7</w:t>
        </w:r>
      </w:hyperlink>
    </w:p>
    <w:p>
      <w:pPr>
        <w:pStyle w:val="Contents1"/>
        <w:rPr>
          <w:rFonts w:ascii="Verdana" w:hAnsi="Verdana" w:cs="Verdana"/>
          <w:b w:val="false"/>
          <w:b w:val="false"/>
          <w:sz w:val="20"/>
          <w:szCs w:val="20"/>
        </w:rPr>
      </w:pPr>
      <w:hyperlink w:anchor="__RefHeading___Toc382588287">
        <w:r>
          <w:rPr>
            <w:rStyle w:val="IndexLink"/>
            <w:rFonts w:cs="Verdana" w:ascii="Verdana" w:hAnsi="Verdana"/>
            <w:sz w:val="20"/>
            <w:szCs w:val="20"/>
          </w:rPr>
          <w:t>II.</w:t>
        </w:r>
        <w:r>
          <w:rPr>
            <w:rStyle w:val="IndexLink"/>
            <w:rFonts w:cs="Verdana" w:ascii="Verdana" w:hAnsi="Verdana"/>
            <w:b w:val="false"/>
            <w:sz w:val="20"/>
            <w:szCs w:val="20"/>
          </w:rPr>
          <w:tab/>
        </w:r>
        <w:r>
          <w:rPr>
            <w:rStyle w:val="IndexLink"/>
            <w:rFonts w:cs="Verdana" w:ascii="Verdana" w:hAnsi="Verdana"/>
            <w:sz w:val="20"/>
            <w:szCs w:val="20"/>
          </w:rPr>
          <w:t>Zhodnocení současného ekonomického postavení</w:t>
          <w:tab/>
          <w:t>8</w:t>
        </w:r>
      </w:hyperlink>
    </w:p>
    <w:p>
      <w:pPr>
        <w:pStyle w:val="Contents2"/>
        <w:tabs>
          <w:tab w:val="left" w:pos="960" w:leader="none"/>
          <w:tab w:val="right" w:pos="9062" w:leader="dot"/>
        </w:tabs>
        <w:rPr>
          <w:rFonts w:ascii="Verdana" w:hAnsi="Verdana" w:cs="Verdana"/>
          <w:sz w:val="20"/>
          <w:szCs w:val="20"/>
          <w:lang w:val="en-US" w:eastAsia="en-US"/>
        </w:rPr>
      </w:pPr>
      <w:hyperlink w:anchor="__RefHeading___Toc382588288">
        <w:r>
          <w:rPr>
            <w:rStyle w:val="IndexLink"/>
            <w:rFonts w:cs="Verdana" w:ascii="Verdana" w:hAnsi="Verdana"/>
            <w:sz w:val="20"/>
            <w:szCs w:val="20"/>
            <w:lang w:val="en-US" w:eastAsia="en-US"/>
          </w:rPr>
          <w:t>II.1.</w:t>
          <w:tab/>
          <w:t>Předmět činnosti TSK a spravovaný majetek</w:t>
          <w:tab/>
          <w:t>8</w:t>
        </w:r>
      </w:hyperlink>
    </w:p>
    <w:p>
      <w:pPr>
        <w:pStyle w:val="Contents2"/>
        <w:tabs>
          <w:tab w:val="left" w:pos="960" w:leader="none"/>
          <w:tab w:val="right" w:pos="9062" w:leader="dot"/>
        </w:tabs>
        <w:rPr>
          <w:rFonts w:ascii="Verdana" w:hAnsi="Verdana" w:cs="Verdana"/>
          <w:sz w:val="20"/>
          <w:szCs w:val="20"/>
          <w:lang w:val="en-US" w:eastAsia="en-US"/>
        </w:rPr>
      </w:pPr>
      <w:hyperlink w:anchor="__RefHeading___Toc382588289">
        <w:r>
          <w:rPr>
            <w:rStyle w:val="IndexLink"/>
            <w:rFonts w:cs="Verdana" w:ascii="Verdana" w:hAnsi="Verdana"/>
            <w:sz w:val="20"/>
            <w:szCs w:val="20"/>
            <w:lang w:val="en-US" w:eastAsia="en-US"/>
          </w:rPr>
          <w:t>II.2.</w:t>
          <w:tab/>
          <w:t>Analýza hospodaření</w:t>
          <w:tab/>
          <w:t>12</w:t>
        </w:r>
      </w:hyperlink>
    </w:p>
    <w:p>
      <w:pPr>
        <w:pStyle w:val="Contents2"/>
        <w:tabs>
          <w:tab w:val="left" w:pos="960" w:leader="none"/>
          <w:tab w:val="right" w:pos="9062" w:leader="dot"/>
        </w:tabs>
        <w:rPr>
          <w:rFonts w:ascii="Verdana" w:hAnsi="Verdana" w:cs="Verdana"/>
          <w:sz w:val="20"/>
          <w:szCs w:val="20"/>
          <w:lang w:val="en-US" w:eastAsia="en-US"/>
        </w:rPr>
      </w:pPr>
      <w:hyperlink w:anchor="__RefHeading___Toc382588290">
        <w:r>
          <w:rPr>
            <w:rStyle w:val="IndexLink"/>
            <w:rFonts w:cs="Verdana" w:ascii="Verdana" w:hAnsi="Verdana"/>
            <w:sz w:val="20"/>
            <w:szCs w:val="20"/>
            <w:lang w:val="en-US" w:eastAsia="en-US"/>
          </w:rPr>
          <w:t>II.3.</w:t>
          <w:tab/>
          <w:t>Správa majetku hl. m. Prahy</w:t>
          <w:tab/>
          <w:t>22</w:t>
        </w:r>
      </w:hyperlink>
    </w:p>
    <w:p>
      <w:pPr>
        <w:pStyle w:val="Contents2"/>
        <w:tabs>
          <w:tab w:val="left" w:pos="960" w:leader="none"/>
          <w:tab w:val="right" w:pos="9062" w:leader="dot"/>
        </w:tabs>
        <w:rPr>
          <w:rFonts w:ascii="Verdana" w:hAnsi="Verdana" w:cs="Verdana"/>
          <w:sz w:val="20"/>
          <w:szCs w:val="20"/>
          <w:lang w:val="en-US" w:eastAsia="en-US"/>
        </w:rPr>
      </w:pPr>
      <w:hyperlink w:anchor="__RefHeading___Toc382588291">
        <w:r>
          <w:rPr>
            <w:rStyle w:val="IndexLink"/>
            <w:rFonts w:cs="Verdana" w:ascii="Verdana" w:hAnsi="Verdana"/>
            <w:sz w:val="20"/>
            <w:szCs w:val="20"/>
            <w:lang w:val="en-US" w:eastAsia="en-US"/>
          </w:rPr>
          <w:t>II.4.</w:t>
          <w:tab/>
          <w:t>Stávající organizační struktura TSK</w:t>
          <w:tab/>
          <w:t>28</w:t>
        </w:r>
      </w:hyperlink>
    </w:p>
    <w:p>
      <w:pPr>
        <w:pStyle w:val="Contents1"/>
        <w:rPr>
          <w:rFonts w:ascii="Verdana" w:hAnsi="Verdana" w:cs="Verdana"/>
          <w:b w:val="false"/>
          <w:b w:val="false"/>
          <w:sz w:val="20"/>
          <w:szCs w:val="20"/>
        </w:rPr>
      </w:pPr>
      <w:hyperlink w:anchor="__RefHeading___Toc382588292">
        <w:r>
          <w:rPr>
            <w:rStyle w:val="IndexLink"/>
            <w:rFonts w:cs="Verdana" w:ascii="Verdana" w:hAnsi="Verdana"/>
            <w:sz w:val="20"/>
            <w:szCs w:val="20"/>
          </w:rPr>
          <w:t>III.</w:t>
        </w:r>
        <w:r>
          <w:rPr>
            <w:rStyle w:val="IndexLink"/>
            <w:rFonts w:cs="Verdana" w:ascii="Verdana" w:hAnsi="Verdana"/>
            <w:b w:val="false"/>
            <w:sz w:val="20"/>
            <w:szCs w:val="20"/>
          </w:rPr>
          <w:tab/>
        </w:r>
        <w:r>
          <w:rPr>
            <w:rStyle w:val="IndexLink"/>
            <w:rFonts w:cs="Verdana" w:ascii="Verdana" w:hAnsi="Verdana"/>
            <w:sz w:val="20"/>
            <w:szCs w:val="20"/>
          </w:rPr>
          <w:t>Subjekty, které již prošly transformací</w:t>
          <w:tab/>
          <w:t>29</w:t>
        </w:r>
      </w:hyperlink>
    </w:p>
    <w:p>
      <w:pPr>
        <w:pStyle w:val="Contents3"/>
        <w:tabs>
          <w:tab w:val="left" w:pos="1600" w:leader="none"/>
          <w:tab w:val="right" w:pos="9062" w:leader="dot"/>
        </w:tabs>
        <w:rPr/>
      </w:pPr>
      <w:hyperlink w:anchor="__RefHeading___Toc382588293">
        <w:r>
          <w:rPr>
            <w:rStyle w:val="IndexLink"/>
          </w:rPr>
          <w:t>III.1.1.</w:t>
          <w:tab/>
          <w:t>Brněnské komunikace a. s.</w:t>
          <w:tab/>
          <w:t>29</w:t>
        </w:r>
      </w:hyperlink>
    </w:p>
    <w:p>
      <w:pPr>
        <w:pStyle w:val="Contents3"/>
        <w:tabs>
          <w:tab w:val="left" w:pos="1600" w:leader="none"/>
          <w:tab w:val="right" w:pos="9062" w:leader="dot"/>
        </w:tabs>
        <w:rPr/>
      </w:pPr>
      <w:hyperlink w:anchor="__RefHeading___Toc382588294">
        <w:r>
          <w:rPr>
            <w:rStyle w:val="IndexLink"/>
          </w:rPr>
          <w:t>III.1.2.</w:t>
          <w:tab/>
          <w:t>Ostravské komunikace, a. s.</w:t>
          <w:tab/>
          <w:t>31</w:t>
        </w:r>
      </w:hyperlink>
    </w:p>
    <w:p>
      <w:pPr>
        <w:pStyle w:val="Contents1"/>
        <w:rPr>
          <w:rFonts w:ascii="Verdana" w:hAnsi="Verdana" w:cs="Verdana"/>
          <w:b w:val="false"/>
          <w:b w:val="false"/>
          <w:sz w:val="20"/>
          <w:szCs w:val="20"/>
        </w:rPr>
      </w:pPr>
      <w:hyperlink w:anchor="__RefHeading___Toc382588295">
        <w:r>
          <w:rPr>
            <w:rStyle w:val="IndexLink"/>
            <w:rFonts w:cs="Verdana" w:ascii="Verdana" w:hAnsi="Verdana"/>
            <w:sz w:val="20"/>
            <w:szCs w:val="20"/>
          </w:rPr>
          <w:t>IV.</w:t>
        </w:r>
        <w:r>
          <w:rPr>
            <w:rStyle w:val="IndexLink"/>
            <w:rFonts w:cs="Verdana" w:ascii="Verdana" w:hAnsi="Verdana"/>
            <w:b w:val="false"/>
            <w:sz w:val="20"/>
            <w:szCs w:val="20"/>
          </w:rPr>
          <w:tab/>
        </w:r>
        <w:r>
          <w:rPr>
            <w:rStyle w:val="IndexLink"/>
            <w:rFonts w:cs="Verdana" w:ascii="Verdana" w:hAnsi="Verdana"/>
            <w:sz w:val="20"/>
            <w:szCs w:val="20"/>
          </w:rPr>
          <w:t>Jednorázové náklady spojené s transformací</w:t>
          <w:tab/>
          <w:t>35</w:t>
        </w:r>
      </w:hyperlink>
    </w:p>
    <w:p>
      <w:pPr>
        <w:pStyle w:val="Contents1"/>
        <w:rPr>
          <w:rFonts w:ascii="Verdana" w:hAnsi="Verdana" w:cs="Verdana"/>
          <w:b w:val="false"/>
          <w:b w:val="false"/>
          <w:sz w:val="20"/>
          <w:szCs w:val="20"/>
        </w:rPr>
      </w:pPr>
      <w:hyperlink w:anchor="__RefHeading___Toc382588296">
        <w:r>
          <w:rPr>
            <w:rStyle w:val="IndexLink"/>
            <w:rFonts w:cs="Verdana" w:ascii="Verdana" w:hAnsi="Verdana"/>
            <w:sz w:val="20"/>
            <w:szCs w:val="20"/>
          </w:rPr>
          <w:t>V.</w:t>
        </w:r>
        <w:r>
          <w:rPr>
            <w:rStyle w:val="IndexLink"/>
            <w:rFonts w:cs="Verdana" w:ascii="Verdana" w:hAnsi="Verdana"/>
            <w:b w:val="false"/>
            <w:sz w:val="20"/>
            <w:szCs w:val="20"/>
          </w:rPr>
          <w:tab/>
        </w:r>
        <w:r>
          <w:rPr>
            <w:rStyle w:val="IndexLink"/>
            <w:rFonts w:cs="Verdana" w:ascii="Verdana" w:hAnsi="Verdana"/>
            <w:sz w:val="20"/>
            <w:szCs w:val="20"/>
          </w:rPr>
          <w:t>Financování zajištění správy komunikací obchodní společností TSK</w:t>
          <w:tab/>
          <w:t>37</w:t>
        </w:r>
      </w:hyperlink>
    </w:p>
    <w:p>
      <w:pPr>
        <w:pStyle w:val="Contents1"/>
        <w:rPr>
          <w:rFonts w:ascii="Verdana" w:hAnsi="Verdana" w:cs="Verdana"/>
          <w:b w:val="false"/>
          <w:b w:val="false"/>
          <w:sz w:val="20"/>
          <w:szCs w:val="20"/>
        </w:rPr>
      </w:pPr>
      <w:hyperlink w:anchor="__RefHeading___Toc382588297">
        <w:r>
          <w:rPr>
            <w:rStyle w:val="IndexLink"/>
            <w:rFonts w:cs="Verdana" w:ascii="Verdana" w:hAnsi="Verdana"/>
            <w:sz w:val="20"/>
            <w:szCs w:val="20"/>
          </w:rPr>
          <w:t>VI.</w:t>
        </w:r>
        <w:r>
          <w:rPr>
            <w:rStyle w:val="IndexLink"/>
            <w:rFonts w:cs="Verdana" w:ascii="Verdana" w:hAnsi="Verdana"/>
            <w:b w:val="false"/>
            <w:sz w:val="20"/>
            <w:szCs w:val="20"/>
          </w:rPr>
          <w:tab/>
        </w:r>
        <w:r>
          <w:rPr>
            <w:rStyle w:val="IndexLink"/>
            <w:rFonts w:cs="Verdana" w:ascii="Verdana" w:hAnsi="Verdana"/>
            <w:sz w:val="20"/>
            <w:szCs w:val="20"/>
          </w:rPr>
          <w:t>Zhodnocení daňových dopadů transformace</w:t>
          <w:tab/>
          <w:t>39</w:t>
        </w:r>
      </w:hyperlink>
    </w:p>
    <w:p>
      <w:pPr>
        <w:pStyle w:val="Contents2"/>
        <w:tabs>
          <w:tab w:val="left" w:pos="1000" w:leader="none"/>
          <w:tab w:val="right" w:pos="9062" w:leader="dot"/>
        </w:tabs>
        <w:rPr>
          <w:rFonts w:ascii="Verdana" w:hAnsi="Verdana" w:cs="Verdana"/>
          <w:sz w:val="20"/>
          <w:szCs w:val="20"/>
          <w:lang w:val="en-US" w:eastAsia="en-US"/>
        </w:rPr>
      </w:pPr>
      <w:hyperlink w:anchor="__RefHeading___Toc382588298">
        <w:r>
          <w:rPr>
            <w:rStyle w:val="IndexLink"/>
            <w:rFonts w:cs="Verdana" w:ascii="Verdana" w:hAnsi="Verdana"/>
            <w:sz w:val="20"/>
            <w:szCs w:val="20"/>
            <w:lang w:val="en-US" w:eastAsia="en-US"/>
          </w:rPr>
          <w:t>VI.1.</w:t>
          <w:tab/>
          <w:t>DPH</w:t>
          <w:tab/>
          <w:t>39</w:t>
        </w:r>
      </w:hyperlink>
    </w:p>
    <w:p>
      <w:pPr>
        <w:pStyle w:val="Contents2"/>
        <w:tabs>
          <w:tab w:val="left" w:pos="1000" w:leader="none"/>
          <w:tab w:val="right" w:pos="9062" w:leader="dot"/>
        </w:tabs>
        <w:rPr>
          <w:rFonts w:ascii="Verdana" w:hAnsi="Verdana" w:cs="Verdana"/>
          <w:sz w:val="20"/>
          <w:szCs w:val="20"/>
          <w:lang w:val="en-US" w:eastAsia="en-US"/>
        </w:rPr>
      </w:pPr>
      <w:hyperlink w:anchor="__RefHeading___Toc382588299">
        <w:r>
          <w:rPr>
            <w:rStyle w:val="IndexLink"/>
            <w:rFonts w:cs="Verdana" w:ascii="Verdana" w:hAnsi="Verdana"/>
            <w:sz w:val="20"/>
            <w:szCs w:val="20"/>
            <w:lang w:val="en-US" w:eastAsia="en-US"/>
          </w:rPr>
          <w:t>VI.2.</w:t>
          <w:tab/>
          <w:t>Daň z příjmů právnických osob</w:t>
          <w:tab/>
          <w:t>40</w:t>
        </w:r>
      </w:hyperlink>
    </w:p>
    <w:p>
      <w:pPr>
        <w:pStyle w:val="Contents2"/>
        <w:tabs>
          <w:tab w:val="left" w:pos="1000" w:leader="none"/>
          <w:tab w:val="right" w:pos="9062" w:leader="dot"/>
        </w:tabs>
        <w:rPr>
          <w:rFonts w:ascii="Verdana" w:hAnsi="Verdana" w:cs="Verdana"/>
          <w:sz w:val="20"/>
          <w:szCs w:val="20"/>
          <w:lang w:val="en-US" w:eastAsia="en-US"/>
        </w:rPr>
      </w:pPr>
      <w:hyperlink w:anchor="__RefHeading___Toc382588300">
        <w:r>
          <w:rPr>
            <w:rStyle w:val="IndexLink"/>
            <w:rFonts w:cs="Verdana" w:ascii="Verdana" w:hAnsi="Verdana"/>
            <w:sz w:val="20"/>
            <w:szCs w:val="20"/>
            <w:lang w:val="en-US" w:eastAsia="en-US"/>
          </w:rPr>
          <w:t>VI.3.</w:t>
          <w:tab/>
          <w:t>Daň z nabytí nemovitých věcí</w:t>
          <w:tab/>
          <w:t>41</w:t>
        </w:r>
      </w:hyperlink>
    </w:p>
    <w:p>
      <w:pPr>
        <w:pStyle w:val="Contents2"/>
        <w:tabs>
          <w:tab w:val="left" w:pos="1000" w:leader="none"/>
          <w:tab w:val="right" w:pos="9062" w:leader="dot"/>
        </w:tabs>
        <w:rPr>
          <w:rFonts w:ascii="Verdana" w:hAnsi="Verdana" w:cs="Verdana"/>
          <w:sz w:val="20"/>
          <w:szCs w:val="20"/>
          <w:lang w:val="en-US" w:eastAsia="en-US"/>
        </w:rPr>
      </w:pPr>
      <w:hyperlink w:anchor="__RefHeading___Toc382588301">
        <w:r>
          <w:rPr>
            <w:rStyle w:val="IndexLink"/>
            <w:rFonts w:cs="Verdana" w:ascii="Verdana" w:hAnsi="Verdana"/>
            <w:sz w:val="20"/>
            <w:szCs w:val="20"/>
            <w:lang w:val="en-US" w:eastAsia="en-US"/>
          </w:rPr>
          <w:t>VI.4.</w:t>
          <w:tab/>
          <w:t>Daň z nemovitých věcí</w:t>
          <w:tab/>
          <w:t>42</w:t>
        </w:r>
      </w:hyperlink>
    </w:p>
    <w:p>
      <w:pPr>
        <w:pStyle w:val="Contents1"/>
        <w:rPr>
          <w:rFonts w:ascii="Verdana" w:hAnsi="Verdana" w:cs="Verdana"/>
          <w:b w:val="false"/>
          <w:b w:val="false"/>
          <w:sz w:val="20"/>
          <w:szCs w:val="20"/>
        </w:rPr>
      </w:pPr>
      <w:hyperlink w:anchor="__RefHeading___Toc382588302">
        <w:r>
          <w:rPr>
            <w:rStyle w:val="IndexLink"/>
            <w:rFonts w:cs="Verdana" w:ascii="Verdana" w:hAnsi="Verdana"/>
            <w:sz w:val="20"/>
            <w:szCs w:val="20"/>
          </w:rPr>
          <w:t>VII.</w:t>
        </w:r>
        <w:r>
          <w:rPr>
            <w:rStyle w:val="IndexLink"/>
            <w:rFonts w:cs="Verdana" w:ascii="Verdana" w:hAnsi="Verdana"/>
            <w:b w:val="false"/>
            <w:sz w:val="20"/>
            <w:szCs w:val="20"/>
          </w:rPr>
          <w:tab/>
        </w:r>
        <w:r>
          <w:rPr>
            <w:rStyle w:val="IndexLink"/>
            <w:rFonts w:cs="Verdana" w:ascii="Verdana" w:hAnsi="Verdana"/>
            <w:sz w:val="20"/>
            <w:szCs w:val="20"/>
          </w:rPr>
          <w:t>Dopady transformace do personální a mzdové oblasti</w:t>
          <w:tab/>
          <w:t>45</w:t>
        </w:r>
      </w:hyperlink>
    </w:p>
    <w:p>
      <w:pPr>
        <w:pStyle w:val="Contents2"/>
        <w:tabs>
          <w:tab w:val="left" w:pos="1200" w:leader="none"/>
          <w:tab w:val="right" w:pos="9062" w:leader="dot"/>
        </w:tabs>
        <w:rPr>
          <w:rFonts w:ascii="Verdana" w:hAnsi="Verdana" w:cs="Verdana"/>
          <w:sz w:val="20"/>
          <w:szCs w:val="20"/>
          <w:lang w:val="en-US" w:eastAsia="en-US"/>
        </w:rPr>
      </w:pPr>
      <w:hyperlink w:anchor="__RefHeading___Toc382588303">
        <w:r>
          <w:rPr>
            <w:rStyle w:val="IndexLink"/>
            <w:rFonts w:cs="Verdana" w:ascii="Verdana" w:hAnsi="Verdana"/>
            <w:sz w:val="20"/>
            <w:szCs w:val="20"/>
            <w:lang w:val="en-US" w:eastAsia="en-US"/>
          </w:rPr>
          <w:t>VII.1.</w:t>
          <w:tab/>
          <w:t>Obecné zásady</w:t>
          <w:tab/>
          <w:t>45</w:t>
        </w:r>
      </w:hyperlink>
    </w:p>
    <w:p>
      <w:pPr>
        <w:pStyle w:val="Contents2"/>
        <w:tabs>
          <w:tab w:val="left" w:pos="1200" w:leader="none"/>
          <w:tab w:val="right" w:pos="9062" w:leader="dot"/>
        </w:tabs>
        <w:rPr>
          <w:rFonts w:ascii="Verdana" w:hAnsi="Verdana" w:cs="Verdana"/>
          <w:sz w:val="20"/>
          <w:szCs w:val="20"/>
          <w:lang w:val="en-US" w:eastAsia="en-US"/>
        </w:rPr>
      </w:pPr>
      <w:hyperlink w:anchor="__RefHeading___Toc382588304">
        <w:r>
          <w:rPr>
            <w:rStyle w:val="IndexLink"/>
            <w:rFonts w:cs="Verdana" w:ascii="Verdana" w:hAnsi="Verdana"/>
            <w:sz w:val="20"/>
            <w:szCs w:val="20"/>
            <w:lang w:val="en-US" w:eastAsia="en-US"/>
          </w:rPr>
          <w:t>VII.2.</w:t>
          <w:tab/>
          <w:t>Problematika odměňování zaměstnanců</w:t>
          <w:tab/>
          <w:t>46</w:t>
        </w:r>
      </w:hyperlink>
    </w:p>
    <w:p>
      <w:pPr>
        <w:pStyle w:val="Contents1"/>
        <w:rPr>
          <w:rFonts w:ascii="Verdana" w:hAnsi="Verdana" w:cs="Verdana"/>
          <w:b w:val="false"/>
          <w:b w:val="false"/>
          <w:sz w:val="20"/>
          <w:szCs w:val="20"/>
        </w:rPr>
      </w:pPr>
      <w:hyperlink w:anchor="__RefHeading___Toc382588305">
        <w:r>
          <w:rPr>
            <w:rStyle w:val="IndexLink"/>
            <w:rFonts w:cs="Verdana" w:ascii="Verdana" w:hAnsi="Verdana"/>
            <w:sz w:val="20"/>
            <w:szCs w:val="20"/>
          </w:rPr>
          <w:t>VIII.</w:t>
        </w:r>
        <w:r>
          <w:rPr>
            <w:rStyle w:val="IndexLink"/>
            <w:rFonts w:cs="Verdana" w:ascii="Verdana" w:hAnsi="Verdana"/>
            <w:b w:val="false"/>
            <w:sz w:val="20"/>
            <w:szCs w:val="20"/>
          </w:rPr>
          <w:tab/>
        </w:r>
        <w:r>
          <w:rPr>
            <w:rStyle w:val="IndexLink"/>
            <w:rFonts w:cs="Verdana" w:ascii="Verdana" w:hAnsi="Verdana"/>
            <w:sz w:val="20"/>
            <w:szCs w:val="20"/>
          </w:rPr>
          <w:t>Důsledky transformace na AS</w:t>
          <w:tab/>
          <w:t>53</w:t>
        </w:r>
      </w:hyperlink>
    </w:p>
    <w:p>
      <w:pPr>
        <w:pStyle w:val="Contents2"/>
        <w:tabs>
          <w:tab w:val="left" w:pos="1200" w:leader="none"/>
          <w:tab w:val="right" w:pos="9062" w:leader="dot"/>
        </w:tabs>
        <w:rPr>
          <w:rFonts w:ascii="Verdana" w:hAnsi="Verdana" w:cs="Verdana"/>
          <w:sz w:val="20"/>
          <w:szCs w:val="20"/>
          <w:lang w:val="en-US" w:eastAsia="en-US"/>
        </w:rPr>
      </w:pPr>
      <w:hyperlink w:anchor="__RefHeading___Toc382588306">
        <w:r>
          <w:rPr>
            <w:rStyle w:val="IndexLink"/>
            <w:rFonts w:cs="Verdana" w:ascii="Verdana" w:hAnsi="Verdana"/>
            <w:sz w:val="20"/>
            <w:szCs w:val="20"/>
            <w:lang w:val="en-US" w:eastAsia="en-US"/>
          </w:rPr>
          <w:t>VIII.1.</w:t>
          <w:tab/>
          <w:t>Výhody transformace na AS</w:t>
          <w:tab/>
          <w:t>53</w:t>
        </w:r>
      </w:hyperlink>
    </w:p>
    <w:p>
      <w:pPr>
        <w:pStyle w:val="Contents2"/>
        <w:tabs>
          <w:tab w:val="left" w:pos="1200" w:leader="none"/>
          <w:tab w:val="right" w:pos="9062" w:leader="dot"/>
        </w:tabs>
        <w:rPr>
          <w:rFonts w:ascii="Verdana" w:hAnsi="Verdana" w:cs="Verdana"/>
          <w:sz w:val="20"/>
          <w:szCs w:val="20"/>
          <w:lang w:val="en-US" w:eastAsia="en-US"/>
        </w:rPr>
      </w:pPr>
      <w:hyperlink w:anchor="__RefHeading___Toc382588307">
        <w:r>
          <w:rPr>
            <w:rStyle w:val="IndexLink"/>
            <w:rFonts w:cs="Verdana" w:ascii="Verdana" w:hAnsi="Verdana"/>
            <w:sz w:val="20"/>
            <w:szCs w:val="20"/>
            <w:lang w:val="en-US" w:eastAsia="en-US"/>
          </w:rPr>
          <w:t>VIII.2.</w:t>
          <w:tab/>
          <w:t>Nevýhody transformace na AS</w:t>
          <w:tab/>
          <w:t>56</w:t>
        </w:r>
      </w:hyperlink>
    </w:p>
    <w:p>
      <w:pPr>
        <w:pStyle w:val="Contents2"/>
        <w:tabs>
          <w:tab w:val="left" w:pos="1200" w:leader="none"/>
          <w:tab w:val="right" w:pos="9062" w:leader="dot"/>
        </w:tabs>
        <w:rPr>
          <w:rFonts w:ascii="Verdana" w:hAnsi="Verdana" w:cs="Verdana"/>
          <w:sz w:val="20"/>
          <w:szCs w:val="20"/>
          <w:lang w:val="en-US" w:eastAsia="en-US"/>
        </w:rPr>
      </w:pPr>
      <w:hyperlink w:anchor="__RefHeading___Toc382588308">
        <w:r>
          <w:rPr>
            <w:rStyle w:val="IndexLink"/>
            <w:rFonts w:cs="Verdana" w:ascii="Verdana" w:hAnsi="Verdana"/>
            <w:sz w:val="20"/>
            <w:szCs w:val="20"/>
            <w:lang w:val="en-US" w:eastAsia="en-US"/>
          </w:rPr>
          <w:t>VIII.3.</w:t>
          <w:tab/>
          <w:t>SWOT analýza příspěvkové organizace</w:t>
          <w:tab/>
          <w:t>57</w:t>
        </w:r>
      </w:hyperlink>
    </w:p>
    <w:p>
      <w:pPr>
        <w:pStyle w:val="Contents2"/>
        <w:tabs>
          <w:tab w:val="left" w:pos="1200" w:leader="none"/>
          <w:tab w:val="right" w:pos="9062" w:leader="dot"/>
        </w:tabs>
        <w:rPr>
          <w:rFonts w:ascii="Verdana" w:hAnsi="Verdana" w:cs="Verdana"/>
          <w:sz w:val="20"/>
          <w:szCs w:val="20"/>
          <w:lang w:val="en-US" w:eastAsia="en-US"/>
        </w:rPr>
      </w:pPr>
      <w:hyperlink w:anchor="__RefHeading___Toc382588309">
        <w:r>
          <w:rPr>
            <w:rStyle w:val="IndexLink"/>
            <w:rFonts w:cs="Verdana" w:ascii="Verdana" w:hAnsi="Verdana"/>
            <w:sz w:val="20"/>
            <w:szCs w:val="20"/>
            <w:lang w:val="en-US" w:eastAsia="en-US"/>
          </w:rPr>
          <w:t>VIII.4.</w:t>
          <w:tab/>
          <w:t>SWOT analýza akciové společnosti</w:t>
          <w:tab/>
          <w:t>58</w:t>
        </w:r>
      </w:hyperlink>
      <w:r>
        <w:fldChar w:fldCharType="end"/>
      </w:r>
    </w:p>
    <w:p>
      <w:pPr>
        <w:sectPr>
          <w:type w:val="nextPage"/>
          <w:pgSz w:w="11906" w:h="16838"/>
          <w:pgMar w:left="1417" w:right="1417" w:header="0" w:top="1417" w:footer="0" w:bottom="1417" w:gutter="0"/>
          <w:pgNumType w:fmt="decimal"/>
          <w:formProt w:val="false"/>
          <w:textDirection w:val="lrTb"/>
          <w:docGrid w:type="default" w:linePitch="360" w:charSpace="0"/>
        </w:sectPr>
        <w:pStyle w:val="Normal"/>
        <w:spacing w:lineRule="auto" w:line="360"/>
        <w:rPr>
          <w:rFonts w:ascii="Verdana" w:hAnsi="Verdana" w:cs="Verdana"/>
          <w:sz w:val="20"/>
          <w:szCs w:val="20"/>
          <w:lang w:val="en-US" w:eastAsia="en-US"/>
        </w:rPr>
      </w:pPr>
      <w:r>
        <w:rPr>
          <w:rFonts w:cs="Verdana" w:ascii="Verdana" w:hAnsi="Verdana"/>
          <w:sz w:val="20"/>
          <w:szCs w:val="20"/>
          <w:lang w:val="en-US" w:eastAsia="en-US"/>
        </w:rPr>
      </w:r>
    </w:p>
    <w:p>
      <w:pPr>
        <w:pStyle w:val="Normal"/>
        <w:spacing w:lineRule="auto" w:line="360"/>
        <w:rPr/>
      </w:pPr>
      <w:r>
        <w:rPr>
          <w:rFonts w:cs="Tahoma" w:ascii="Verdana" w:hAnsi="Verdana"/>
          <w:b/>
          <w:color w:val="005DAB"/>
          <w:sz w:val="28"/>
          <w:szCs w:val="28"/>
        </w:rPr>
        <w:t>Použité zkr</w:t>
      </w:r>
      <w:r>
        <w:rPr/>
        <w:t>atky:</w:t>
      </w:r>
    </w:p>
    <w:tbl>
      <w:tblPr>
        <w:tblW w:w="9022" w:type="dxa"/>
        <w:jc w:val="left"/>
        <w:tblInd w:w="53"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1632"/>
        <w:gridCol w:w="238"/>
        <w:gridCol w:w="7152"/>
      </w:tblGrid>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AS</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pPr>
            <w:r>
              <w:rPr>
                <w:rFonts w:cs="Arial" w:ascii="Verdana" w:hAnsi="Verdana"/>
                <w:sz w:val="20"/>
                <w:szCs w:val="20"/>
              </w:rPr>
              <w:t>Akciová společnost</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BESIP</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Bezpečnost silničního provozu</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ČR</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Česká republika</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EU</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Evropská unie</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HMP</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Hlavní město Praha</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IAD</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Individuální automobilová doprava</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ISPV</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Informační systém o průměrném výdělku</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KPI</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Key Performance Indicators – klíčové ukazatele výkonnosti</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MČ</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Městské části</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MHD</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Městská hromadná doprava</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PO</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Příspěvková organizace</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SDEU</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Soudní dvůr Evropské unie</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SFDI</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Státní fond dopravní infrastruktury</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TSK</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bCs/>
                <w:iCs/>
                <w:sz w:val="20"/>
                <w:szCs w:val="20"/>
              </w:rPr>
              <w:t>Technická správa komunikací hlavního města Prahy</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ÚSC</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bCs/>
                <w:iCs/>
                <w:sz w:val="20"/>
                <w:szCs w:val="20"/>
              </w:rPr>
            </w:pPr>
            <w:r>
              <w:rPr>
                <w:rFonts w:cs="Arial" w:ascii="Verdana" w:hAnsi="Verdana"/>
                <w:bCs/>
                <w:iCs/>
                <w:sz w:val="20"/>
                <w:szCs w:val="20"/>
              </w:rPr>
              <w:t>Územně samosprávné celky</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VHD</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Verdana" w:hAnsi="Verdana" w:cs="Arial"/>
                <w:bCs/>
                <w:iCs/>
                <w:sz w:val="20"/>
                <w:szCs w:val="20"/>
              </w:rPr>
            </w:pPr>
            <w:r>
              <w:rPr>
                <w:rFonts w:cs="Arial" w:ascii="Verdana" w:hAnsi="Verdana"/>
                <w:bCs/>
                <w:iCs/>
                <w:sz w:val="20"/>
                <w:szCs w:val="20"/>
              </w:rPr>
              <w:t>Veřejná hromadná doprava</w:t>
            </w:r>
          </w:p>
        </w:tc>
      </w:tr>
    </w:tbl>
    <w:p>
      <w:pPr>
        <w:pStyle w:val="Normal"/>
        <w:rPr/>
      </w:pPr>
      <w:r>
        <w:rPr/>
      </w:r>
      <w:r>
        <w:br w:type="page"/>
      </w:r>
    </w:p>
    <w:p>
      <w:pPr>
        <w:pStyle w:val="Normal"/>
        <w:spacing w:lineRule="auto" w:line="360"/>
        <w:rPr/>
      </w:pPr>
      <w:r>
        <w:rPr/>
        <w:t>Použité právní předpisy ČR:</w:t>
      </w:r>
    </w:p>
    <w:tbl>
      <w:tblPr>
        <w:tblW w:w="9022" w:type="dxa"/>
        <w:jc w:val="left"/>
        <w:tblInd w:w="53"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1632"/>
        <w:gridCol w:w="238"/>
        <w:gridCol w:w="7152"/>
      </w:tblGrid>
      <w:tr>
        <w:trPr>
          <w:trHeight w:val="740"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nařízení 659/1999/ES</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bCs/>
                <w:sz w:val="20"/>
                <w:szCs w:val="20"/>
              </w:rPr>
            </w:pPr>
            <w:r>
              <w:rPr>
                <w:rFonts w:cs="Verdana" w:ascii="Verdana" w:hAnsi="Verdana"/>
                <w:sz w:val="20"/>
                <w:szCs w:val="20"/>
              </w:rPr>
              <w:t>nařízení rady (ES) č. 659/1999 ze dne 22. března 1999, kterým se stanoví prováděcí pravidla k článku 93 Smlouvy o ES, ve znění pozdějších předpisů</w:t>
            </w:r>
          </w:p>
        </w:tc>
      </w:tr>
      <w:tr>
        <w:trPr>
          <w:trHeight w:val="740"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nový občanský zákoník; NOZ</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bCs/>
                <w:sz w:val="20"/>
                <w:szCs w:val="20"/>
              </w:rPr>
            </w:pPr>
            <w:r>
              <w:rPr>
                <w:rFonts w:cs="Verdana" w:ascii="Verdana" w:hAnsi="Verdana"/>
                <w:bCs/>
                <w:sz w:val="20"/>
                <w:szCs w:val="20"/>
              </w:rPr>
              <w:t>zákon č. 89/2012 Sb., občanský zákoník, ve znění pozdějších předpisů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Normal"/>
              <w:rPr>
                <w:rFonts w:ascii="Verdana" w:hAnsi="Verdana" w:cs="Verdana"/>
                <w:sz w:val="20"/>
                <w:szCs w:val="20"/>
              </w:rPr>
            </w:pPr>
            <w:r>
              <w:rPr>
                <w:rFonts w:cs="Verdana" w:ascii="Verdana" w:hAnsi="Verdana"/>
                <w:sz w:val="20"/>
                <w:szCs w:val="20"/>
              </w:rPr>
              <w:t>SEU</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Normal"/>
              <w:rPr>
                <w:rFonts w:ascii="Verdana" w:hAnsi="Verdana" w:cs="Verdana"/>
                <w:sz w:val="20"/>
                <w:szCs w:val="20"/>
              </w:rPr>
            </w:pPr>
            <w:r>
              <w:rPr>
                <w:rFonts w:cs="Verdana"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Normal"/>
              <w:rPr>
                <w:rFonts w:ascii="Verdana" w:hAnsi="Verdana" w:cs="Verdana"/>
                <w:sz w:val="20"/>
                <w:szCs w:val="20"/>
              </w:rPr>
            </w:pPr>
            <w:r>
              <w:rPr>
                <w:rFonts w:cs="Verdana" w:ascii="Verdana" w:hAnsi="Verdana"/>
                <w:sz w:val="20"/>
                <w:szCs w:val="20"/>
              </w:rPr>
              <w:t>Smlouva o Evropské unii, konsolidované znění, uveřejněné v Úředním věstníku Evropské unie dne 26. října 2012, 2012/C 326/01</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SFEU</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Smlouva o fungování Evropské unie, konsolidované znění, uveřejněné v Úředním věstníku Evropské unie dne 26. října 2012, 2012/C 326/01</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zákon o dani z nemovitých věcí; ZDN</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sz w:val="20"/>
                <w:szCs w:val="20"/>
              </w:rPr>
            </w:pPr>
            <w:r>
              <w:rPr>
                <w:rFonts w:cs="Verdana" w:ascii="Verdana" w:hAnsi="Verdana"/>
                <w:sz w:val="20"/>
                <w:szCs w:val="20"/>
              </w:rPr>
              <w:t>zákon č. 338/1992 Sb., o dani z nemovitých věcí, ve znění pozdějších předpisů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pPr>
            <w:r>
              <w:rPr>
                <w:rFonts w:cs="Verdana" w:ascii="Verdana" w:hAnsi="Verdana"/>
                <w:sz w:val="20"/>
                <w:szCs w:val="20"/>
              </w:rPr>
              <w:t>zákon o dani z přidané hodnoty; ZDPH</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bCs/>
                <w:sz w:val="20"/>
                <w:szCs w:val="20"/>
              </w:rPr>
            </w:pPr>
            <w:r>
              <w:rPr>
                <w:rFonts w:cs="Verdana" w:ascii="Verdana" w:hAnsi="Verdana"/>
                <w:sz w:val="20"/>
                <w:szCs w:val="20"/>
              </w:rPr>
              <w:t>zákon č. 235/2004 Sb., o dani z přidané hodnoty, ve znění pozdějších předpisů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zákon o daních z příjmů; ZDP</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bCs/>
                <w:sz w:val="20"/>
                <w:szCs w:val="20"/>
              </w:rPr>
            </w:pPr>
            <w:r>
              <w:rPr>
                <w:rFonts w:cs="Verdana" w:ascii="Verdana" w:hAnsi="Verdana"/>
                <w:sz w:val="20"/>
                <w:szCs w:val="20"/>
              </w:rPr>
              <w:t>zákon č. 586/1992 Sb., o daních z příjmů, ve znění pozdějších předpisů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zákon o obchodních korporacích; ZOK</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bCs/>
                <w:sz w:val="20"/>
                <w:szCs w:val="20"/>
              </w:rPr>
            </w:pPr>
            <w:r>
              <w:rPr>
                <w:rFonts w:cs="Verdana" w:ascii="Verdana" w:hAnsi="Verdana"/>
                <w:bCs/>
                <w:sz w:val="20"/>
                <w:szCs w:val="20"/>
              </w:rPr>
              <w:t>zákon č. 90/2012 Sb., o obchodních korporacích, ve znění pozdějších předpisů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Normal"/>
              <w:rPr>
                <w:rFonts w:ascii="Verdana" w:hAnsi="Verdana" w:cs="Verdana"/>
                <w:sz w:val="20"/>
                <w:szCs w:val="20"/>
              </w:rPr>
            </w:pPr>
            <w:r>
              <w:rPr>
                <w:rFonts w:cs="Verdana" w:ascii="Verdana" w:hAnsi="Verdana"/>
                <w:sz w:val="20"/>
                <w:szCs w:val="20"/>
              </w:rPr>
              <w:t>zákon o trojdani; ZDDDN</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sz w:val="20"/>
                <w:szCs w:val="20"/>
              </w:rPr>
            </w:pPr>
            <w:r>
              <w:rPr>
                <w:rFonts w:cs="Verdana" w:ascii="Verdana" w:hAnsi="Verdana"/>
                <w:sz w:val="20"/>
                <w:szCs w:val="20"/>
              </w:rPr>
              <w:t>zákon č. 357/1992 Sb., o dani dědické, dani darovací a dani z převodu nemovitostí, ve znění pozdějších předpisů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Normal"/>
              <w:rPr>
                <w:rFonts w:ascii="Verdana" w:hAnsi="Verdana" w:cs="Verdana"/>
                <w:sz w:val="20"/>
                <w:szCs w:val="20"/>
              </w:rPr>
            </w:pPr>
            <w:r>
              <w:rPr>
                <w:rFonts w:cs="Verdana" w:ascii="Verdana" w:hAnsi="Verdana"/>
                <w:sz w:val="20"/>
                <w:szCs w:val="20"/>
              </w:rPr>
              <w:t>zákon o veřejných podporách</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bCs/>
                <w:sz w:val="20"/>
                <w:szCs w:val="20"/>
              </w:rPr>
            </w:pPr>
            <w:r>
              <w:rPr>
                <w:rFonts w:cs="Verdana" w:ascii="Verdana" w:hAnsi="Verdana"/>
                <w:sz w:val="20"/>
                <w:szCs w:val="20"/>
              </w:rPr>
              <w:t>zákon č. 215/2004 Sb., o úpravě některých vztahů v oblasti veřejné podpory a o změně zákona o podpoře výzkumu a vývoje, ve znění pozdějších předpisů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zákon o veřejných zakázkách; ZVZ</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bCs/>
                <w:sz w:val="20"/>
                <w:szCs w:val="20"/>
              </w:rPr>
            </w:pPr>
            <w:r>
              <w:rPr>
                <w:rFonts w:cs="Verdana" w:ascii="Verdana" w:hAnsi="Verdana"/>
                <w:bCs/>
                <w:sz w:val="20"/>
                <w:szCs w:val="20"/>
              </w:rPr>
              <w:t>zákona č. 137/2006 Sb., o veřejných zakázkách, ve znění pozdějších předpisů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zákoník práce; ZPr</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bCs/>
                <w:sz w:val="20"/>
                <w:szCs w:val="20"/>
              </w:rPr>
            </w:pPr>
            <w:r>
              <w:rPr>
                <w:rFonts w:cs="Verdana" w:ascii="Verdana" w:hAnsi="Verdana"/>
                <w:bCs/>
                <w:sz w:val="20"/>
                <w:szCs w:val="20"/>
              </w:rPr>
              <w:t>zákon č. 262/2006 Sb., zákoník práce, ve znění pozdějších předpisů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rFonts w:ascii="Verdana" w:hAnsi="Verdana" w:cs="Verdana"/>
                <w:sz w:val="20"/>
                <w:szCs w:val="20"/>
              </w:rPr>
            </w:pPr>
            <w:r>
              <w:rPr>
                <w:rFonts w:cs="Verdana" w:ascii="Verdana" w:hAnsi="Verdana"/>
                <w:sz w:val="20"/>
                <w:szCs w:val="20"/>
              </w:rPr>
              <w:t>zákonné opatření Senátu</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bCs/>
                <w:sz w:val="20"/>
                <w:szCs w:val="20"/>
              </w:rPr>
            </w:pPr>
            <w:r>
              <w:rPr>
                <w:rFonts w:cs="Verdana" w:ascii="Verdana" w:hAnsi="Verdana"/>
                <w:sz w:val="20"/>
                <w:szCs w:val="20"/>
              </w:rPr>
              <w:t>zákonné opatření Senátu č. 344/2013 Sb., o změně některých zákonů v souvislosti s rekodifikací soukromého práva a o změně některých zákonů</w:t>
            </w:r>
          </w:p>
        </w:tc>
      </w:tr>
      <w:tr>
        <w:trPr>
          <w:trHeight w:val="404" w:hRule="atLeast"/>
        </w:trPr>
        <w:tc>
          <w:tcPr>
            <w:tcW w:w="163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rPr/>
            </w:pPr>
            <w:r>
              <w:rPr>
                <w:rFonts w:cs="Verdana" w:ascii="Verdana" w:hAnsi="Verdana"/>
                <w:sz w:val="20"/>
                <w:szCs w:val="20"/>
              </w:rPr>
              <w:t>zákonné opatření Senátu o DNN</w:t>
            </w:r>
          </w:p>
        </w:tc>
        <w:tc>
          <w:tcPr>
            <w:tcW w:w="23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Verdana" w:hAnsi="Verdana" w:cs="Arial"/>
                <w:sz w:val="20"/>
                <w:szCs w:val="20"/>
              </w:rPr>
            </w:pPr>
            <w:r>
              <w:rPr>
                <w:rFonts w:cs="Arial" w:ascii="Verdana" w:hAnsi="Verdana"/>
                <w:sz w:val="20"/>
                <w:szCs w:val="20"/>
              </w:rPr>
              <w:t>-</w:t>
            </w:r>
          </w:p>
        </w:tc>
        <w:tc>
          <w:tcPr>
            <w:tcW w:w="71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pacing w:before="0" w:after="240"/>
              <w:rPr>
                <w:rFonts w:ascii="Verdana" w:hAnsi="Verdana" w:cs="Verdana"/>
                <w:sz w:val="20"/>
                <w:szCs w:val="20"/>
              </w:rPr>
            </w:pPr>
            <w:r>
              <w:rPr>
                <w:rFonts w:cs="Verdana" w:ascii="Verdana" w:hAnsi="Verdana"/>
                <w:sz w:val="20"/>
                <w:szCs w:val="20"/>
              </w:rPr>
              <w:t>zákonné opatření Senátu č. 340/2013 Sb., o dani z nabytí nemovitých věcí</w:t>
            </w:r>
          </w:p>
        </w:tc>
      </w:tr>
    </w:tbl>
    <w:p>
      <w:pPr>
        <w:pStyle w:val="Normal"/>
        <w:rPr/>
      </w:pPr>
      <w:r>
        <w:rPr/>
      </w:r>
      <w:r>
        <w:br w:type="page"/>
      </w:r>
    </w:p>
    <w:p>
      <w:pPr>
        <w:pStyle w:val="Stanovisko1"/>
        <w:numPr>
          <w:ilvl w:val="0"/>
          <w:numId w:val="0"/>
        </w:numPr>
        <w:ind w:left="0" w:hanging="0"/>
        <w:rPr/>
      </w:pPr>
      <w:bookmarkStart w:id="0" w:name="__RefHeading___Toc382588285"/>
      <w:bookmarkEnd w:id="0"/>
      <w:r>
        <w:rPr/>
        <w:t>Manažerské shrnutí</w:t>
      </w:r>
    </w:p>
    <w:p>
      <w:pPr>
        <w:pStyle w:val="Stanoviskotext"/>
        <w:rPr/>
      </w:pPr>
      <w:r>
        <w:rPr/>
        <w:t>Technická správa komunikací jako příspěvková organizace zřízená hlavním městem Prahou za účelem opravy a údržby jeho komunikací hospodaří:</w:t>
      </w:r>
    </w:p>
    <w:p>
      <w:pPr>
        <w:pStyle w:val="Stanoviskotext"/>
        <w:numPr>
          <w:ilvl w:val="0"/>
          <w:numId w:val="15"/>
        </w:numPr>
        <w:tabs>
          <w:tab w:val="left" w:pos="360" w:leader="none"/>
          <w:tab w:val="left" w:pos="540" w:leader="none"/>
        </w:tabs>
        <w:spacing w:before="0" w:after="0"/>
        <w:ind w:left="538" w:hanging="357"/>
        <w:rPr/>
      </w:pPr>
      <w:r>
        <w:rPr/>
        <w:t>vlastním jménem a na vlastní účet s finančními prostředky generovanými činností vykonávanou pro hl. m. Prahu - v roce 2013 činily tyto prostředky cca 220 mil. Kč (včetně neinvestiční dotace na pokrytí části nákladů ve výši 72 mil. Kč);</w:t>
      </w:r>
    </w:p>
    <w:p>
      <w:pPr>
        <w:pStyle w:val="Stanoviskotext"/>
        <w:numPr>
          <w:ilvl w:val="0"/>
          <w:numId w:val="15"/>
        </w:numPr>
        <w:tabs>
          <w:tab w:val="left" w:pos="360" w:leader="none"/>
          <w:tab w:val="left" w:pos="540" w:leader="none"/>
        </w:tabs>
        <w:spacing w:before="0" w:after="0"/>
        <w:ind w:left="538" w:hanging="357"/>
        <w:rPr/>
      </w:pPr>
      <w:r>
        <w:rPr/>
        <w:t>vlastním jménem a na vlastní účet s finančními prostředky generovanými vlastní podnikatelskou činností – doplňková činnost - v roce 2013 činily prostředky generované touto činností cca 48 mil. Kč;</w:t>
      </w:r>
    </w:p>
    <w:p>
      <w:pPr>
        <w:pStyle w:val="Stanoviskotext"/>
        <w:numPr>
          <w:ilvl w:val="0"/>
          <w:numId w:val="15"/>
        </w:numPr>
        <w:tabs>
          <w:tab w:val="left" w:pos="360" w:leader="none"/>
          <w:tab w:val="left" w:pos="540" w:leader="none"/>
        </w:tabs>
        <w:spacing w:before="0" w:after="0"/>
        <w:ind w:left="538" w:hanging="357"/>
        <w:rPr/>
      </w:pPr>
      <w:r>
        <w:rPr/>
        <w:t>s finančními prostředky hl. města Prahy na účet hl. města Prahy - v roce 2013 činily tyto prostředky cca 3,4 mld. Kč.</w:t>
      </w:r>
    </w:p>
    <w:p>
      <w:pPr>
        <w:pStyle w:val="Stanoviskotext"/>
        <w:rPr/>
      </w:pPr>
      <w:r>
        <w:rPr/>
        <w:t>Rada hlavního města Prahy zvažuje změnu právní formy TSK z příspěvkové organizace na obchodní společnost.</w:t>
      </w:r>
    </w:p>
    <w:p>
      <w:pPr>
        <w:pStyle w:val="Stanoviskotext"/>
        <w:rPr>
          <w:highlight w:val="yellow"/>
        </w:rPr>
      </w:pPr>
      <w:r>
        <w:rPr/>
        <w:t>Z ekonomického hlediska s sebou transformace přinese jak jednorázové transakční náklady spojené se samotným procesem transformace jako takové, tak zvýšené náklady týkající se zejména dopadů do daňových povinností nově vzniklé obchodní společnosti. V důsledku daně z nemovitých věcí se v závislosti na tom, jaké nemovité věci budou nabyty obchodní společností, jedná o částku v řádu desetitisíců korun. Nově vzniklá obchodní společnost bude dále uplatňovat DPH na veškerá plnění poskytovaná pro HMP. Protože poskytovaná plnění využívá HMP zejména pro jinou než ekonomickou činnost, nepřiznává mu zákon o dani z přidané hodnoty nárok na odpočet daně. Dopady transformace TSK by tak pro rozpočet HMP mohly dle naší analýzy představovat dodatečné zatížení ve výši až 41 mil. Kč. Toto navýšení pro rozpočet HMP by mohlo být na druhou stranu zmírněno, pokud by bylo možné aplikovat nižší než uvažovanou marži (na základě provedení studie transferových cen zohledňující specifické postavení TSK na trhu) nebo v případě, pokud by HMP přistoupilo k tržnímu ohodnocení využívání svého majetku v rámci dnešní doplňkové činnosti TSK, čímž by došlo k dodatečnému navýšení příjmů HMP, které by kompenzovalo toto dodatečné navýšení výdajů (zisk TSK z vedlejší činnosti činí cca 17 mil. Kč po zdanění).</w:t>
      </w:r>
    </w:p>
    <w:p>
      <w:pPr>
        <w:pStyle w:val="Stanoviskotext"/>
        <w:rPr/>
      </w:pPr>
      <w:r>
        <w:rPr/>
        <w:t>Dosavadní činnost TSK by po transformaci na obchodní společnost mohla být hrazena:</w:t>
      </w:r>
    </w:p>
    <w:p>
      <w:pPr>
        <w:pStyle w:val="Stanoviskotext"/>
        <w:numPr>
          <w:ilvl w:val="0"/>
          <w:numId w:val="14"/>
        </w:numPr>
        <w:spacing w:before="0" w:after="0"/>
        <w:rPr/>
      </w:pPr>
      <w:r>
        <w:rPr/>
        <w:t>formou paušálního poplatku, který bude hl. m. Praha hradit akciové společnosti bez ohledu na objem spravovaného majetku;</w:t>
      </w:r>
    </w:p>
    <w:p>
      <w:pPr>
        <w:pStyle w:val="Stanoviskotext"/>
        <w:numPr>
          <w:ilvl w:val="0"/>
          <w:numId w:val="14"/>
        </w:numPr>
        <w:tabs>
          <w:tab w:val="left" w:pos="360" w:leader="none"/>
          <w:tab w:val="left" w:pos="540" w:leader="none"/>
        </w:tabs>
        <w:spacing w:before="0" w:after="0"/>
        <w:rPr/>
      </w:pPr>
      <w:r>
        <w:rPr/>
        <w:t>formou odměny odrážející výši účelně vynaložených nákladů na správu spravovaného majetku doplněné o přiměřenou ziskovou marži;</w:t>
      </w:r>
    </w:p>
    <w:p>
      <w:pPr>
        <w:pStyle w:val="Stanoviskotext"/>
        <w:numPr>
          <w:ilvl w:val="0"/>
          <w:numId w:val="14"/>
        </w:numPr>
        <w:tabs>
          <w:tab w:val="left" w:pos="360" w:leader="none"/>
          <w:tab w:val="left" w:pos="540" w:leader="none"/>
        </w:tabs>
        <w:spacing w:before="0" w:after="0"/>
        <w:rPr/>
      </w:pPr>
      <w:r>
        <w:rPr/>
        <w:t>formou odměny za dílo se zohledněním nákladů, které obvykle nese zadavatel (např. náklady na zadávání veřejných zakázek).</w:t>
      </w:r>
    </w:p>
    <w:p>
      <w:pPr>
        <w:pStyle w:val="Stanoviskotext"/>
        <w:rPr/>
      </w:pPr>
      <w:r>
        <w:rPr/>
        <w:t>Sjednané částky a příslušné ziskové marže musí být sjednány ve výši a za podmínek obvyklých v obchodním styku. Z dostupného srovnání se společnostmi, které rovněž vykonávají správu a údržbu komunikací, a správcovskými společnostmi, jejichž činnost je náplní TSK nejbližší, vyplynula orientační výše ziskové marže v průměrné výši 8 %.</w:t>
      </w:r>
    </w:p>
    <w:p>
      <w:pPr>
        <w:pStyle w:val="Stanoviskotext"/>
        <w:rPr/>
      </w:pPr>
      <w:r>
        <w:rPr/>
        <w:t>Dalším finančním dopadem transformace mohou být zvýšené nároky na odměňování zaměstnanců, které mohou dosáhnout hodnoty v čase více než 20 mil. Kč.</w:t>
      </w:r>
    </w:p>
    <w:p>
      <w:pPr>
        <w:pStyle w:val="Stanoviskotext"/>
        <w:rPr/>
      </w:pPr>
      <w:r>
        <w:rPr/>
        <w:t>Za pozitivní dopady transformace příspěvkové organizace na akciovou společnost lze považovat zejména tyto skutečnosti:</w:t>
      </w:r>
    </w:p>
    <w:p>
      <w:pPr>
        <w:pStyle w:val="Stanoviskotext"/>
        <w:numPr>
          <w:ilvl w:val="0"/>
          <w:numId w:val="16"/>
        </w:numPr>
        <w:rPr/>
      </w:pPr>
      <w:r>
        <w:rPr/>
        <w:t>jedná se o obvyklou právní formu, která je pro třetí subjekty jasně rozeznatelná;</w:t>
      </w:r>
    </w:p>
    <w:p>
      <w:pPr>
        <w:pStyle w:val="Stanoviskotext"/>
        <w:numPr>
          <w:ilvl w:val="0"/>
          <w:numId w:val="16"/>
        </w:numPr>
        <w:rPr/>
      </w:pPr>
      <w:r>
        <w:rPr/>
        <w:t>jedná se o nezávislý podnikatelský subjekt s vlastním majetkem, jímž zároveň odpovídá za porušení svých závazků, a je tak motivován snižovat své náklady a zajišťovat co nejefektivněji své činnosti a investice;</w:t>
      </w:r>
    </w:p>
    <w:p>
      <w:pPr>
        <w:pStyle w:val="Stanoviskotext"/>
        <w:numPr>
          <w:ilvl w:val="0"/>
          <w:numId w:val="16"/>
        </w:numPr>
        <w:rPr/>
      </w:pPr>
      <w:r>
        <w:rPr/>
        <w:t>možnost motivace managementu pomocí KPI;</w:t>
      </w:r>
    </w:p>
    <w:p>
      <w:pPr>
        <w:pStyle w:val="Stanoviskotext"/>
        <w:numPr>
          <w:ilvl w:val="0"/>
          <w:numId w:val="16"/>
        </w:numPr>
        <w:rPr/>
      </w:pPr>
      <w:r>
        <w:rPr/>
        <w:t>akcionáři neručí za její závazky;</w:t>
      </w:r>
    </w:p>
    <w:p>
      <w:pPr>
        <w:pStyle w:val="Stanoviskotext"/>
        <w:numPr>
          <w:ilvl w:val="0"/>
          <w:numId w:val="16"/>
        </w:numPr>
        <w:rPr/>
      </w:pPr>
      <w:r>
        <w:rPr/>
        <w:t>jasně definovaná odpovědnost členů řídících orgánů při výkonu funkce;</w:t>
      </w:r>
    </w:p>
    <w:p>
      <w:pPr>
        <w:pStyle w:val="Stanoviskotext"/>
        <w:numPr>
          <w:ilvl w:val="0"/>
          <w:numId w:val="16"/>
        </w:numPr>
        <w:rPr/>
      </w:pPr>
      <w:r>
        <w:rPr/>
        <w:t>umožňuje ochranu zájmů akcionářů i třetích osob;</w:t>
      </w:r>
    </w:p>
    <w:p>
      <w:pPr>
        <w:pStyle w:val="Stanoviskotext"/>
        <w:numPr>
          <w:ilvl w:val="0"/>
          <w:numId w:val="16"/>
        </w:numPr>
        <w:rPr/>
      </w:pPr>
      <w:r>
        <w:rPr/>
        <w:t>ze zisku jedné činnosti může být financována ztráta jiných činností;</w:t>
      </w:r>
    </w:p>
    <w:p>
      <w:pPr>
        <w:pStyle w:val="Stanoviskotext"/>
        <w:numPr>
          <w:ilvl w:val="0"/>
          <w:numId w:val="16"/>
        </w:numPr>
        <w:rPr/>
      </w:pPr>
      <w:r>
        <w:rPr/>
        <w:t>možnost uplatnit ztrátu z hlavní činnosti v následujících zdaňovacích obdobích.</w:t>
      </w:r>
    </w:p>
    <w:p>
      <w:pPr>
        <w:pStyle w:val="Stanoviskotext"/>
        <w:rPr/>
      </w:pPr>
      <w:r>
        <w:rPr/>
        <w:t>Vzhledem ke skutečnosti, že výše uvedené výhody transformace, narozdíl od vyčíslených negativních dopadů, nelze kvantitativně vymezit, a jejich konečné důsledky budou záviset jak na konkrétní podobě transformace, která bude zvolena, tak též na konkrétních preferencích zřizovatele, nelze z ekonomického hlediska jednoznačné vyslovit doporučení pro nebo proti transformaci. Je tedy na zvážení a rozhodnutí zřizovatele příspěvkové organizace, zda uvedená pozitiva převáží nad vyčíslenými finančními náklady s transformací spojené.</w:t>
      </w:r>
      <w:r>
        <w:br w:type="page"/>
      </w:r>
    </w:p>
    <w:p>
      <w:pPr>
        <w:pStyle w:val="Stanovisko1"/>
        <w:numPr>
          <w:ilvl w:val="0"/>
          <w:numId w:val="2"/>
        </w:numPr>
        <w:tabs>
          <w:tab w:val="left" w:pos="1080" w:leader="none"/>
        </w:tabs>
        <w:ind w:left="1080" w:hanging="1080"/>
        <w:rPr/>
      </w:pPr>
      <w:bookmarkStart w:id="1" w:name="__RefHeading___Toc382588286"/>
      <w:bookmarkEnd w:id="1"/>
      <w:r>
        <w:rPr/>
        <w:t>Úvod</w:t>
      </w:r>
    </w:p>
    <w:p>
      <w:pPr>
        <w:pStyle w:val="Stanoviskotext"/>
        <w:rPr/>
      </w:pPr>
      <w:r>
        <w:rPr/>
        <w:t>Za účelem prověření vhodnosti právní formy organizace, která pro město zajišťuje většinu služeb spojených s majetkovou správou komunikací, a jejího zmocnění k právním úkonům, se Rada hlavního města Prahy usnesla, že by po ekonomické a právní stránce měla být prověřena možnost změny právní formy Technické správy komunikací hlavního města Prahy z příspěvkové organizace na obchodní společnost. Za tímto účelem bylo osobě pověřené řízením Technické správy komunikací hlavního města Prahy uloženo zajistit zpracování ekonomického a právního vyhodnocení možné právní formy Technické správy komunikací hlavního města Prahy z příspěvkové organizace na obchodní společnost. Dne 22. 1. 2014 byla proto se zhotovitelem uzavřena smlouva o poskytnutí služby, jejímž předmětem je poskytnutí ekonomického poradenství souvisejícího s plánovanou změnou právní formy objednatele z příspěvkové organizace na obchodní společnost (akciovou společnost). Právní stanovisko k transformaci TSK na obchodní korporaci bylo vypracováno advokátní kanceláří Becker a Poliakoff, s.r.o..</w:t>
      </w:r>
    </w:p>
    <w:p>
      <w:pPr>
        <w:pStyle w:val="Stanoviskotext"/>
        <w:rPr/>
      </w:pPr>
      <w:r>
        <w:rPr/>
        <w:t>V souladu se shora vymezeným předmětem smlouvy obsahuje předkládaný materiál zhodnocení ekonomických aspektů, jež transformace příspěvkové organizace na obchodní společnost představuje, včetně upozornění na případné výhody a nevýhody, které s sebou změna stávajícího stavu může přinést.</w:t>
      </w:r>
    </w:p>
    <w:p>
      <w:pPr>
        <w:pStyle w:val="Stanoviskotext"/>
        <w:rPr/>
      </w:pPr>
      <w:r>
        <w:rPr/>
        <w:t>Při zpracovávání tohoto materiálu vycházel zhotovitel ze zhodnocení současného ekonomického postavení TSK, přičemž zohlednil i zkušenosti, které byly získány díky již proběhlému procesu transformace u subjektů Brněnské komunikace a.s. a Ostravské komunikace, a.s.. Studie se dále postupně zabývá ekonomickými dopady transformace, a to nejprve jednorázovými dopady spojenými přímo s procesem transformace jako takovým, a dále s ekonomickými a daňovými dopady, které bude mít provedená transformace na hospodaření nově vzniklého právního subjektu. Závěrem tohoto materiálu jsou uvedeny důsledky transformace TSK na obchodní společnost upozorněním na výhody a nevýhody provedení této transakce oproti ponechání status quo a pomocí SWOT analýzy obou právních forem provedené z pohledu zřizovatele.</w:t>
      </w:r>
    </w:p>
    <w:p>
      <w:pPr>
        <w:pStyle w:val="Stanoviskotext"/>
        <w:rPr/>
      </w:pPr>
      <w:r>
        <w:rPr/>
        <w:t>V návaznosti na právní stanovisko advokátní kanceláře Becker a Poliakoff, s.r.o. poskytnuté zhotoviteli dne 5. 3. 2014 byla provedena korekce původního materiálu s cílem eliminovat duplicity, zejména co se týče právních závěrů.</w:t>
      </w:r>
      <w:r>
        <w:br w:type="page"/>
      </w:r>
    </w:p>
    <w:p>
      <w:pPr>
        <w:pStyle w:val="Stanovisko1"/>
        <w:numPr>
          <w:ilvl w:val="0"/>
          <w:numId w:val="2"/>
        </w:numPr>
        <w:tabs>
          <w:tab w:val="left" w:pos="1080" w:leader="none"/>
        </w:tabs>
        <w:ind w:left="1080" w:hanging="1080"/>
        <w:rPr/>
      </w:pPr>
      <w:bookmarkStart w:id="2" w:name="__RefHeading___Toc382588287"/>
      <w:bookmarkEnd w:id="2"/>
      <w:r>
        <w:rPr/>
        <w:t>Zhodnocení současného ekonomického postavení</w:t>
      </w:r>
    </w:p>
    <w:p>
      <w:pPr>
        <w:pStyle w:val="Stanovisko2"/>
        <w:numPr>
          <w:ilvl w:val="1"/>
          <w:numId w:val="2"/>
        </w:numPr>
        <w:tabs>
          <w:tab w:val="left" w:pos="1080" w:leader="none"/>
        </w:tabs>
        <w:ind w:left="1080" w:hanging="1080"/>
        <w:rPr/>
      </w:pPr>
      <w:bookmarkStart w:id="3" w:name="__RefHeading___Toc382588288"/>
      <w:bookmarkEnd w:id="3"/>
      <w:r>
        <w:rPr/>
        <w:t>Předmět činnosti TSK a spravovaný majetek</w:t>
      </w:r>
    </w:p>
    <w:p>
      <w:pPr>
        <w:pStyle w:val="Stanoviskotext"/>
        <w:rPr/>
      </w:pPr>
      <w:r>
        <w:rPr/>
        <w:t>Od roku 1963 existovala organizace spravující komunikační majetek hlavního města Prahy pod názvem „Pražské komunikace“. Technická správa komunikací jako taková byla zřízena k 1. 7. 1967 a jako příspěvková organizace začala fungovat od roku 1996. Tato organizace byla zřízena za tímto účelem:</w:t>
      </w:r>
    </w:p>
    <w:p>
      <w:pPr>
        <w:pStyle w:val="Stanoviskotext"/>
        <w:numPr>
          <w:ilvl w:val="0"/>
          <w:numId w:val="13"/>
        </w:numPr>
        <w:rPr/>
      </w:pPr>
      <w:r>
        <w:rPr/>
        <w:t>Rozvoj, výstavba, správa, údržba a opravy pozemních komunikací, jejich součástí a příslušenství včetně pozemků a dalšího nemovitého majetku na území hlavního města Prahy. Činnosti, které organizace TSK vykonává za tímto účelem, jsou podrobně vymezeny ve smlouvě uzavřené mezi hl. m. Prahou a TSK a jedná se především o:</w:t>
      </w:r>
    </w:p>
    <w:p>
      <w:pPr>
        <w:pStyle w:val="Stanoviskotext"/>
        <w:numPr>
          <w:ilvl w:val="0"/>
          <w:numId w:val="20"/>
        </w:numPr>
        <w:rPr/>
      </w:pPr>
      <w:r>
        <w:rPr/>
        <w:t>běžnou údržbu, souvislou údržbu a opravy;</w:t>
      </w:r>
    </w:p>
    <w:p>
      <w:pPr>
        <w:pStyle w:val="Stanoviskotext"/>
        <w:numPr>
          <w:ilvl w:val="0"/>
          <w:numId w:val="20"/>
        </w:numPr>
        <w:rPr/>
      </w:pPr>
      <w:r>
        <w:rPr/>
        <w:t>čištění;</w:t>
      </w:r>
    </w:p>
    <w:p>
      <w:pPr>
        <w:pStyle w:val="Stanoviskotext"/>
        <w:numPr>
          <w:ilvl w:val="0"/>
          <w:numId w:val="20"/>
        </w:numPr>
        <w:rPr/>
      </w:pPr>
      <w:r>
        <w:rPr/>
        <w:t>zimní údržbu;</w:t>
      </w:r>
    </w:p>
    <w:p>
      <w:pPr>
        <w:pStyle w:val="Stanoviskotext"/>
        <w:numPr>
          <w:ilvl w:val="0"/>
          <w:numId w:val="20"/>
        </w:numPr>
        <w:rPr/>
      </w:pPr>
      <w:r>
        <w:rPr/>
        <w:t>investiční výstavbu;</w:t>
      </w:r>
    </w:p>
    <w:p>
      <w:pPr>
        <w:pStyle w:val="Stanoviskotext"/>
        <w:numPr>
          <w:ilvl w:val="0"/>
          <w:numId w:val="20"/>
        </w:numPr>
        <w:rPr/>
      </w:pPr>
      <w:r>
        <w:rPr/>
        <w:t>vedení pasportu;</w:t>
      </w:r>
    </w:p>
    <w:p>
      <w:pPr>
        <w:pStyle w:val="Stanoviskotext"/>
        <w:numPr>
          <w:ilvl w:val="0"/>
          <w:numId w:val="20"/>
        </w:numPr>
        <w:rPr/>
      </w:pPr>
      <w:r>
        <w:rPr/>
        <w:t>pronájmy (uzavírání smluv při zvláštním užívání komunikací).</w:t>
      </w:r>
    </w:p>
    <w:p>
      <w:pPr>
        <w:pStyle w:val="Stanoviskotext"/>
        <w:numPr>
          <w:ilvl w:val="0"/>
          <w:numId w:val="13"/>
        </w:numPr>
        <w:rPr/>
      </w:pPr>
      <w:r>
        <w:rPr/>
        <w:t>Konzultační a návrhová činnost při optimalizaci a objektivizaci komplexního řešení dopravy se zvláštním zaměřením na organizaci a řízení dopravy na komunikační síti a na problematiku komplexního rozvoje dopravy. Za tímto účelem vykonává TSK tyto činnosti:</w:t>
      </w:r>
    </w:p>
    <w:p>
      <w:pPr>
        <w:pStyle w:val="Stanoviskotext"/>
        <w:numPr>
          <w:ilvl w:val="0"/>
          <w:numId w:val="20"/>
        </w:numPr>
        <w:rPr/>
      </w:pPr>
      <w:r>
        <w:rPr/>
        <w:t>zpracování dopravně inženýrské dokumentace týkající se organizace a řízení dopravy, rozvoje dopravy a dopravního systému;</w:t>
      </w:r>
    </w:p>
    <w:p>
      <w:pPr>
        <w:pStyle w:val="Stanoviskotext"/>
        <w:numPr>
          <w:ilvl w:val="0"/>
          <w:numId w:val="20"/>
        </w:numPr>
        <w:rPr/>
      </w:pPr>
      <w:r>
        <w:rPr/>
        <w:t>provádění dopravních průzkumů, statistických šetření a rozborů, vyhodnocování dopravních poměrů, vedení a aktualizování banky dopravně inženýrských dat;</w:t>
      </w:r>
    </w:p>
    <w:p>
      <w:pPr>
        <w:pStyle w:val="Stanoviskotext"/>
        <w:numPr>
          <w:ilvl w:val="0"/>
          <w:numId w:val="20"/>
        </w:numPr>
        <w:rPr/>
      </w:pPr>
      <w:r>
        <w:rPr/>
        <w:t>navrhování opatření ke zlepšení dopravních poměrů, ke zvýšení bezpečnosti dopravy a k optimalizaci režimu řízení městského silničního provozu;</w:t>
      </w:r>
    </w:p>
    <w:p>
      <w:pPr>
        <w:pStyle w:val="Stanoviskotext"/>
        <w:numPr>
          <w:ilvl w:val="0"/>
          <w:numId w:val="20"/>
        </w:numPr>
        <w:rPr/>
      </w:pPr>
      <w:r>
        <w:rPr/>
        <w:t>navrhování koordinovaného rozvoje komplexního dopravního systému, dokumentování potřeby dopravy v jednotlivých časových etapách a zpracování dopravně inženýrských podmínek a podkladů pro přípravnou a projektovou dokumentaci;</w:t>
      </w:r>
    </w:p>
    <w:p>
      <w:pPr>
        <w:pStyle w:val="Stanoviskotext"/>
        <w:numPr>
          <w:ilvl w:val="0"/>
          <w:numId w:val="20"/>
        </w:numPr>
        <w:rPr/>
      </w:pPr>
      <w:r>
        <w:rPr/>
        <w:t>uplatňování, rozvíjení a aplikace exaktních metod v dopravně inženýrské činnosti, spolupráce s partnerskými organizacemi v ČR a v zahraničí v oblasti dopravního inženýrství;</w:t>
      </w:r>
    </w:p>
    <w:p>
      <w:pPr>
        <w:pStyle w:val="Stanoviskotext"/>
        <w:numPr>
          <w:ilvl w:val="0"/>
          <w:numId w:val="20"/>
        </w:numPr>
        <w:rPr/>
      </w:pPr>
      <w:r>
        <w:rPr/>
        <w:t>koordinace rozvoje systému cyklistických komunikací;</w:t>
      </w:r>
    </w:p>
    <w:p>
      <w:pPr>
        <w:pStyle w:val="Stanoviskotext"/>
        <w:numPr>
          <w:ilvl w:val="0"/>
          <w:numId w:val="20"/>
        </w:numPr>
        <w:rPr/>
      </w:pPr>
      <w:r>
        <w:rPr/>
        <w:t>zajišťování dopravní výchovy v rámci řešení bezpečnosti silničního provozu (BESIP).</w:t>
      </w:r>
    </w:p>
    <w:p>
      <w:pPr>
        <w:pStyle w:val="Stanoviskotext"/>
        <w:rPr/>
      </w:pPr>
      <w:r>
        <w:rPr/>
        <w:t>Od 1. 1. 2008 se TSK sloučila s Ústavem dopravního inženýrství hl. m. Prahy, který je nyní jedním z odborných úseků organizace. Návrhy dopravně inženýrských opatření ke snižování dopravní nehodovosti, optimalizace organizace a řízení silničního provozu, sledování a vyhodnocování vývoje dopravy i systematická příprava dalšího rozvoje celé dopravní soustavy HMP patří mezi základní úkoly úseku dopravního inženýrství v rámci TSK.</w:t>
      </w:r>
    </w:p>
    <w:p>
      <w:pPr>
        <w:pStyle w:val="Stanoviskotext"/>
        <w:rPr/>
      </w:pPr>
      <w:r>
        <w:rPr/>
        <w:t>V rámci doplňkové činnosti vykonává TSK tyto činnosti:</w:t>
      </w:r>
    </w:p>
    <w:p>
      <w:pPr>
        <w:pStyle w:val="Stanoviskotext"/>
        <w:numPr>
          <w:ilvl w:val="0"/>
          <w:numId w:val="20"/>
        </w:numPr>
        <w:rPr/>
      </w:pPr>
      <w:r>
        <w:rPr/>
        <w:t>správní, inženýrská, konzultační a projektová činnost v oblasti správy a výstavby dopravních systémů a staveb;</w:t>
      </w:r>
    </w:p>
    <w:p>
      <w:pPr>
        <w:pStyle w:val="Stanoviskotext"/>
        <w:numPr>
          <w:ilvl w:val="0"/>
          <w:numId w:val="20"/>
        </w:numPr>
        <w:rPr/>
      </w:pPr>
      <w:r>
        <w:rPr/>
        <w:t>tvorba a prodej programových produktů a dat souvisejících s činností organizace;</w:t>
      </w:r>
    </w:p>
    <w:p>
      <w:pPr>
        <w:pStyle w:val="Stanoviskotext"/>
        <w:numPr>
          <w:ilvl w:val="0"/>
          <w:numId w:val="20"/>
        </w:numPr>
        <w:rPr/>
      </w:pPr>
      <w:r>
        <w:rPr/>
        <w:t>hodnocení stavu a provedení dopravních staveb silniční laboratoří;</w:t>
      </w:r>
    </w:p>
    <w:p>
      <w:pPr>
        <w:pStyle w:val="Stanoviskotext"/>
        <w:numPr>
          <w:ilvl w:val="0"/>
          <w:numId w:val="20"/>
        </w:numPr>
        <w:rPr/>
      </w:pPr>
      <w:r>
        <w:rPr/>
        <w:t>kontrola jakosti přípravy a realizace a posuzování bezpečnosti staveb souvisejících s dopravou;</w:t>
      </w:r>
    </w:p>
    <w:p>
      <w:pPr>
        <w:pStyle w:val="Stanoviskotext"/>
        <w:numPr>
          <w:ilvl w:val="0"/>
          <w:numId w:val="20"/>
        </w:numPr>
        <w:rPr/>
      </w:pPr>
      <w:r>
        <w:rPr/>
        <w:t>poskytování služeb v oblasti čištění, stavební a zimní údržby, dopravního značení a havarijních zásahů souvisejících s pozemními komunikacemi;</w:t>
      </w:r>
    </w:p>
    <w:p>
      <w:pPr>
        <w:pStyle w:val="Stanoviskotext"/>
        <w:numPr>
          <w:ilvl w:val="0"/>
          <w:numId w:val="20"/>
        </w:numPr>
        <w:rPr/>
      </w:pPr>
      <w:r>
        <w:rPr/>
        <w:t>nákup, prodej a pronájem věcí souvisejících s činností organizace;</w:t>
      </w:r>
    </w:p>
    <w:p>
      <w:pPr>
        <w:pStyle w:val="Stanoviskotext"/>
        <w:numPr>
          <w:ilvl w:val="0"/>
          <w:numId w:val="20"/>
        </w:numPr>
        <w:rPr/>
      </w:pPr>
      <w:r>
        <w:rPr/>
        <w:t>provozování zastávek a nádraží včetně terminálů autobusové dopravy, parkovacích míst, parkovišť, hromadných garáží apod., včetně správy a provozu objektů, informačních a naváděcích systémů a zařízení pro poskytování služeb veřejnosti;</w:t>
      </w:r>
    </w:p>
    <w:p>
      <w:pPr>
        <w:pStyle w:val="Stanoviskotext"/>
        <w:numPr>
          <w:ilvl w:val="0"/>
          <w:numId w:val="20"/>
        </w:numPr>
        <w:rPr/>
      </w:pPr>
      <w:r>
        <w:rPr/>
        <w:t>zajišťování podkladů souvisejících se zvláštním užíváním nebo pronajímáním pozemních komunikací, jejich součástí a příslušenství včetně pozemků;</w:t>
      </w:r>
    </w:p>
    <w:p>
      <w:pPr>
        <w:pStyle w:val="Stanoviskotext"/>
        <w:numPr>
          <w:ilvl w:val="0"/>
          <w:numId w:val="20"/>
        </w:numPr>
        <w:rPr/>
      </w:pPr>
      <w:r>
        <w:rPr/>
        <w:t>provádění kontrolního vážení vozidel a odstraňování věcí z pozemních komunikací, s výjimkou vozidel a čištění komunikací;</w:t>
      </w:r>
    </w:p>
    <w:p>
      <w:pPr>
        <w:pStyle w:val="Stanoviskotext"/>
        <w:numPr>
          <w:ilvl w:val="0"/>
          <w:numId w:val="20"/>
        </w:numPr>
        <w:rPr/>
      </w:pPr>
      <w:r>
        <w:rPr/>
        <w:t>pořádání výchovně vzdělávacích akcí a poradenská činnost v dopravě;</w:t>
      </w:r>
    </w:p>
    <w:p>
      <w:pPr>
        <w:pStyle w:val="Stanoviskotext"/>
        <w:numPr>
          <w:ilvl w:val="0"/>
          <w:numId w:val="20"/>
        </w:numPr>
        <w:rPr/>
      </w:pPr>
      <w:r>
        <w:rPr/>
        <w:t>zpracovávání dopravně inženýrské dokumentace a konzultační činnost v oboru;</w:t>
      </w:r>
    </w:p>
    <w:p>
      <w:pPr>
        <w:pStyle w:val="Stanoviskotext"/>
        <w:numPr>
          <w:ilvl w:val="0"/>
          <w:numId w:val="20"/>
        </w:numPr>
        <w:rPr/>
      </w:pPr>
      <w:r>
        <w:rPr/>
        <w:t>dopravní průzkumy, rozbory a prognózy;</w:t>
      </w:r>
    </w:p>
    <w:p>
      <w:pPr>
        <w:pStyle w:val="Stanoviskotext"/>
        <w:numPr>
          <w:ilvl w:val="0"/>
          <w:numId w:val="20"/>
        </w:numPr>
        <w:rPr/>
      </w:pPr>
      <w:r>
        <w:rPr/>
        <w:t>tvorba informačních a propagačních materiálů o dopravě pro veřejnost;</w:t>
      </w:r>
    </w:p>
    <w:p>
      <w:pPr>
        <w:pStyle w:val="Stanoviskotext"/>
        <w:numPr>
          <w:ilvl w:val="0"/>
          <w:numId w:val="20"/>
        </w:numPr>
        <w:rPr/>
      </w:pPr>
      <w:r>
        <w:rPr/>
        <w:t>pronájem nebytových prostor ve vlastnictví hlavního města Prahy v objektu v Podlipného 9 –11 v Praze 8, svěřeného Technické správě komunikací hl.m. Prahy do správy k jeho vlastnímu hospodářskému využití.</w:t>
      </w:r>
    </w:p>
    <w:p>
      <w:pPr>
        <w:pStyle w:val="Stanoviskotext"/>
        <w:rPr/>
      </w:pPr>
      <w:r>
        <w:rPr/>
        <w:t>Veškeré činnosti v oblasti správy majetku zajišťuje TSK dodavatelským způsobem. V pracovním poměru TSK nezaměstnává žádné dělnické profese zaměřené na správu svěřeného majetku, ale pouze techniky a administrativní pracovníky. Ti celou správu komunikačního majetku organizují a řídí a následně evidují výsledky činnosti odborných firem. K pololetí roku 2013 činil počet zaměstnanců TSK celkem 309 zaměstnanců.</w:t>
      </w:r>
    </w:p>
    <w:p>
      <w:pPr>
        <w:pStyle w:val="Stanoviskotext"/>
        <w:rPr/>
      </w:pPr>
      <w:r>
        <w:rPr/>
        <w:t>Celková délka komunikační sítě v Praze je cca 3966 km, z toho ve správě TSK je 2281 km. Celková plocha nemotoristických komunikací v Praze je cca 1400 ha, z toho ve správě TSK je cca 800 ha. Vedle veškerého komunikačního majetku hlavního města Prahy má TSK ve správě i další majetek.</w:t>
      </w:r>
    </w:p>
    <w:p>
      <w:pPr>
        <w:pStyle w:val="Stanoviskotext"/>
        <w:rPr/>
      </w:pPr>
      <w:r>
        <w:rPr/>
        <w:t>Celkové vymezení spravovaného majetku obsahuje Příloha č. 1 Smlouvy o zajištění správy majetku uzavřené mezi hl. m. Prahou a Technickou správou komunikací hl. m. Prahy. Ke dni 31. 12. 2013 tento majetek tvoří:</w:t>
      </w:r>
    </w:p>
    <w:p>
      <w:pPr>
        <w:pStyle w:val="Stanoviskotext"/>
        <w:numPr>
          <w:ilvl w:val="0"/>
          <w:numId w:val="4"/>
        </w:numPr>
        <w:rPr/>
      </w:pPr>
      <w:r>
        <w:rPr/>
        <w:t>pozemní komunikace v majetku HMP svěřené TSK do správy včetně jejich součástí, příslušenství a pozemků;</w:t>
      </w:r>
    </w:p>
    <w:p>
      <w:pPr>
        <w:pStyle w:val="Stanoviskotext"/>
        <w:numPr>
          <w:ilvl w:val="0"/>
          <w:numId w:val="4"/>
        </w:numPr>
        <w:rPr/>
      </w:pPr>
      <w:r>
        <w:rPr/>
        <w:t>zařízení dopravních řídících a dohledových systémů provozu na pozemních komunikacích, jejich součástech a příslušenstvích;</w:t>
      </w:r>
    </w:p>
    <w:p>
      <w:pPr>
        <w:pStyle w:val="Stanoviskotext"/>
        <w:numPr>
          <w:ilvl w:val="0"/>
          <w:numId w:val="4"/>
        </w:numPr>
        <w:rPr/>
      </w:pPr>
      <w:r>
        <w:rPr/>
        <w:t>náplavky, objekty na komunikacích;</w:t>
      </w:r>
    </w:p>
    <w:p>
      <w:pPr>
        <w:pStyle w:val="Stanoviskotext"/>
        <w:numPr>
          <w:ilvl w:val="0"/>
          <w:numId w:val="4"/>
        </w:numPr>
        <w:rPr/>
      </w:pPr>
      <w:r>
        <w:rPr/>
        <w:t>cyklistické stezky a jejich značení, případně jiné dopravní značení;</w:t>
      </w:r>
    </w:p>
    <w:p>
      <w:pPr>
        <w:pStyle w:val="Stanoviskotext"/>
        <w:numPr>
          <w:ilvl w:val="0"/>
          <w:numId w:val="4"/>
        </w:numPr>
        <w:rPr/>
      </w:pPr>
      <w:r>
        <w:rPr/>
        <w:t>označníky zastávek a nádraží včetně zařízení terminálů autobusové dopravy, parkovacích míst, parkovišť, hromadných garáží apod., včetně objektů, informačních a naváděcích systémů a zařízení pro poskytování služeb veřejnosti;</w:t>
      </w:r>
    </w:p>
    <w:p>
      <w:pPr>
        <w:pStyle w:val="Stanoviskotext"/>
        <w:numPr>
          <w:ilvl w:val="0"/>
          <w:numId w:val="4"/>
        </w:numPr>
        <w:rPr/>
      </w:pPr>
      <w:r>
        <w:rPr/>
        <w:t>budovy sloužící k zajištění činnosti TSK HMP;</w:t>
      </w:r>
    </w:p>
    <w:p>
      <w:pPr>
        <w:pStyle w:val="Stanoviskotext"/>
        <w:numPr>
          <w:ilvl w:val="0"/>
          <w:numId w:val="4"/>
        </w:numPr>
        <w:rPr/>
      </w:pPr>
      <w:r>
        <w:rPr/>
        <w:t>technologická vozidla pro potřeby Strahovského tunelu;</w:t>
      </w:r>
    </w:p>
    <w:p>
      <w:pPr>
        <w:pStyle w:val="Stanoviskotext"/>
        <w:numPr>
          <w:ilvl w:val="0"/>
          <w:numId w:val="4"/>
        </w:numPr>
        <w:rPr/>
      </w:pPr>
      <w:r>
        <w:rPr/>
        <w:t>objekt Poděbradská 218/185, Praha 9, k. ú. Hloubětín;</w:t>
      </w:r>
    </w:p>
    <w:p>
      <w:pPr>
        <w:pStyle w:val="Stanoviskotext"/>
        <w:numPr>
          <w:ilvl w:val="0"/>
          <w:numId w:val="4"/>
        </w:numPr>
        <w:rPr/>
      </w:pPr>
      <w:r>
        <w:rPr/>
        <w:t>objekt Řásnovka 770/8, Praha 1, k. ú. Staré Město;</w:t>
      </w:r>
    </w:p>
    <w:p>
      <w:pPr>
        <w:pStyle w:val="Stanoviskotext"/>
        <w:numPr>
          <w:ilvl w:val="0"/>
          <w:numId w:val="4"/>
        </w:numPr>
        <w:rPr/>
      </w:pPr>
      <w:r>
        <w:rPr/>
        <w:t>vybavení objektu Řásnovka 770/8;</w:t>
      </w:r>
    </w:p>
    <w:p>
      <w:pPr>
        <w:pStyle w:val="Stanoviskotext"/>
        <w:numPr>
          <w:ilvl w:val="0"/>
          <w:numId w:val="4"/>
        </w:numPr>
        <w:rPr/>
      </w:pPr>
      <w:r>
        <w:rPr/>
        <w:t>pozemek parc. č. 853/1 v k.ú. Staré Město;</w:t>
      </w:r>
    </w:p>
    <w:p>
      <w:pPr>
        <w:pStyle w:val="Stanoviskotext"/>
        <w:numPr>
          <w:ilvl w:val="0"/>
          <w:numId w:val="4"/>
        </w:numPr>
        <w:rPr/>
      </w:pPr>
      <w:r>
        <w:rPr/>
        <w:t>komunikační stavby:</w:t>
      </w:r>
    </w:p>
    <w:p>
      <w:pPr>
        <w:pStyle w:val="Stanoviskotext"/>
        <w:numPr>
          <w:ilvl w:val="0"/>
          <w:numId w:val="10"/>
        </w:numPr>
        <w:rPr/>
      </w:pPr>
      <w:r>
        <w:rPr/>
        <w:t>komunikace;</w:t>
      </w:r>
    </w:p>
    <w:p>
      <w:pPr>
        <w:pStyle w:val="Stanoviskotext"/>
        <w:numPr>
          <w:ilvl w:val="0"/>
          <w:numId w:val="10"/>
        </w:numPr>
        <w:rPr/>
      </w:pPr>
      <w:r>
        <w:rPr/>
        <w:t>mosty (601);</w:t>
      </w:r>
    </w:p>
    <w:p>
      <w:pPr>
        <w:pStyle w:val="Stanoviskotext"/>
        <w:numPr>
          <w:ilvl w:val="0"/>
          <w:numId w:val="10"/>
        </w:numPr>
        <w:rPr/>
      </w:pPr>
      <w:r>
        <w:rPr/>
        <w:t>tunely (8);</w:t>
      </w:r>
    </w:p>
    <w:p>
      <w:pPr>
        <w:pStyle w:val="Stanoviskotext"/>
        <w:numPr>
          <w:ilvl w:val="0"/>
          <w:numId w:val="10"/>
        </w:numPr>
        <w:rPr/>
      </w:pPr>
      <w:r>
        <w:rPr/>
        <w:t>parkoviště P + R;</w:t>
      </w:r>
    </w:p>
    <w:p>
      <w:pPr>
        <w:pStyle w:val="Stanoviskotext"/>
        <w:numPr>
          <w:ilvl w:val="0"/>
          <w:numId w:val="10"/>
        </w:numPr>
        <w:rPr/>
      </w:pPr>
      <w:r>
        <w:rPr/>
        <w:t>kontejnery a</w:t>
      </w:r>
    </w:p>
    <w:p>
      <w:pPr>
        <w:pStyle w:val="Stanoviskotext"/>
        <w:numPr>
          <w:ilvl w:val="0"/>
          <w:numId w:val="10"/>
        </w:numPr>
        <w:rPr/>
      </w:pPr>
      <w:r>
        <w:rPr/>
        <w:t>další stavby;</w:t>
      </w:r>
    </w:p>
    <w:p>
      <w:pPr>
        <w:pStyle w:val="Stanoviskotext"/>
        <w:numPr>
          <w:ilvl w:val="0"/>
          <w:numId w:val="4"/>
        </w:numPr>
        <w:rPr/>
      </w:pPr>
      <w:r>
        <w:rPr/>
        <w:t>světelné signalizace;</w:t>
      </w:r>
    </w:p>
    <w:p>
      <w:pPr>
        <w:pStyle w:val="Stanoviskotext"/>
        <w:numPr>
          <w:ilvl w:val="0"/>
          <w:numId w:val="4"/>
        </w:numPr>
        <w:rPr/>
      </w:pPr>
      <w:r>
        <w:rPr/>
        <w:t>ostatní přístroje a zařízení;</w:t>
      </w:r>
    </w:p>
    <w:p>
      <w:pPr>
        <w:pStyle w:val="Stanoviskotext"/>
        <w:numPr>
          <w:ilvl w:val="0"/>
          <w:numId w:val="4"/>
        </w:numPr>
        <w:rPr/>
      </w:pPr>
      <w:r>
        <w:rPr/>
        <w:t>dopravní prostředky;</w:t>
      </w:r>
    </w:p>
    <w:p>
      <w:pPr>
        <w:pStyle w:val="Stanoviskotext"/>
        <w:numPr>
          <w:ilvl w:val="0"/>
          <w:numId w:val="4"/>
        </w:numPr>
        <w:rPr/>
      </w:pPr>
      <w:r>
        <w:rPr/>
        <w:t>nedokončené investice a</w:t>
      </w:r>
    </w:p>
    <w:p>
      <w:pPr>
        <w:pStyle w:val="Stanoviskotext"/>
        <w:numPr>
          <w:ilvl w:val="0"/>
          <w:numId w:val="4"/>
        </w:numPr>
        <w:rPr/>
      </w:pPr>
      <w:r>
        <w:rPr/>
        <w:t>pozemky.</w:t>
      </w:r>
    </w:p>
    <w:p>
      <w:pPr>
        <w:pStyle w:val="Stanoviskotext"/>
        <w:rPr>
          <w:sz w:val="22"/>
          <w:szCs w:val="22"/>
        </w:rPr>
      </w:pPr>
      <w:r>
        <w:rPr>
          <w:b/>
        </w:rPr>
        <w:t>Účetní hodnota spravovaného majetku činí dle stavu k 31. 12. 2013 68,7 mld. Kč</w:t>
      </w:r>
      <w:r>
        <w:rPr/>
        <w:t>.</w:t>
      </w:r>
      <w:r>
        <w:rPr>
          <w:rStyle w:val="FootnoteCharacters"/>
          <w:rStyle w:val="FootnoteAnchor"/>
        </w:rPr>
        <w:footnoteReference w:id="2"/>
      </w:r>
    </w:p>
    <w:p>
      <w:pPr>
        <w:pStyle w:val="Stanoviskotext"/>
        <w:rPr>
          <w:sz w:val="22"/>
          <w:szCs w:val="22"/>
        </w:rPr>
      </w:pPr>
      <w:r>
        <w:rPr>
          <w:sz w:val="22"/>
          <w:szCs w:val="22"/>
        </w:rPr>
      </w:r>
    </w:p>
    <w:p>
      <w:pPr>
        <w:pStyle w:val="Stanovisko2"/>
        <w:numPr>
          <w:ilvl w:val="1"/>
          <w:numId w:val="2"/>
        </w:numPr>
        <w:tabs>
          <w:tab w:val="left" w:pos="1080" w:leader="none"/>
        </w:tabs>
        <w:ind w:left="1080" w:hanging="1080"/>
        <w:rPr/>
      </w:pPr>
      <w:bookmarkStart w:id="4" w:name="__RefHeading___Toc382588289"/>
      <w:bookmarkEnd w:id="4"/>
      <w:r>
        <w:rPr/>
        <w:t>Analýza hospodaření</w:t>
      </w:r>
    </w:p>
    <w:p>
      <w:pPr>
        <w:pStyle w:val="Stanovisko4"/>
        <w:numPr>
          <w:ilvl w:val="0"/>
          <w:numId w:val="3"/>
        </w:numPr>
        <w:rPr/>
      </w:pPr>
      <w:r>
        <w:rPr/>
        <w:t>Analýza příjmů</w:t>
      </w:r>
    </w:p>
    <w:p>
      <w:pPr>
        <w:pStyle w:val="Stanoviskotext"/>
        <w:rPr/>
      </w:pPr>
      <w:r>
        <w:rPr/>
        <w:t>TSK je jako příspěvková organizace financována následujícím způsobem:</w:t>
      </w:r>
    </w:p>
    <w:p>
      <w:pPr>
        <w:pStyle w:val="Stanoviskotext"/>
        <w:rPr>
          <w:u w:val="single"/>
        </w:rPr>
      </w:pPr>
      <w:r>
        <w:rPr>
          <w:u w:val="single"/>
        </w:rPr>
        <w:t>V rámci hlavní činnosti</w:t>
      </w:r>
    </w:p>
    <w:p>
      <w:pPr>
        <w:pStyle w:val="Stanoviskotext"/>
        <w:numPr>
          <w:ilvl w:val="0"/>
          <w:numId w:val="11"/>
        </w:numPr>
        <w:rPr/>
      </w:pPr>
      <w:r>
        <w:rPr/>
        <w:t>příjmy z hlavní činnosti za poskytování služeb (správa majetku hl. m. Prahy), které v roce 2013 činily 142.457 tis. Kč</w:t>
      </w:r>
    </w:p>
    <w:tbl>
      <w:tblPr>
        <w:tblW w:w="8650" w:type="dxa"/>
        <w:jc w:val="left"/>
        <w:tblInd w:w="42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6860"/>
        <w:gridCol w:w="1790"/>
      </w:tblGrid>
      <w:tr>
        <w:trPr>
          <w:trHeight w:val="255" w:hRule="atLeast"/>
        </w:trPr>
        <w:tc>
          <w:tcPr>
            <w:tcW w:w="686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pPr>
            <w:r>
              <w:rPr>
                <w:rFonts w:cs="Arial" w:ascii="Arial" w:hAnsi="Arial"/>
                <w:b/>
                <w:bCs/>
                <w:color w:val="FFFFFF"/>
                <w:sz w:val="20"/>
                <w:szCs w:val="20"/>
              </w:rPr>
              <w:t>Struktura příjmů z hlavní činnosti v tis. Kč</w:t>
            </w:r>
          </w:p>
        </w:tc>
        <w:tc>
          <w:tcPr>
            <w:tcW w:w="17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20"/>
                <w:szCs w:val="20"/>
              </w:rPr>
            </w:pPr>
            <w:r>
              <w:rPr>
                <w:rFonts w:cs="Arial" w:ascii="Arial" w:hAnsi="Arial"/>
                <w:b/>
                <w:bCs/>
                <w:color w:val="FFFFFF"/>
                <w:sz w:val="20"/>
                <w:szCs w:val="20"/>
              </w:rPr>
              <w:t>2013</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xml:space="preserve">- odměna za správu majetku dle „smlouvy“ (0,20 %) uzavřené </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106 289,25</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odměna za realizované tržby VHČ- (odměna 10%)</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22 957,84</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náhrady za zaviněné škody</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5,00</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náhrady za soukromé využití majetku: benzín, telefony apod.</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188,30</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náhrady od pojišťovny</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465,87</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úroky na běžném účtu a kurz. zisky</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52,51</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úroky z vkladového účtu</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366,11</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zúčtování příjmu z fondu odměn na výplatu odměn</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11 820,00</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zúčtování příjmu z investičního fondu na opravy majetku</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304,64</w:t>
            </w:r>
          </w:p>
        </w:tc>
      </w:tr>
      <w:tr>
        <w:trPr>
          <w:trHeight w:val="255" w:hRule="atLeast"/>
        </w:trPr>
        <w:tc>
          <w:tcPr>
            <w:tcW w:w="68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20"/>
                <w:szCs w:val="20"/>
              </w:rPr>
            </w:pPr>
            <w:r>
              <w:rPr>
                <w:rFonts w:cs="Arial" w:ascii="Arial" w:hAnsi="Arial"/>
                <w:sz w:val="20"/>
                <w:szCs w:val="20"/>
              </w:rPr>
              <w:t>- ostatní příjmy</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7,85</w:t>
            </w:r>
          </w:p>
        </w:tc>
      </w:tr>
      <w:tr>
        <w:trPr>
          <w:trHeight w:val="255" w:hRule="atLeast"/>
        </w:trPr>
        <w:tc>
          <w:tcPr>
            <w:tcW w:w="686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both"/>
              <w:rPr>
                <w:rFonts w:ascii="Arial" w:hAnsi="Arial" w:cs="Arial"/>
                <w:b/>
                <w:b/>
                <w:bCs/>
                <w:sz w:val="20"/>
                <w:szCs w:val="20"/>
              </w:rPr>
            </w:pPr>
            <w:r>
              <w:rPr>
                <w:rFonts w:cs="Arial" w:ascii="Arial" w:hAnsi="Arial"/>
                <w:b/>
                <w:bCs/>
                <w:sz w:val="20"/>
                <w:szCs w:val="20"/>
              </w:rPr>
              <w:t>Celkem</w:t>
            </w:r>
          </w:p>
        </w:tc>
        <w:tc>
          <w:tcPr>
            <w:tcW w:w="179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20"/>
                <w:szCs w:val="20"/>
              </w:rPr>
            </w:pPr>
            <w:r>
              <w:rPr>
                <w:rFonts w:cs="Arial" w:ascii="Arial" w:hAnsi="Arial"/>
                <w:b/>
                <w:bCs/>
                <w:sz w:val="20"/>
                <w:szCs w:val="20"/>
              </w:rPr>
              <w:t>142 457,38</w:t>
            </w:r>
          </w:p>
        </w:tc>
      </w:tr>
    </w:tbl>
    <w:p>
      <w:pPr>
        <w:pStyle w:val="Stanoviskotext"/>
        <w:spacing w:lineRule="auto" w:line="240" w:before="0" w:after="240"/>
        <w:ind w:left="360" w:hanging="0"/>
        <w:rPr>
          <w:i/>
          <w:i/>
          <w:sz w:val="16"/>
          <w:szCs w:val="16"/>
        </w:rPr>
      </w:pPr>
      <w:r>
        <w:rPr>
          <w:i/>
          <w:sz w:val="16"/>
          <w:szCs w:val="16"/>
        </w:rPr>
        <w:t>Zdroj: Materiál TSK: Rozbor hospodaření za rok 2013</w:t>
      </w:r>
    </w:p>
    <w:p>
      <w:pPr>
        <w:pStyle w:val="Stanoviskotext"/>
        <w:spacing w:lineRule="auto" w:line="240" w:before="0" w:after="240"/>
        <w:ind w:left="360" w:hanging="0"/>
        <w:rPr>
          <w:i/>
          <w:i/>
          <w:sz w:val="16"/>
          <w:szCs w:val="16"/>
        </w:rPr>
      </w:pPr>
      <w:r>
        <w:rPr>
          <w:i/>
          <w:sz w:val="16"/>
          <w:szCs w:val="16"/>
        </w:rPr>
      </w:r>
    </w:p>
    <w:p>
      <w:pPr>
        <w:pStyle w:val="Stanoviskotext"/>
        <w:ind w:left="360" w:hanging="0"/>
        <w:rPr/>
      </w:pPr>
      <w:r>
        <w:rPr/>
        <w:t>Tyto příjmy tvoří zejména správcovská odměna, kterou hradí HMP organizaci TSK za správu jejího majetku, a to ve výši 0,2 % z hodnoty tohoto majetku, a dále odměna za realizované tržby v rámci hospodářské činnosti HMP ve výši 10 % z těchto tržeb.</w:t>
      </w:r>
    </w:p>
    <w:p>
      <w:pPr>
        <w:pStyle w:val="Stanoviskotext"/>
        <w:spacing w:lineRule="auto" w:line="240" w:before="240" w:after="0"/>
        <w:ind w:left="357" w:hanging="0"/>
        <w:jc w:val="center"/>
        <w:rPr/>
      </w:pPr>
      <w:r>
        <w:rPr/>
        <w:drawing>
          <wp:inline distT="0" distB="0" distL="0" distR="0">
            <wp:extent cx="4114800" cy="25431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14800" cy="2543175"/>
                    </a:xfrm>
                    <a:prstGeom prst="rect">
                      <a:avLst/>
                    </a:prstGeom>
                  </pic:spPr>
                </pic:pic>
              </a:graphicData>
            </a:graphic>
          </wp:inline>
        </w:drawing>
      </w:r>
    </w:p>
    <w:p>
      <w:pPr>
        <w:pStyle w:val="Stanoviskotext"/>
        <w:spacing w:lineRule="auto" w:line="240" w:before="0" w:after="240"/>
        <w:ind w:left="357" w:hanging="0"/>
        <w:jc w:val="center"/>
        <w:rPr>
          <w:i/>
          <w:i/>
          <w:sz w:val="16"/>
          <w:szCs w:val="16"/>
        </w:rPr>
      </w:pPr>
      <w:r>
        <w:rPr>
          <w:i/>
          <w:sz w:val="16"/>
          <w:szCs w:val="16"/>
        </w:rPr>
        <w:t>Graf: Struktura příjmů hlavní činnosti v roce 2013</w:t>
      </w:r>
    </w:p>
    <w:p>
      <w:pPr>
        <w:pStyle w:val="Stanoviskotext"/>
        <w:spacing w:lineRule="auto" w:line="240" w:before="0" w:after="240"/>
        <w:ind w:left="357" w:hanging="0"/>
        <w:jc w:val="center"/>
        <w:rPr>
          <w:i/>
          <w:i/>
          <w:sz w:val="16"/>
          <w:szCs w:val="16"/>
        </w:rPr>
      </w:pPr>
      <w:r>
        <w:rPr>
          <w:i/>
          <w:sz w:val="16"/>
          <w:szCs w:val="16"/>
        </w:rPr>
      </w:r>
    </w:p>
    <w:p>
      <w:pPr>
        <w:pStyle w:val="Stanoviskotext"/>
        <w:ind w:left="360" w:hanging="0"/>
        <w:rPr/>
      </w:pPr>
      <w:r>
        <w:rPr/>
        <w:t>Podíváme-li se detailněji na hlavní složku realizovaných tržeb – správcovskou odměnu – v čase, můžeme konstatovat, že v tomto období dochází k jejímu růstu, což je ovlivněno rostoucí hodnotou majetku, který TSK spravuje.</w:t>
      </w:r>
    </w:p>
    <w:p>
      <w:pPr>
        <w:pStyle w:val="Stanoviskotext"/>
        <w:ind w:left="360" w:hanging="0"/>
        <w:rPr/>
      </w:pPr>
      <w:r>
        <w:rPr/>
      </w:r>
    </w:p>
    <w:p>
      <w:pPr>
        <w:pStyle w:val="Stanoviskotext"/>
        <w:spacing w:lineRule="auto" w:line="240" w:before="0" w:after="0"/>
        <w:ind w:left="357" w:hanging="0"/>
        <w:jc w:val="center"/>
        <w:rPr/>
      </w:pPr>
      <w:r>
        <w:rPr/>
        <w:drawing>
          <wp:inline distT="0" distB="0" distL="0" distR="0">
            <wp:extent cx="3872865" cy="232918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872865" cy="2329180"/>
                    </a:xfrm>
                    <a:prstGeom prst="rect">
                      <a:avLst/>
                    </a:prstGeom>
                  </pic:spPr>
                </pic:pic>
              </a:graphicData>
            </a:graphic>
          </wp:inline>
        </w:drawing>
      </w:r>
    </w:p>
    <w:p>
      <w:pPr>
        <w:pStyle w:val="Stanoviskotext"/>
        <w:spacing w:lineRule="auto" w:line="240" w:before="0" w:after="0"/>
        <w:jc w:val="center"/>
        <w:rPr>
          <w:i/>
          <w:i/>
          <w:sz w:val="16"/>
          <w:szCs w:val="16"/>
        </w:rPr>
      </w:pPr>
      <w:r>
        <w:rPr>
          <w:i/>
          <w:sz w:val="16"/>
          <w:szCs w:val="16"/>
        </w:rPr>
        <w:t>Graf: Vývoj správcovské odměny</w:t>
      </w:r>
    </w:p>
    <w:p>
      <w:pPr>
        <w:pStyle w:val="Stanoviskotext"/>
        <w:spacing w:lineRule="auto" w:line="240" w:before="0" w:after="0"/>
        <w:jc w:val="center"/>
        <w:rPr>
          <w:i/>
          <w:i/>
          <w:sz w:val="16"/>
          <w:szCs w:val="16"/>
        </w:rPr>
      </w:pPr>
      <w:r>
        <w:rPr>
          <w:i/>
          <w:sz w:val="16"/>
          <w:szCs w:val="16"/>
        </w:rPr>
      </w:r>
    </w:p>
    <w:p>
      <w:pPr>
        <w:pStyle w:val="Stanoviskotext"/>
        <w:ind w:left="360" w:hanging="0"/>
        <w:rPr/>
      </w:pPr>
      <w:r>
        <w:rPr/>
        <w:t>Vývoj tržeb z hlavní činnosti za období 2009 až 2013 pak zobrazuje následující tabulka a graf:</w:t>
      </w:r>
      <w:r>
        <w:br w:type="page"/>
      </w:r>
    </w:p>
    <w:p>
      <w:pPr>
        <w:pStyle w:val="Stanoviskotext"/>
        <w:ind w:left="360" w:hanging="0"/>
        <w:rPr/>
      </w:pPr>
      <w:r>
        <w:rPr/>
      </w:r>
    </w:p>
    <w:tbl>
      <w:tblPr>
        <w:tblW w:w="8730" w:type="dxa"/>
        <w:jc w:val="left"/>
        <w:tblInd w:w="42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699"/>
        <w:gridCol w:w="1003"/>
        <w:gridCol w:w="1003"/>
        <w:gridCol w:w="1003"/>
        <w:gridCol w:w="1004"/>
        <w:gridCol w:w="1005"/>
        <w:gridCol w:w="1013"/>
      </w:tblGrid>
      <w:tr>
        <w:trPr>
          <w:trHeight w:val="300" w:hRule="atLeast"/>
          <w:cantSplit w:val="true"/>
        </w:trPr>
        <w:tc>
          <w:tcPr>
            <w:tcW w:w="2699"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Hlavní činnost </w:t>
            </w:r>
          </w:p>
        </w:tc>
        <w:tc>
          <w:tcPr>
            <w:tcW w:w="1003"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003"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003"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004"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005"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013" w:type="dxa"/>
            <w:tcBorders>
              <w:top w:val="single" w:sz="4" w:space="0" w:color="000000"/>
              <w:left w:val="single" w:sz="4" w:space="0" w:color="000000"/>
              <w:right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r>
      <w:tr>
        <w:trPr>
          <w:trHeight w:val="300" w:hRule="atLeast"/>
          <w:cantSplit w:val="true"/>
        </w:trPr>
        <w:tc>
          <w:tcPr>
            <w:tcW w:w="2699"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1003"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2008</w:t>
            </w:r>
          </w:p>
        </w:tc>
        <w:tc>
          <w:tcPr>
            <w:tcW w:w="1003"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2009</w:t>
            </w:r>
          </w:p>
        </w:tc>
        <w:tc>
          <w:tcPr>
            <w:tcW w:w="1003"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2010</w:t>
            </w:r>
          </w:p>
        </w:tc>
        <w:tc>
          <w:tcPr>
            <w:tcW w:w="1004"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2011</w:t>
            </w:r>
          </w:p>
        </w:tc>
        <w:tc>
          <w:tcPr>
            <w:tcW w:w="1005"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2012</w:t>
            </w:r>
          </w:p>
        </w:tc>
        <w:tc>
          <w:tcPr>
            <w:tcW w:w="1013"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2013</w:t>
            </w:r>
          </w:p>
        </w:tc>
      </w:tr>
      <w:tr>
        <w:trPr>
          <w:trHeight w:val="300" w:hRule="atLeast"/>
        </w:trPr>
        <w:tc>
          <w:tcPr>
            <w:tcW w:w="2699"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TRŽBY celkem</w:t>
            </w:r>
          </w:p>
        </w:tc>
        <w:tc>
          <w:tcPr>
            <w:tcW w:w="1003"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106 645,60</w:t>
            </w:r>
          </w:p>
        </w:tc>
        <w:tc>
          <w:tcPr>
            <w:tcW w:w="1003"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118 397,40</w:t>
            </w:r>
          </w:p>
        </w:tc>
        <w:tc>
          <w:tcPr>
            <w:tcW w:w="1003"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127 551,00</w:t>
            </w:r>
          </w:p>
        </w:tc>
        <w:tc>
          <w:tcPr>
            <w:tcW w:w="1004"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133 881,70</w:t>
            </w:r>
          </w:p>
        </w:tc>
        <w:tc>
          <w:tcPr>
            <w:tcW w:w="1005"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pPr>
            <w:r>
              <w:rPr>
                <w:rFonts w:cs="Arial" w:ascii="Arial" w:hAnsi="Arial"/>
                <w:b/>
                <w:bCs/>
                <w:sz w:val="16"/>
                <w:szCs w:val="16"/>
              </w:rPr>
              <w:t>133 894,50</w:t>
            </w:r>
          </w:p>
        </w:tc>
        <w:tc>
          <w:tcPr>
            <w:tcW w:w="1013" w:type="dxa"/>
            <w:tcBorders>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142 457,00</w:t>
            </w:r>
          </w:p>
        </w:tc>
      </w:tr>
      <w:tr>
        <w:trPr>
          <w:trHeight w:val="300" w:hRule="atLeast"/>
        </w:trPr>
        <w:tc>
          <w:tcPr>
            <w:tcW w:w="2699"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odměna 0,20%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79 473,90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88 304,20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97 472,50</w:t>
            </w:r>
          </w:p>
        </w:tc>
        <w:tc>
          <w:tcPr>
            <w:tcW w:w="1004"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99 711,70</w:t>
            </w:r>
          </w:p>
        </w:tc>
        <w:tc>
          <w:tcPr>
            <w:tcW w:w="10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100 861,40</w:t>
            </w:r>
          </w:p>
        </w:tc>
        <w:tc>
          <w:tcPr>
            <w:tcW w:w="101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106 289,20</w:t>
            </w:r>
          </w:p>
        </w:tc>
      </w:tr>
      <w:tr>
        <w:trPr>
          <w:trHeight w:val="300" w:hRule="atLeast"/>
        </w:trPr>
        <w:tc>
          <w:tcPr>
            <w:tcW w:w="2699"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odměna 10%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23 567,50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24 874,50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24 247,60</w:t>
            </w:r>
          </w:p>
        </w:tc>
        <w:tc>
          <w:tcPr>
            <w:tcW w:w="1004"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24 269,00</w:t>
            </w:r>
          </w:p>
        </w:tc>
        <w:tc>
          <w:tcPr>
            <w:tcW w:w="10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24 063,20</w:t>
            </w:r>
          </w:p>
        </w:tc>
        <w:tc>
          <w:tcPr>
            <w:tcW w:w="101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22 957,80</w:t>
            </w:r>
          </w:p>
        </w:tc>
      </w:tr>
      <w:tr>
        <w:trPr>
          <w:trHeight w:val="300" w:hRule="atLeast"/>
        </w:trPr>
        <w:tc>
          <w:tcPr>
            <w:tcW w:w="2699"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ostatní příjmy</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3 604,20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5 218,70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5 830,90</w:t>
            </w:r>
          </w:p>
        </w:tc>
        <w:tc>
          <w:tcPr>
            <w:tcW w:w="1004"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9 881,50</w:t>
            </w:r>
          </w:p>
        </w:tc>
        <w:tc>
          <w:tcPr>
            <w:tcW w:w="10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8 969,90</w:t>
            </w:r>
          </w:p>
        </w:tc>
        <w:tc>
          <w:tcPr>
            <w:tcW w:w="101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12 443,00</w:t>
            </w:r>
          </w:p>
        </w:tc>
      </w:tr>
    </w:tbl>
    <w:p>
      <w:pPr>
        <w:pStyle w:val="Stanoviskotext"/>
        <w:spacing w:lineRule="auto" w:line="240" w:before="0" w:after="240"/>
        <w:ind w:left="360" w:hanging="0"/>
        <w:rPr>
          <w:i/>
          <w:i/>
          <w:sz w:val="16"/>
          <w:szCs w:val="16"/>
        </w:rPr>
      </w:pPr>
      <w:r>
        <w:rPr>
          <w:i/>
          <w:sz w:val="16"/>
          <w:szCs w:val="16"/>
        </w:rPr>
        <w:t>Zdroj: Materiál TSK: Rozbor hospodaření za rok 209 až 2013</w:t>
      </w:r>
    </w:p>
    <w:p>
      <w:pPr>
        <w:pStyle w:val="Stanoviskotext"/>
        <w:tabs>
          <w:tab w:val="center" w:pos="7020" w:leader="none"/>
        </w:tabs>
        <w:spacing w:lineRule="auto" w:line="240" w:before="0" w:after="240"/>
        <w:ind w:firstLine="900"/>
        <w:rPr>
          <w:i/>
          <w:i/>
          <w:sz w:val="16"/>
          <w:szCs w:val="16"/>
        </w:rPr>
      </w:pPr>
      <w:r>
        <w:drawing>
          <wp:anchor behindDoc="0" distT="0" distB="0" distL="114935" distR="114935" simplePos="0" locked="0" layoutInCell="1" allowOverlap="1" relativeHeight="40">
            <wp:simplePos x="0" y="0"/>
            <wp:positionH relativeFrom="column">
              <wp:posOffset>114300</wp:posOffset>
            </wp:positionH>
            <wp:positionV relativeFrom="paragraph">
              <wp:posOffset>71120</wp:posOffset>
            </wp:positionV>
            <wp:extent cx="2807970" cy="1692275"/>
            <wp:effectExtent l="0" t="0" r="0" b="0"/>
            <wp:wrapSquare wrapText="bothSides"/>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807970" cy="1692275"/>
                    </a:xfrm>
                    <a:prstGeom prst="rect">
                      <a:avLst/>
                    </a:prstGeom>
                  </pic:spPr>
                </pic:pic>
              </a:graphicData>
            </a:graphic>
          </wp:anchor>
        </w:drawing>
        <w:drawing>
          <wp:anchor behindDoc="0" distT="0" distB="0" distL="114935" distR="114935" simplePos="0" locked="0" layoutInCell="1" allowOverlap="1" relativeHeight="41">
            <wp:simplePos x="0" y="0"/>
            <wp:positionH relativeFrom="column">
              <wp:posOffset>3086100</wp:posOffset>
            </wp:positionH>
            <wp:positionV relativeFrom="paragraph">
              <wp:posOffset>71120</wp:posOffset>
            </wp:positionV>
            <wp:extent cx="2807970" cy="1692275"/>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807970" cy="1692275"/>
                    </a:xfrm>
                    <a:prstGeom prst="rect">
                      <a:avLst/>
                    </a:prstGeom>
                  </pic:spPr>
                </pic:pic>
              </a:graphicData>
            </a:graphic>
          </wp:anchor>
        </w:drawing>
      </w:r>
      <w:r>
        <w:rPr>
          <w:i/>
          <w:sz w:val="16"/>
          <w:szCs w:val="16"/>
        </w:rPr>
        <w:t>G</w:t>
      </w:r>
      <w:r>
        <w:rPr>
          <w:i/>
          <w:sz w:val="16"/>
          <w:szCs w:val="16"/>
        </w:rPr>
        <w:t>raf: Struktura tržeb z hlavní činnosti</w:t>
        <w:tab/>
        <w:t>Graf: Vývoj tržeb hlavní činnosti</w:t>
      </w:r>
    </w:p>
    <w:p>
      <w:pPr>
        <w:pStyle w:val="Stanoviskotext"/>
        <w:tabs>
          <w:tab w:val="center" w:pos="2340" w:leader="none"/>
          <w:tab w:val="center" w:pos="7020" w:leader="none"/>
        </w:tabs>
        <w:spacing w:lineRule="auto" w:line="240" w:before="0" w:after="240"/>
        <w:rPr>
          <w:i/>
          <w:i/>
          <w:sz w:val="16"/>
          <w:szCs w:val="16"/>
        </w:rPr>
      </w:pPr>
      <w:r>
        <w:rPr>
          <w:i/>
          <w:sz w:val="16"/>
          <w:szCs w:val="16"/>
        </w:rPr>
      </w:r>
    </w:p>
    <w:p>
      <w:pPr>
        <w:pStyle w:val="Stanoviskotext"/>
        <w:ind w:left="360" w:hanging="0"/>
        <w:rPr/>
      </w:pPr>
      <w:r>
        <w:rPr/>
        <w:t>Z tabulky vyplývá, že za sledované období tvořily nejvýznamnější položku příjmů odměna za správu majetku a odměna za realizované tržby. Ostatní položky je možné považovat za zanedbatelné. Z výše uvedeného grafu je pak patrné, že vzájemný podíl těchto příjmů byl ve sledovaném období stabilní.</w:t>
      </w:r>
    </w:p>
    <w:p>
      <w:pPr>
        <w:pStyle w:val="Stanoviskotext"/>
        <w:ind w:left="360" w:hanging="0"/>
        <w:rPr/>
      </w:pPr>
      <w:r>
        <w:rPr/>
        <w:t>Následující tabulka pak detailněji zobrazuje zdroje příjmů v jednotlivých letech:</w:t>
      </w:r>
    </w:p>
    <w:tbl>
      <w:tblPr>
        <w:tblW w:w="8621" w:type="dxa"/>
        <w:jc w:val="left"/>
        <w:tblInd w:w="42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881"/>
        <w:gridCol w:w="1183"/>
        <w:gridCol w:w="1138"/>
        <w:gridCol w:w="1138"/>
        <w:gridCol w:w="1138"/>
        <w:gridCol w:w="1143"/>
      </w:tblGrid>
      <w:tr>
        <w:trPr>
          <w:trHeight w:val="255" w:hRule="atLeast"/>
        </w:trPr>
        <w:tc>
          <w:tcPr>
            <w:tcW w:w="2881"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rFonts w:ascii="Arial" w:hAnsi="Arial" w:cs="Arial"/>
                <w:b/>
                <w:b/>
                <w:bCs/>
                <w:color w:val="FFFFFF"/>
                <w:sz w:val="20"/>
                <w:szCs w:val="20"/>
              </w:rPr>
            </w:pPr>
            <w:r>
              <w:rPr>
                <w:rFonts w:cs="Arial" w:ascii="Arial" w:hAnsi="Arial"/>
                <w:b/>
                <w:bCs/>
                <w:color w:val="FFFFFF"/>
                <w:sz w:val="20"/>
                <w:szCs w:val="20"/>
              </w:rPr>
              <w:t>Struktura tržeb z hlavní činnosti v tis. Kč</w:t>
            </w:r>
          </w:p>
        </w:tc>
        <w:tc>
          <w:tcPr>
            <w:tcW w:w="1183"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20"/>
                <w:szCs w:val="20"/>
              </w:rPr>
            </w:pPr>
            <w:r>
              <w:rPr>
                <w:rFonts w:cs="Arial" w:ascii="Arial" w:hAnsi="Arial"/>
                <w:b/>
                <w:bCs/>
                <w:color w:val="FFFFFF"/>
                <w:sz w:val="20"/>
                <w:szCs w:val="20"/>
              </w:rPr>
              <w:t>2009</w:t>
            </w:r>
          </w:p>
        </w:tc>
        <w:tc>
          <w:tcPr>
            <w:tcW w:w="1138"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20"/>
                <w:szCs w:val="20"/>
              </w:rPr>
            </w:pPr>
            <w:r>
              <w:rPr>
                <w:rFonts w:cs="Arial" w:ascii="Arial" w:hAnsi="Arial"/>
                <w:b/>
                <w:bCs/>
                <w:color w:val="FFFFFF"/>
                <w:sz w:val="20"/>
                <w:szCs w:val="20"/>
              </w:rPr>
              <w:t>2010</w:t>
            </w:r>
          </w:p>
        </w:tc>
        <w:tc>
          <w:tcPr>
            <w:tcW w:w="1138"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20"/>
                <w:szCs w:val="20"/>
              </w:rPr>
            </w:pPr>
            <w:r>
              <w:rPr>
                <w:rFonts w:cs="Arial" w:ascii="Arial" w:hAnsi="Arial"/>
                <w:b/>
                <w:bCs/>
                <w:color w:val="FFFFFF"/>
                <w:sz w:val="20"/>
                <w:szCs w:val="20"/>
              </w:rPr>
              <w:t>2011</w:t>
            </w:r>
          </w:p>
        </w:tc>
        <w:tc>
          <w:tcPr>
            <w:tcW w:w="1138"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20"/>
                <w:szCs w:val="20"/>
              </w:rPr>
            </w:pPr>
            <w:r>
              <w:rPr>
                <w:rFonts w:cs="Arial" w:ascii="Arial" w:hAnsi="Arial"/>
                <w:b/>
                <w:bCs/>
                <w:color w:val="FFFFFF"/>
                <w:sz w:val="20"/>
                <w:szCs w:val="20"/>
              </w:rPr>
              <w:t>2012</w:t>
            </w:r>
          </w:p>
        </w:tc>
        <w:tc>
          <w:tcPr>
            <w:tcW w:w="11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20"/>
                <w:szCs w:val="20"/>
              </w:rPr>
            </w:pPr>
            <w:r>
              <w:rPr>
                <w:rFonts w:cs="Arial" w:ascii="Arial" w:hAnsi="Arial"/>
                <w:b/>
                <w:bCs/>
                <w:color w:val="FFFFFF"/>
                <w:sz w:val="20"/>
                <w:szCs w:val="20"/>
              </w:rPr>
              <w:t>2013</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xml:space="preserve">- odměna za správu majetku dle „smlouvy“ (0,20 %) uzavřené </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88 304,20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97 472,50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99 711,67</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100 861,40</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106 289,25</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odměna za realizované tržby VHČ- (odměna 10%)</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24 874,49</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24 247,61</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24 269,00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24 063,20</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pPr>
            <w:r>
              <w:rPr>
                <w:rFonts w:cs="Arial" w:ascii="Arial" w:hAnsi="Arial"/>
                <w:sz w:val="18"/>
                <w:szCs w:val="18"/>
              </w:rPr>
              <w:t>22 957,84</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náhrady za zaviněné škody</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144,33</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35,00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16,75</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26,91</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5,00</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náhrady za soukromé využití majetku: benzín, telefony apod.</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245,53</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254,89</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254,16</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250,93</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188,30</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náhrady od pojišťovny</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0,00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291,93</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579,28</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401,37</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465,87</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úroky na běžném účtu a kurz. zisky</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215,77</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171,51</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63,09</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89,13</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52,51</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úroky z vkladového účtu</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17,76</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0,00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18,49</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437,53</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366,11</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zúčtování příjmu z fondu odměn na výplatu odměn</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3 522,57</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4 800,00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8 650,00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6 488,00</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11 820,00</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zúčtování příjmu z investičního fondu na opravy majetku</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1 072,75</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pPr>
            <w:r>
              <w:rPr>
                <w:rFonts w:cs="Arial" w:ascii="Arial" w:hAnsi="Arial"/>
                <w:sz w:val="18"/>
                <w:szCs w:val="18"/>
              </w:rPr>
              <w:t>277,57</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291,61</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1 267,10</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304,64</w:t>
            </w:r>
          </w:p>
        </w:tc>
      </w:tr>
      <w:tr>
        <w:trPr>
          <w:trHeight w:val="255" w:hRule="atLeast"/>
        </w:trPr>
        <w:tc>
          <w:tcPr>
            <w:tcW w:w="2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both"/>
              <w:rPr>
                <w:rFonts w:ascii="Arial" w:hAnsi="Arial" w:cs="Arial"/>
                <w:sz w:val="18"/>
                <w:szCs w:val="18"/>
              </w:rPr>
            </w:pPr>
            <w:r>
              <w:rPr>
                <w:rFonts w:cs="Arial" w:ascii="Arial" w:hAnsi="Arial"/>
                <w:sz w:val="18"/>
                <w:szCs w:val="18"/>
              </w:rPr>
              <w:t>- ostatní příjmy</w:t>
            </w:r>
          </w:p>
        </w:tc>
        <w:tc>
          <w:tcPr>
            <w:tcW w:w="118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0,00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0,00</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27,61</w:t>
            </w:r>
          </w:p>
        </w:tc>
        <w:tc>
          <w:tcPr>
            <w:tcW w:w="1138"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8,92</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7,85</w:t>
            </w:r>
          </w:p>
        </w:tc>
      </w:tr>
      <w:tr>
        <w:trPr>
          <w:trHeight w:val="255" w:hRule="atLeast"/>
        </w:trPr>
        <w:tc>
          <w:tcPr>
            <w:tcW w:w="2881"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both"/>
              <w:rPr>
                <w:rFonts w:ascii="Arial" w:hAnsi="Arial" w:cs="Arial"/>
                <w:b/>
                <w:b/>
                <w:bCs/>
                <w:sz w:val="18"/>
                <w:szCs w:val="18"/>
              </w:rPr>
            </w:pPr>
            <w:r>
              <w:rPr>
                <w:rFonts w:cs="Arial" w:ascii="Arial" w:hAnsi="Arial"/>
                <w:b/>
                <w:bCs/>
                <w:sz w:val="18"/>
                <w:szCs w:val="18"/>
              </w:rPr>
              <w:t>Celkem</w:t>
            </w:r>
          </w:p>
        </w:tc>
        <w:tc>
          <w:tcPr>
            <w:tcW w:w="1183"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118 397,39</w:t>
            </w:r>
          </w:p>
        </w:tc>
        <w:tc>
          <w:tcPr>
            <w:tcW w:w="1138"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127 551,01</w:t>
            </w:r>
          </w:p>
        </w:tc>
        <w:tc>
          <w:tcPr>
            <w:tcW w:w="1138"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133 881,66</w:t>
            </w:r>
          </w:p>
        </w:tc>
        <w:tc>
          <w:tcPr>
            <w:tcW w:w="1138"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133 894,49</w:t>
            </w:r>
          </w:p>
        </w:tc>
        <w:tc>
          <w:tcPr>
            <w:tcW w:w="1143"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142 457,38</w:t>
            </w:r>
          </w:p>
        </w:tc>
      </w:tr>
    </w:tbl>
    <w:p>
      <w:pPr>
        <w:pStyle w:val="Stanoviskotext"/>
        <w:spacing w:lineRule="auto" w:line="240" w:before="0" w:after="240"/>
        <w:ind w:left="360" w:hanging="0"/>
        <w:rPr>
          <w:i/>
          <w:i/>
          <w:sz w:val="16"/>
          <w:szCs w:val="16"/>
        </w:rPr>
      </w:pPr>
      <w:r>
        <w:rPr>
          <w:i/>
          <w:sz w:val="16"/>
          <w:szCs w:val="16"/>
        </w:rPr>
        <w:t>Zdroj: Materiál TSK: Rozbor hospodaření za roky 2009 až 2013</w:t>
      </w:r>
    </w:p>
    <w:p>
      <w:pPr>
        <w:pStyle w:val="Stanoviskotext"/>
        <w:numPr>
          <w:ilvl w:val="0"/>
          <w:numId w:val="11"/>
        </w:numPr>
        <w:rPr/>
      </w:pPr>
      <w:r>
        <w:rPr/>
        <w:t>příjmy z rozpočtu hl. m. Prahy formou neinvestiční dotace spojené s úhradou běžných výdajů hlavní činnosti, které v roce 2013 činily 77.719 tis. Kč</w:t>
      </w:r>
    </w:p>
    <w:p>
      <w:pPr>
        <w:pStyle w:val="Stanoviskotext"/>
        <w:ind w:left="360" w:hanging="0"/>
        <w:rPr/>
      </w:pPr>
      <w:r>
        <w:rPr/>
        <w:t>Neinvestiční dotace měla do roku 2009 vzrůstající trend. V dalších letech již zaznamenává pokles v průměru okolo 5 %.</w:t>
      </w:r>
    </w:p>
    <w:p>
      <w:pPr>
        <w:pStyle w:val="Stanoviskotext"/>
        <w:ind w:left="360" w:hanging="0"/>
        <w:rPr/>
      </w:pPr>
      <w:r>
        <w:rPr/>
      </w:r>
    </w:p>
    <w:tbl>
      <w:tblPr>
        <w:tblW w:w="8650" w:type="dxa"/>
        <w:jc w:val="left"/>
        <w:tblInd w:w="42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1980"/>
        <w:gridCol w:w="1110"/>
        <w:gridCol w:w="1110"/>
        <w:gridCol w:w="1110"/>
        <w:gridCol w:w="1110"/>
        <w:gridCol w:w="1110"/>
        <w:gridCol w:w="1120"/>
      </w:tblGrid>
      <w:tr>
        <w:trPr>
          <w:trHeight w:val="300" w:hRule="atLeast"/>
          <w:cantSplit w:val="true"/>
        </w:trPr>
        <w:tc>
          <w:tcPr>
            <w:tcW w:w="1980"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Hlavní činnost </w:t>
            </w:r>
          </w:p>
        </w:tc>
        <w:tc>
          <w:tcPr>
            <w:tcW w:w="111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11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110" w:type="dxa"/>
            <w:tcBorders>
              <w:top w:val="single" w:sz="4" w:space="0" w:color="000000"/>
              <w:left w:val="single" w:sz="4" w:space="0" w:color="000000"/>
            </w:tcBorders>
            <w:shd w:fill="666699" w:val="clear"/>
            <w:tcMar>
              <w:left w:w="65" w:type="dxa"/>
            </w:tcMar>
            <w:vAlign w:val="bottom"/>
          </w:tcPr>
          <w:p>
            <w:pPr>
              <w:pStyle w:val="Normal"/>
              <w:jc w:val="center"/>
              <w:rPr/>
            </w:pPr>
            <w:r>
              <w:rPr>
                <w:rFonts w:cs="Arial" w:ascii="Arial" w:hAnsi="Arial"/>
                <w:b/>
                <w:bCs/>
                <w:color w:val="FFFFFF"/>
                <w:sz w:val="16"/>
                <w:szCs w:val="16"/>
              </w:rPr>
              <w:t>Skutečnost</w:t>
            </w:r>
          </w:p>
        </w:tc>
        <w:tc>
          <w:tcPr>
            <w:tcW w:w="111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11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120" w:type="dxa"/>
            <w:tcBorders>
              <w:top w:val="single" w:sz="4" w:space="0" w:color="000000"/>
              <w:left w:val="single" w:sz="4" w:space="0" w:color="000000"/>
              <w:right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r>
      <w:tr>
        <w:trPr>
          <w:trHeight w:val="300" w:hRule="atLeast"/>
          <w:cantSplit w:val="true"/>
        </w:trPr>
        <w:tc>
          <w:tcPr>
            <w:tcW w:w="1980"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111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2008</w:t>
            </w:r>
          </w:p>
        </w:tc>
        <w:tc>
          <w:tcPr>
            <w:tcW w:w="111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2009</w:t>
            </w:r>
          </w:p>
        </w:tc>
        <w:tc>
          <w:tcPr>
            <w:tcW w:w="111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2010</w:t>
            </w:r>
          </w:p>
        </w:tc>
        <w:tc>
          <w:tcPr>
            <w:tcW w:w="111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2011</w:t>
            </w:r>
          </w:p>
        </w:tc>
        <w:tc>
          <w:tcPr>
            <w:tcW w:w="111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2012</w:t>
            </w:r>
          </w:p>
        </w:tc>
        <w:tc>
          <w:tcPr>
            <w:tcW w:w="1120"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2013</w:t>
            </w:r>
          </w:p>
        </w:tc>
      </w:tr>
      <w:tr>
        <w:trPr>
          <w:trHeight w:val="300" w:hRule="atLeast"/>
        </w:trPr>
        <w:tc>
          <w:tcPr>
            <w:tcW w:w="19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Neinvestiční příspěvek</w:t>
            </w:r>
          </w:p>
        </w:tc>
        <w:tc>
          <w:tcPr>
            <w:tcW w:w="111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89 845,20</w:t>
            </w:r>
          </w:p>
        </w:tc>
        <w:tc>
          <w:tcPr>
            <w:tcW w:w="111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93 193,00</w:t>
            </w:r>
          </w:p>
        </w:tc>
        <w:tc>
          <w:tcPr>
            <w:tcW w:w="111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92 230,10</w:t>
            </w:r>
          </w:p>
        </w:tc>
        <w:tc>
          <w:tcPr>
            <w:tcW w:w="111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87 160,00</w:t>
            </w:r>
          </w:p>
        </w:tc>
        <w:tc>
          <w:tcPr>
            <w:tcW w:w="111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82 389,00</w:t>
            </w:r>
          </w:p>
        </w:tc>
        <w:tc>
          <w:tcPr>
            <w:tcW w:w="112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77 719,50</w:t>
            </w:r>
          </w:p>
        </w:tc>
      </w:tr>
    </w:tbl>
    <w:p>
      <w:pPr>
        <w:pStyle w:val="Stanoviskotext"/>
        <w:spacing w:lineRule="auto" w:line="240" w:before="0" w:after="240"/>
        <w:ind w:left="360" w:hanging="0"/>
        <w:rPr/>
      </w:pPr>
      <w:r>
        <w:rPr>
          <w:i/>
          <w:sz w:val="16"/>
          <w:szCs w:val="16"/>
        </w:rPr>
        <w:t>Zdroj: Materiál TSK: Rozbor hospodaření za rok 2009 až 2013</w:t>
      </w:r>
    </w:p>
    <w:p>
      <w:pPr>
        <w:pStyle w:val="Stanoviskotext"/>
        <w:spacing w:lineRule="auto" w:line="240" w:before="0" w:after="240"/>
        <w:ind w:left="360" w:hanging="0"/>
        <w:rPr>
          <w:i/>
          <w:i/>
          <w:sz w:val="16"/>
          <w:szCs w:val="16"/>
        </w:rPr>
      </w:pPr>
      <w:r>
        <w:rPr>
          <w:i/>
          <w:sz w:val="16"/>
          <w:szCs w:val="16"/>
        </w:rPr>
      </w:r>
    </w:p>
    <w:p>
      <w:pPr>
        <w:pStyle w:val="Stanoviskotext"/>
        <w:spacing w:lineRule="auto" w:line="240" w:before="0" w:after="0"/>
        <w:jc w:val="center"/>
        <w:rPr/>
      </w:pPr>
      <w:r>
        <w:rPr/>
        <w:drawing>
          <wp:inline distT="0" distB="0" distL="0" distR="0">
            <wp:extent cx="3558540" cy="214058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558540" cy="2140585"/>
                    </a:xfrm>
                    <a:prstGeom prst="rect">
                      <a:avLst/>
                    </a:prstGeom>
                  </pic:spPr>
                </pic:pic>
              </a:graphicData>
            </a:graphic>
          </wp:inline>
        </w:drawing>
      </w:r>
    </w:p>
    <w:p>
      <w:pPr>
        <w:pStyle w:val="Stanoviskotext"/>
        <w:spacing w:lineRule="auto" w:line="240" w:before="0" w:after="0"/>
        <w:jc w:val="center"/>
        <w:rPr>
          <w:i/>
          <w:i/>
          <w:sz w:val="16"/>
          <w:szCs w:val="16"/>
        </w:rPr>
      </w:pPr>
      <w:r>
        <w:rPr>
          <w:i/>
          <w:sz w:val="16"/>
          <w:szCs w:val="16"/>
        </w:rPr>
        <w:t>Graf: Vývoj neinvestičního příspěvku</w:t>
      </w:r>
    </w:p>
    <w:p>
      <w:pPr>
        <w:pStyle w:val="Stanoviskotext"/>
        <w:spacing w:lineRule="auto" w:line="240" w:before="0" w:after="0"/>
        <w:ind w:left="357" w:hanging="0"/>
        <w:jc w:val="center"/>
        <w:rPr>
          <w:i/>
          <w:i/>
          <w:sz w:val="16"/>
          <w:szCs w:val="16"/>
        </w:rPr>
      </w:pPr>
      <w:r>
        <w:rPr>
          <w:i/>
          <w:sz w:val="16"/>
          <w:szCs w:val="16"/>
        </w:rPr>
      </w:r>
    </w:p>
    <w:p>
      <w:pPr>
        <w:pStyle w:val="Stanoviskotext"/>
        <w:rPr>
          <w:u w:val="single"/>
        </w:rPr>
      </w:pPr>
      <w:r>
        <w:rPr>
          <w:u w:val="single"/>
        </w:rPr>
      </w:r>
    </w:p>
    <w:p>
      <w:pPr>
        <w:pStyle w:val="Stanoviskotext"/>
        <w:rPr>
          <w:u w:val="single"/>
        </w:rPr>
      </w:pPr>
      <w:r>
        <w:rPr>
          <w:u w:val="single"/>
        </w:rPr>
        <w:t>V rámci doplňkové činnosti</w:t>
      </w:r>
    </w:p>
    <w:p>
      <w:pPr>
        <w:pStyle w:val="Stanoviskotext"/>
        <w:numPr>
          <w:ilvl w:val="0"/>
          <w:numId w:val="11"/>
        </w:numPr>
        <w:rPr/>
      </w:pPr>
      <w:r>
        <w:rPr/>
        <w:t>tržbami z prodeje vlastních výrobků a služeb, které v roce 2013 činily 48.958 tis. Kč</w:t>
      </w:r>
    </w:p>
    <w:p>
      <w:pPr>
        <w:pStyle w:val="Stanoviskotext"/>
        <w:ind w:left="360" w:hanging="0"/>
        <w:rPr/>
      </w:pPr>
      <w:r>
        <w:rPr/>
        <w:t>Tyto příjmy jsou generovány zejména pronájmem autobusových zastávek provozovatelům hromadné dopravy, údržbou na komunikacích, které nejsou ve správě TSK, a projektovými a dalšími výstupy dopravního inženýrství Tyto tržby zaznamenávají od roku 2010 rostoucí trend.</w:t>
      </w:r>
    </w:p>
    <w:tbl>
      <w:tblPr>
        <w:tblW w:w="8690" w:type="dxa"/>
        <w:jc w:val="left"/>
        <w:tblInd w:w="42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340"/>
        <w:gridCol w:w="1132"/>
        <w:gridCol w:w="1052"/>
        <w:gridCol w:w="1052"/>
        <w:gridCol w:w="1052"/>
        <w:gridCol w:w="1003"/>
        <w:gridCol w:w="1059"/>
      </w:tblGrid>
      <w:tr>
        <w:trPr>
          <w:trHeight w:val="300" w:hRule="atLeast"/>
          <w:cantSplit w:val="true"/>
        </w:trPr>
        <w:tc>
          <w:tcPr>
            <w:tcW w:w="2340"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Doplňková činnost</w:t>
            </w:r>
          </w:p>
        </w:tc>
        <w:tc>
          <w:tcPr>
            <w:tcW w:w="1132"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052"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052"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052"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003"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059" w:type="dxa"/>
            <w:tcBorders>
              <w:top w:val="single" w:sz="4" w:space="0" w:color="000000"/>
              <w:left w:val="single" w:sz="4" w:space="0" w:color="000000"/>
              <w:right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 </w:t>
            </w:r>
          </w:p>
        </w:tc>
      </w:tr>
      <w:tr>
        <w:trPr>
          <w:trHeight w:val="360" w:hRule="atLeast"/>
          <w:cantSplit w:val="true"/>
        </w:trPr>
        <w:tc>
          <w:tcPr>
            <w:tcW w:w="2340"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1132"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color w:val="FFFFFF"/>
                <w:sz w:val="20"/>
                <w:szCs w:val="20"/>
              </w:rPr>
            </w:pPr>
            <w:r>
              <w:rPr>
                <w:rFonts w:cs="Arial" w:ascii="Arial" w:hAnsi="Arial"/>
                <w:color w:val="FFFFFF"/>
                <w:sz w:val="20"/>
                <w:szCs w:val="20"/>
              </w:rPr>
              <w:t>2008</w:t>
            </w:r>
          </w:p>
        </w:tc>
        <w:tc>
          <w:tcPr>
            <w:tcW w:w="1052"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2009</w:t>
            </w:r>
          </w:p>
        </w:tc>
        <w:tc>
          <w:tcPr>
            <w:tcW w:w="1052"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2010</w:t>
            </w:r>
          </w:p>
        </w:tc>
        <w:tc>
          <w:tcPr>
            <w:tcW w:w="1052"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2011</w:t>
            </w:r>
          </w:p>
        </w:tc>
        <w:tc>
          <w:tcPr>
            <w:tcW w:w="1003"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2012</w:t>
            </w:r>
          </w:p>
        </w:tc>
        <w:tc>
          <w:tcPr>
            <w:tcW w:w="1059"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2013</w:t>
            </w:r>
          </w:p>
        </w:tc>
      </w:tr>
      <w:tr>
        <w:trPr>
          <w:trHeight w:val="300" w:hRule="atLeast"/>
        </w:trPr>
        <w:tc>
          <w:tcPr>
            <w:tcW w:w="234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TRŽBY celkem</w:t>
            </w:r>
          </w:p>
        </w:tc>
        <w:tc>
          <w:tcPr>
            <w:tcW w:w="1132"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44 974,80</w:t>
            </w:r>
          </w:p>
        </w:tc>
        <w:tc>
          <w:tcPr>
            <w:tcW w:w="1052"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42 254,00</w:t>
            </w:r>
          </w:p>
        </w:tc>
        <w:tc>
          <w:tcPr>
            <w:tcW w:w="1052"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50 463,40</w:t>
            </w:r>
          </w:p>
        </w:tc>
        <w:tc>
          <w:tcPr>
            <w:tcW w:w="1052"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44 402,00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000000"/>
                <w:sz w:val="16"/>
                <w:szCs w:val="16"/>
              </w:rPr>
            </w:pPr>
            <w:r>
              <w:rPr>
                <w:rFonts w:cs="Arial" w:ascii="Arial" w:hAnsi="Arial"/>
                <w:b/>
                <w:bCs/>
                <w:color w:val="000000"/>
                <w:sz w:val="16"/>
                <w:szCs w:val="16"/>
              </w:rPr>
              <w:t>48 068,70</w:t>
            </w:r>
          </w:p>
        </w:tc>
        <w:tc>
          <w:tcPr>
            <w:tcW w:w="105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48 958,10</w:t>
            </w:r>
          </w:p>
        </w:tc>
      </w:tr>
    </w:tbl>
    <w:p>
      <w:pPr>
        <w:pStyle w:val="Stanoviskotext"/>
        <w:spacing w:lineRule="auto" w:line="240" w:before="0" w:after="0"/>
        <w:jc w:val="center"/>
        <w:rPr/>
      </w:pPr>
      <w:r>
        <w:rPr/>
        <w:drawing>
          <wp:inline distT="0" distB="0" distL="0" distR="0">
            <wp:extent cx="3872865" cy="232918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872865" cy="2329180"/>
                    </a:xfrm>
                    <a:prstGeom prst="rect">
                      <a:avLst/>
                    </a:prstGeom>
                  </pic:spPr>
                </pic:pic>
              </a:graphicData>
            </a:graphic>
          </wp:inline>
        </w:drawing>
      </w:r>
    </w:p>
    <w:p>
      <w:pPr>
        <w:pStyle w:val="Stanoviskotext"/>
        <w:spacing w:lineRule="auto" w:line="240" w:before="0" w:after="0"/>
        <w:jc w:val="center"/>
        <w:rPr>
          <w:i/>
          <w:i/>
          <w:sz w:val="16"/>
          <w:szCs w:val="16"/>
        </w:rPr>
      </w:pPr>
      <w:r>
        <w:rPr>
          <w:i/>
          <w:sz w:val="16"/>
          <w:szCs w:val="16"/>
        </w:rPr>
        <w:t>Graf: Vývoj tržeb z doplňkové činnosti</w:t>
      </w:r>
    </w:p>
    <w:p>
      <w:pPr>
        <w:pStyle w:val="Stanoviskotext"/>
        <w:spacing w:lineRule="auto" w:line="240" w:before="0" w:after="0"/>
        <w:ind w:left="539" w:hanging="0"/>
        <w:jc w:val="center"/>
        <w:rPr>
          <w:i/>
          <w:i/>
          <w:sz w:val="16"/>
          <w:szCs w:val="16"/>
        </w:rPr>
      </w:pPr>
      <w:r>
        <w:rPr>
          <w:i/>
          <w:sz w:val="16"/>
          <w:szCs w:val="16"/>
        </w:rPr>
      </w:r>
    </w:p>
    <w:p>
      <w:pPr>
        <w:pStyle w:val="Stanovisko4"/>
        <w:numPr>
          <w:ilvl w:val="0"/>
          <w:numId w:val="3"/>
        </w:numPr>
        <w:rPr/>
      </w:pPr>
      <w:r>
        <w:rPr/>
        <w:t>Analýza nákladů</w:t>
      </w:r>
    </w:p>
    <w:p>
      <w:pPr>
        <w:pStyle w:val="Stanoviskotext"/>
        <w:rPr>
          <w:u w:val="single"/>
        </w:rPr>
      </w:pPr>
      <w:r>
        <w:rPr>
          <w:u w:val="single"/>
        </w:rPr>
        <w:t xml:space="preserve">Náklady hlavní činnosti </w:t>
      </w:r>
    </w:p>
    <w:p>
      <w:pPr>
        <w:pStyle w:val="Stanoviskotext"/>
        <w:rPr/>
      </w:pPr>
      <w:r>
        <w:rPr/>
        <w:t>Náklady na hlavní činnost činily v roce 2013 celkem 232.768 tis. Kč. Jejich nejvýznamnější položkou byly osobní náklady a náklady na služby, zejména náklady na nájem a služby s ním spojené. Podrobnou strukturu nákladů na hlavní činnost zobrazuje následující tabulka a graf:</w:t>
      </w:r>
      <w:r>
        <w:br w:type="page"/>
      </w:r>
    </w:p>
    <w:p>
      <w:pPr>
        <w:pStyle w:val="Stanoviskotext"/>
        <w:rPr/>
      </w:pPr>
      <w:r>
        <w:rPr/>
      </w:r>
    </w:p>
    <w:tbl>
      <w:tblPr>
        <w:tblW w:w="9015" w:type="dxa"/>
        <w:jc w:val="left"/>
        <w:tblInd w:w="6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6125"/>
        <w:gridCol w:w="2890"/>
      </w:tblGrid>
      <w:tr>
        <w:trPr>
          <w:trHeight w:val="300" w:hRule="atLeast"/>
          <w:cantSplit w:val="true"/>
        </w:trPr>
        <w:tc>
          <w:tcPr>
            <w:tcW w:w="6125"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Hlavní činnost </w:t>
            </w:r>
          </w:p>
        </w:tc>
        <w:tc>
          <w:tcPr>
            <w:tcW w:w="2890" w:type="dxa"/>
            <w:tcBorders>
              <w:top w:val="single" w:sz="4" w:space="0" w:color="000000"/>
              <w:left w:val="single" w:sz="4" w:space="0" w:color="000000"/>
              <w:right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r>
      <w:tr>
        <w:trPr>
          <w:trHeight w:val="300" w:hRule="atLeast"/>
          <w:cantSplit w:val="true"/>
        </w:trPr>
        <w:tc>
          <w:tcPr>
            <w:tcW w:w="6125"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2013</w:t>
            </w:r>
          </w:p>
        </w:tc>
      </w:tr>
      <w:tr>
        <w:trPr>
          <w:trHeight w:val="300" w:hRule="atLeast"/>
        </w:trPr>
        <w:tc>
          <w:tcPr>
            <w:tcW w:w="612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6"/>
                <w:szCs w:val="16"/>
              </w:rPr>
            </w:pPr>
            <w:r>
              <w:rPr>
                <w:rFonts w:cs="Arial" w:ascii="Arial" w:hAnsi="Arial"/>
                <w:b/>
                <w:bCs/>
                <w:sz w:val="16"/>
                <w:szCs w:val="16"/>
              </w:rPr>
              <w:t>NÁKLADY celkem</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232 768,30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z toho vybrané položky</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 </w:t>
            </w:r>
          </w:p>
        </w:tc>
      </w:tr>
      <w:tr>
        <w:trPr>
          <w:trHeight w:val="300" w:hRule="atLeast"/>
        </w:trPr>
        <w:tc>
          <w:tcPr>
            <w:tcW w:w="6125" w:type="dxa"/>
            <w:tcBorders>
              <w:left w:val="single" w:sz="4" w:space="0" w:color="000000"/>
              <w:bottom w:val="single" w:sz="4" w:space="0" w:color="000000"/>
              <w:insideH w:val="single" w:sz="4" w:space="0" w:color="000000"/>
            </w:tcBorders>
            <w:shd w:fill="CCFFFF" w:val="clear"/>
            <w:tcMar>
              <w:left w:w="65" w:type="dxa"/>
            </w:tcMar>
            <w:vAlign w:val="bottom"/>
          </w:tcPr>
          <w:p>
            <w:pPr>
              <w:pStyle w:val="Normal"/>
              <w:rPr>
                <w:rFonts w:ascii="Arial" w:hAnsi="Arial" w:cs="Arial"/>
                <w:b/>
                <w:b/>
                <w:bCs/>
                <w:sz w:val="16"/>
                <w:szCs w:val="16"/>
              </w:rPr>
            </w:pPr>
            <w:r>
              <w:rPr>
                <w:rFonts w:cs="Arial" w:ascii="Arial" w:hAnsi="Arial"/>
                <w:b/>
                <w:bCs/>
                <w:sz w:val="16"/>
                <w:szCs w:val="16"/>
              </w:rPr>
              <w:t>Spotřebované nákupy</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CCFFFF"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9 192,20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spotřeba materiálu (501)</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4 815,30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sz w:val="16"/>
                <w:szCs w:val="16"/>
              </w:rPr>
              <w:t>spotřeba energie (502)</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4 376,90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ostatní spotřeba</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 </w:t>
            </w:r>
          </w:p>
        </w:tc>
      </w:tr>
      <w:tr>
        <w:trPr>
          <w:trHeight w:val="300" w:hRule="atLeast"/>
        </w:trPr>
        <w:tc>
          <w:tcPr>
            <w:tcW w:w="6125" w:type="dxa"/>
            <w:tcBorders>
              <w:left w:val="single" w:sz="4" w:space="0" w:color="000000"/>
              <w:bottom w:val="single" w:sz="4" w:space="0" w:color="000000"/>
              <w:insideH w:val="single" w:sz="4" w:space="0" w:color="000000"/>
            </w:tcBorders>
            <w:shd w:fill="CCFFFF" w:val="clear"/>
            <w:tcMar>
              <w:left w:w="65" w:type="dxa"/>
            </w:tcMar>
            <w:vAlign w:val="bottom"/>
          </w:tcPr>
          <w:p>
            <w:pPr>
              <w:pStyle w:val="Normal"/>
              <w:rPr>
                <w:rFonts w:ascii="Arial" w:hAnsi="Arial" w:cs="Arial"/>
                <w:b/>
                <w:b/>
                <w:bCs/>
                <w:sz w:val="16"/>
                <w:szCs w:val="16"/>
              </w:rPr>
            </w:pPr>
            <w:r>
              <w:rPr>
                <w:rFonts w:cs="Arial" w:ascii="Arial" w:hAnsi="Arial"/>
                <w:b/>
                <w:bCs/>
                <w:sz w:val="16"/>
                <w:szCs w:val="16"/>
              </w:rPr>
              <w:t>Služby</w:t>
            </w:r>
            <w:r>
              <w:rPr>
                <w:rFonts w:cs="Arial" w:ascii="Arial" w:hAnsi="Arial"/>
                <w:sz w:val="16"/>
                <w:szCs w:val="16"/>
              </w:rPr>
              <w:t xml:space="preserve"> </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CCFFFF"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42 076,90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opravy a udržování (511)</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6 800,70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cestovné (512)</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1 244,20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náklady na reprezentaci (513)</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559,00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sz w:val="16"/>
                <w:szCs w:val="16"/>
              </w:rPr>
              <w:t>nájemné a služby (nebyt. prost.) (518)</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24 995,50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úklid (518)</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2 220,10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výkony spojů (518)</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6 257,40</w:t>
            </w:r>
          </w:p>
        </w:tc>
      </w:tr>
      <w:tr>
        <w:trPr>
          <w:trHeight w:val="300" w:hRule="atLeast"/>
        </w:trPr>
        <w:tc>
          <w:tcPr>
            <w:tcW w:w="6125" w:type="dxa"/>
            <w:tcBorders>
              <w:left w:val="single" w:sz="4" w:space="0" w:color="000000"/>
              <w:bottom w:val="single" w:sz="4" w:space="0" w:color="000000"/>
              <w:insideH w:val="single" w:sz="4" w:space="0" w:color="000000"/>
            </w:tcBorders>
            <w:shd w:fill="CCFFFF" w:val="clear"/>
            <w:tcMar>
              <w:left w:w="65" w:type="dxa"/>
            </w:tcMar>
            <w:vAlign w:val="bottom"/>
          </w:tcPr>
          <w:p>
            <w:pPr>
              <w:pStyle w:val="Normal"/>
              <w:rPr>
                <w:rFonts w:ascii="Arial" w:hAnsi="Arial" w:cs="Arial"/>
                <w:b/>
                <w:b/>
                <w:bCs/>
                <w:sz w:val="16"/>
                <w:szCs w:val="16"/>
              </w:rPr>
            </w:pPr>
            <w:r>
              <w:rPr>
                <w:rFonts w:cs="Arial" w:ascii="Arial" w:hAnsi="Arial"/>
                <w:b/>
                <w:bCs/>
                <w:sz w:val="16"/>
                <w:szCs w:val="16"/>
              </w:rPr>
              <w:t>Osobní náklady</w:t>
            </w:r>
            <w:r>
              <w:rPr>
                <w:rFonts w:cs="Arial" w:ascii="Arial" w:hAnsi="Arial"/>
                <w:sz w:val="16"/>
                <w:szCs w:val="16"/>
              </w:rPr>
              <w:t xml:space="preserve"> </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CCFFFF"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155 108,30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mzdové náklady (521 030x)</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111 126,80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ostatní osobní náklady (521 031x)</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565,00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zákonné soc. pojištění (524)</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38 436,20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zák. soc. náklady - FKSP(527 030x)</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1 116,20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sz w:val="16"/>
                <w:szCs w:val="16"/>
              </w:rPr>
              <w:t>náhr. za doč. neschopnost (521 0341)</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493,70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sz w:val="16"/>
                <w:szCs w:val="16"/>
              </w:rPr>
              <w:t>náklady na stravenky (528 0331)</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2 719,60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sz w:val="16"/>
                <w:szCs w:val="16"/>
              </w:rPr>
              <w:t>prev. prohlídky (528 033x)</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6,60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jiné sociální pojištění (525 0311)</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644,20</w:t>
            </w:r>
          </w:p>
        </w:tc>
      </w:tr>
      <w:tr>
        <w:trPr>
          <w:trHeight w:val="300" w:hRule="atLeast"/>
        </w:trPr>
        <w:tc>
          <w:tcPr>
            <w:tcW w:w="6125" w:type="dxa"/>
            <w:tcBorders>
              <w:left w:val="single" w:sz="4" w:space="0" w:color="000000"/>
              <w:bottom w:val="single" w:sz="4" w:space="0" w:color="000000"/>
              <w:insideH w:val="single" w:sz="4" w:space="0" w:color="000000"/>
            </w:tcBorders>
            <w:shd w:fill="CCFFFF" w:val="clear"/>
            <w:tcMar>
              <w:left w:w="65" w:type="dxa"/>
            </w:tcMar>
            <w:vAlign w:val="bottom"/>
          </w:tcPr>
          <w:p>
            <w:pPr>
              <w:pStyle w:val="Normal"/>
              <w:rPr>
                <w:rFonts w:ascii="Arial" w:hAnsi="Arial" w:cs="Arial"/>
                <w:b/>
                <w:b/>
                <w:bCs/>
                <w:sz w:val="16"/>
                <w:szCs w:val="16"/>
              </w:rPr>
            </w:pPr>
            <w:r>
              <w:rPr>
                <w:rFonts w:cs="Arial" w:ascii="Arial" w:hAnsi="Arial"/>
                <w:b/>
                <w:bCs/>
                <w:sz w:val="16"/>
                <w:szCs w:val="16"/>
              </w:rPr>
              <w:t>Daně a poplatky (53x)</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CCFFFF"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3 309,60</w:t>
            </w:r>
          </w:p>
        </w:tc>
      </w:tr>
      <w:tr>
        <w:trPr>
          <w:trHeight w:val="300" w:hRule="atLeast"/>
        </w:trPr>
        <w:tc>
          <w:tcPr>
            <w:tcW w:w="6125" w:type="dxa"/>
            <w:tcBorders>
              <w:left w:val="single" w:sz="4" w:space="0" w:color="000000"/>
              <w:bottom w:val="single" w:sz="4" w:space="0" w:color="000000"/>
              <w:insideH w:val="single" w:sz="4" w:space="0" w:color="000000"/>
            </w:tcBorders>
            <w:shd w:fill="CCFFFF" w:val="clear"/>
            <w:tcMar>
              <w:left w:w="65" w:type="dxa"/>
            </w:tcMar>
            <w:vAlign w:val="bottom"/>
          </w:tcPr>
          <w:p>
            <w:pPr>
              <w:pStyle w:val="Normal"/>
              <w:rPr>
                <w:rFonts w:ascii="Arial" w:hAnsi="Arial" w:cs="Arial"/>
                <w:b/>
                <w:b/>
                <w:bCs/>
                <w:sz w:val="16"/>
                <w:szCs w:val="16"/>
              </w:rPr>
            </w:pPr>
            <w:r>
              <w:rPr>
                <w:rFonts w:cs="Arial" w:ascii="Arial" w:hAnsi="Arial"/>
                <w:b/>
                <w:bCs/>
                <w:sz w:val="16"/>
                <w:szCs w:val="16"/>
              </w:rPr>
              <w:t>Ostatní náklady</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CCFFFF"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8 576,60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úroky</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2,60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sz w:val="16"/>
                <w:szCs w:val="16"/>
              </w:rPr>
              <w:t>jiné ost. náklady (549 03xx)</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8 570,40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z toho účel.prostř. Kap.03</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7 109,60</w:t>
            </w:r>
          </w:p>
        </w:tc>
      </w:tr>
      <w:tr>
        <w:trPr>
          <w:trHeight w:val="300" w:hRule="atLeast"/>
        </w:trPr>
        <w:tc>
          <w:tcPr>
            <w:tcW w:w="6125" w:type="dxa"/>
            <w:tcBorders>
              <w:left w:val="single" w:sz="4" w:space="0" w:color="000000"/>
              <w:bottom w:val="single" w:sz="4" w:space="0" w:color="000000"/>
              <w:insideH w:val="single" w:sz="4" w:space="0" w:color="000000"/>
            </w:tcBorders>
            <w:shd w:fill="CCFFFF" w:val="clear"/>
            <w:tcMar>
              <w:left w:w="65" w:type="dxa"/>
            </w:tcMar>
            <w:vAlign w:val="bottom"/>
          </w:tcPr>
          <w:p>
            <w:pPr>
              <w:pStyle w:val="Normal"/>
              <w:rPr>
                <w:rFonts w:ascii="Arial" w:hAnsi="Arial" w:cs="Arial"/>
                <w:b/>
                <w:b/>
                <w:bCs/>
                <w:sz w:val="16"/>
                <w:szCs w:val="16"/>
              </w:rPr>
            </w:pPr>
            <w:r>
              <w:rPr>
                <w:rFonts w:cs="Arial" w:ascii="Arial" w:hAnsi="Arial"/>
                <w:b/>
                <w:bCs/>
                <w:sz w:val="16"/>
                <w:szCs w:val="16"/>
              </w:rPr>
              <w:t>Odpisy dlouhodobého majetku</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CCFFFF"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11 951,10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z toho: z budov a staveb (551)</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98,70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eastAsia="Arial" w:cs="Arial" w:ascii="Arial" w:hAnsi="Arial"/>
                <w:sz w:val="16"/>
                <w:szCs w:val="16"/>
              </w:rPr>
              <w:t xml:space="preserve">           </w:t>
            </w:r>
            <w:r>
              <w:rPr>
                <w:rFonts w:cs="Arial" w:ascii="Arial" w:hAnsi="Arial"/>
                <w:sz w:val="16"/>
                <w:szCs w:val="16"/>
              </w:rPr>
              <w:t>zařízení (551)</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11 852,40</w:t>
            </w:r>
          </w:p>
        </w:tc>
      </w:tr>
      <w:tr>
        <w:trPr>
          <w:trHeight w:val="300" w:hRule="atLeast"/>
        </w:trPr>
        <w:tc>
          <w:tcPr>
            <w:tcW w:w="6125" w:type="dxa"/>
            <w:tcBorders>
              <w:left w:val="single" w:sz="4" w:space="0" w:color="000000"/>
              <w:bottom w:val="single" w:sz="4" w:space="0" w:color="000000"/>
              <w:insideH w:val="single" w:sz="4" w:space="0" w:color="000000"/>
            </w:tcBorders>
            <w:shd w:fill="CCFFFF" w:val="clear"/>
            <w:tcMar>
              <w:left w:w="65" w:type="dxa"/>
            </w:tcMar>
            <w:vAlign w:val="bottom"/>
          </w:tcPr>
          <w:p>
            <w:pPr>
              <w:pStyle w:val="Normal"/>
              <w:rPr>
                <w:rFonts w:ascii="Arial" w:hAnsi="Arial" w:cs="Arial"/>
                <w:b/>
                <w:b/>
                <w:bCs/>
                <w:sz w:val="16"/>
                <w:szCs w:val="16"/>
              </w:rPr>
            </w:pPr>
            <w:r>
              <w:rPr>
                <w:rFonts w:cs="Arial" w:ascii="Arial" w:hAnsi="Arial"/>
                <w:b/>
                <w:bCs/>
                <w:sz w:val="16"/>
                <w:szCs w:val="16"/>
              </w:rPr>
              <w:t xml:space="preserve">Drobný dlouhod. majetek </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CCFFFF"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2 551,00</w:t>
            </w:r>
          </w:p>
        </w:tc>
      </w:tr>
      <w:tr>
        <w:trPr>
          <w:trHeight w:val="300" w:hRule="atLeast"/>
        </w:trPr>
        <w:tc>
          <w:tcPr>
            <w:tcW w:w="61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 xml:space="preserve">Daň z příjmů </w:t>
            </w:r>
            <w:r>
              <w:rPr>
                <w:rFonts w:cs="Arial" w:ascii="Arial" w:hAnsi="Arial"/>
                <w:sz w:val="16"/>
                <w:szCs w:val="16"/>
              </w:rPr>
              <w:t>(591)</w:t>
            </w:r>
          </w:p>
        </w:tc>
        <w:tc>
          <w:tcPr>
            <w:tcW w:w="2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0,00</w:t>
            </w:r>
          </w:p>
        </w:tc>
      </w:tr>
    </w:tbl>
    <w:p>
      <w:pPr>
        <w:pStyle w:val="Stanoviskotext"/>
        <w:spacing w:lineRule="auto" w:line="240" w:before="0" w:after="240"/>
        <w:rPr/>
      </w:pPr>
      <w:r>
        <w:rPr>
          <w:i/>
          <w:sz w:val="16"/>
          <w:szCs w:val="16"/>
        </w:rPr>
        <w:t>Zdroj: Materiál TSK: Rozbor hospodaření za rok 2009 až 2013</w:t>
      </w:r>
      <w:r>
        <w:br w:type="page"/>
      </w:r>
    </w:p>
    <w:p>
      <w:pPr>
        <w:pStyle w:val="Stanoviskotext"/>
        <w:spacing w:lineRule="auto" w:line="240" w:before="0" w:after="0"/>
        <w:jc w:val="center"/>
        <w:rPr>
          <w:i/>
          <w:i/>
          <w:sz w:val="16"/>
          <w:szCs w:val="16"/>
        </w:rPr>
      </w:pPr>
      <w:r>
        <w:rPr>
          <w:i/>
          <w:sz w:val="16"/>
          <w:szCs w:val="16"/>
        </w:rPr>
      </w:r>
    </w:p>
    <w:p>
      <w:pPr>
        <w:pStyle w:val="Stanoviskotext"/>
        <w:spacing w:lineRule="auto" w:line="240" w:before="0" w:after="0"/>
        <w:rPr>
          <w:i/>
          <w:i/>
          <w:sz w:val="16"/>
          <w:szCs w:val="16"/>
          <w:lang w:val="en-US" w:eastAsia="en-US"/>
        </w:rPr>
      </w:pPr>
      <w:r>
        <w:rPr>
          <w:i/>
          <w:sz w:val="16"/>
          <w:szCs w:val="16"/>
          <w:lang w:val="en-US" w:eastAsia="en-US"/>
        </w:rPr>
        <mc:AlternateContent>
          <mc:Choice Requires="wpg">
            <w:drawing>
              <wp:anchor behindDoc="0" distT="0" distB="0" distL="114935" distR="114935" simplePos="0" locked="0" layoutInCell="1" allowOverlap="1" relativeHeight="43">
                <wp:simplePos x="0" y="0"/>
                <wp:positionH relativeFrom="column">
                  <wp:posOffset>114300</wp:posOffset>
                </wp:positionH>
                <wp:positionV relativeFrom="paragraph">
                  <wp:posOffset>75565</wp:posOffset>
                </wp:positionV>
                <wp:extent cx="5780405" cy="1696085"/>
                <wp:effectExtent l="0" t="0" r="0" b="0"/>
                <wp:wrapNone/>
                <wp:docPr id="8" name=""/>
                <a:graphic xmlns:a="http://schemas.openxmlformats.org/drawingml/2006/main">
                  <a:graphicData uri="http://schemas.microsoft.com/office/word/2010/wordprocessingGroup">
                    <wpg:wgp>
                      <wpg:cNvGrpSpPr/>
                      <wpg:grpSpPr>
                        <a:xfrm>
                          <a:off x="0" y="0"/>
                          <a:ext cx="5779800" cy="1695600"/>
                        </a:xfrm>
                      </wpg:grpSpPr>
                      <pic:pic xmlns:pic="http://schemas.openxmlformats.org/drawingml/2006/picture">
                        <pic:nvPicPr>
                          <pic:cNvPr id="0" name="" descr=""/>
                          <pic:cNvPicPr/>
                        </pic:nvPicPr>
                        <pic:blipFill>
                          <a:blip r:embed="rId9"/>
                          <a:stretch/>
                        </pic:blipFill>
                        <pic:spPr>
                          <a:xfrm>
                            <a:off x="2971800" y="0"/>
                            <a:ext cx="2808000" cy="1692360"/>
                          </a:xfrm>
                          <a:prstGeom prst="rect">
                            <a:avLst/>
                          </a:prstGeom>
                          <a:ln>
                            <a:noFill/>
                          </a:ln>
                        </pic:spPr>
                      </pic:pic>
                      <pic:pic xmlns:pic="http://schemas.openxmlformats.org/drawingml/2006/picture">
                        <pic:nvPicPr>
                          <pic:cNvPr id="1" name="" descr=""/>
                          <pic:cNvPicPr/>
                        </pic:nvPicPr>
                        <pic:blipFill>
                          <a:blip r:embed="rId10"/>
                          <a:stretch/>
                        </pic:blipFill>
                        <pic:spPr>
                          <a:xfrm>
                            <a:off x="0" y="0"/>
                            <a:ext cx="2809800" cy="1695600"/>
                          </a:xfrm>
                          <a:prstGeom prst="rect">
                            <a:avLst/>
                          </a:prstGeom>
                          <a:ln>
                            <a:noFill/>
                          </a:ln>
                        </pic:spPr>
                      </pic:pic>
                    </wpg:wgp>
                  </a:graphicData>
                </a:graphic>
              </wp:anchor>
            </w:drawing>
          </mc:Choice>
          <mc:Fallback>
            <w:pict>
              <v:group id="shape_0" style="position:absolute;margin-left:9pt;margin-top:5.95pt;width:455.1pt;height:133.5pt" coordorigin="180,119" coordsize="9102,2670">
                <v:rect id="shape_0" stroked="f" style="position:absolute;left:4860;top:119;width:4421;height:2664">
                  <v:imagedata r:id="rId9" o:detectmouseclick="t"/>
                  <w10:wrap type="none"/>
                  <v:stroke color="#3465a4" joinstyle="round" endcap="flat"/>
                </v:rect>
                <v:rect id="shape_0" stroked="f" style="position:absolute;left:180;top:119;width:4424;height:2669">
                  <v:imagedata r:id="rId10" o:detectmouseclick="t"/>
                  <w10:wrap type="none"/>
                  <v:stroke color="#3465a4" joinstyle="round" endcap="flat"/>
                </v:rect>
              </v:group>
            </w:pict>
          </mc:Fallback>
        </mc:AlternateContent>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spacing w:lineRule="auto" w:line="240" w:before="0" w:after="0"/>
        <w:rPr/>
      </w:pPr>
      <w:r>
        <w:rPr>
          <w:rFonts w:eastAsia="Verdana"/>
          <w:i/>
          <w:sz w:val="16"/>
          <w:szCs w:val="16"/>
        </w:rPr>
        <w:t xml:space="preserve">     </w:t>
      </w:r>
      <w:r>
        <w:rPr>
          <w:i/>
          <w:sz w:val="16"/>
          <w:szCs w:val="16"/>
        </w:rPr>
        <w:t xml:space="preserve">Graf: Struktura nákladů na hlavní činnost                          </w:t>
      </w:r>
    </w:p>
    <w:p>
      <w:pPr>
        <w:pStyle w:val="Stanoviskotext"/>
        <w:spacing w:lineRule="auto" w:line="240" w:before="0" w:after="0"/>
        <w:rPr>
          <w:i/>
          <w:i/>
          <w:sz w:val="16"/>
          <w:szCs w:val="16"/>
        </w:rPr>
      </w:pPr>
      <w:r>
        <w:rPr>
          <w:i/>
          <w:sz w:val="16"/>
          <w:szCs w:val="16"/>
        </w:rPr>
      </w:r>
    </w:p>
    <w:p>
      <w:pPr>
        <w:pStyle w:val="Stanoviskotext"/>
        <w:spacing w:lineRule="auto" w:line="240" w:before="0" w:after="0"/>
        <w:rPr>
          <w:i/>
          <w:i/>
          <w:sz w:val="16"/>
          <w:szCs w:val="16"/>
        </w:rPr>
      </w:pPr>
      <w:r>
        <w:rPr>
          <w:i/>
          <w:sz w:val="16"/>
          <w:szCs w:val="16"/>
        </w:rPr>
      </w:r>
    </w:p>
    <w:p>
      <w:pPr>
        <w:pStyle w:val="Stanoviskotext"/>
        <w:tabs>
          <w:tab w:val="center" w:pos="7020" w:leader="none"/>
        </w:tabs>
        <w:spacing w:lineRule="auto" w:line="240" w:before="0" w:after="0"/>
        <w:ind w:firstLine="540"/>
        <w:rPr/>
      </w:pPr>
      <w:r>
        <w:rPr>
          <w:i/>
          <w:sz w:val="16"/>
          <w:szCs w:val="16"/>
        </w:rPr>
        <w:t>Graf : Struktura nákladů na hlavní činnost</w:t>
        <w:tab/>
        <w:t>Graf: Vývoj nákladů na hlavní činnost</w:t>
      </w:r>
    </w:p>
    <w:p>
      <w:pPr>
        <w:pStyle w:val="Stanoviskotext"/>
        <w:spacing w:lineRule="auto" w:line="240" w:before="0" w:after="0"/>
        <w:rPr/>
      </w:pPr>
      <w:r>
        <w:rPr/>
      </w:r>
    </w:p>
    <w:p>
      <w:pPr>
        <w:pStyle w:val="Stanoviskotext"/>
        <w:rPr>
          <w:u w:val="single"/>
        </w:rPr>
      </w:pPr>
      <w:r>
        <w:rPr>
          <w:u w:val="single"/>
        </w:rPr>
      </w:r>
    </w:p>
    <w:p>
      <w:pPr>
        <w:pStyle w:val="Stanoviskotext"/>
        <w:rPr>
          <w:u w:val="single"/>
        </w:rPr>
      </w:pPr>
      <w:r>
        <w:rPr>
          <w:u w:val="single"/>
        </w:rPr>
        <w:t>Kapitálové výdaje</w:t>
      </w:r>
    </w:p>
    <w:p>
      <w:pPr>
        <w:pStyle w:val="Stanoviskotext"/>
        <w:rPr/>
      </w:pPr>
      <w:r>
        <w:rPr/>
        <w:t>Zdroje na financování kapitálových výdajů vytváří TSK z odpisů. Jejich výše se promítá do neinvestičních nákladů a jejich limit je zřizovatelem stanoven v neinvestičním příspěvku. V roce 2013 činily kapitálové výdaje 14 071 tis. Kč.</w:t>
      </w:r>
    </w:p>
    <w:tbl>
      <w:tblPr>
        <w:tblW w:w="9010" w:type="dxa"/>
        <w:jc w:val="left"/>
        <w:tblInd w:w="7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6300"/>
        <w:gridCol w:w="2710"/>
      </w:tblGrid>
      <w:tr>
        <w:trPr>
          <w:trHeight w:val="338" w:hRule="atLeast"/>
        </w:trPr>
        <w:tc>
          <w:tcPr>
            <w:tcW w:w="63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rPr>
                <w:rFonts w:ascii="Arial" w:hAnsi="Arial" w:cs="Arial"/>
                <w:b/>
                <w:b/>
                <w:bCs/>
                <w:color w:val="FFFFFF"/>
                <w:sz w:val="20"/>
                <w:szCs w:val="20"/>
              </w:rPr>
            </w:pPr>
            <w:r>
              <w:rPr>
                <w:rFonts w:cs="Arial" w:ascii="Arial" w:hAnsi="Arial"/>
                <w:b/>
                <w:bCs/>
                <w:color w:val="FFFFFF"/>
                <w:sz w:val="20"/>
                <w:szCs w:val="20"/>
              </w:rPr>
              <w:t>Kapitálové výdaje</w:t>
            </w:r>
          </w:p>
        </w:tc>
        <w:tc>
          <w:tcPr>
            <w:tcW w:w="27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v tis. Kč</w:t>
            </w:r>
          </w:p>
        </w:tc>
      </w:tr>
      <w:tr>
        <w:trPr>
          <w:trHeight w:val="255" w:hRule="atLeast"/>
        </w:trPr>
        <w:tc>
          <w:tcPr>
            <w:tcW w:w="6300" w:type="dxa"/>
            <w:tcBorders>
              <w:left w:val="single" w:sz="4" w:space="0" w:color="000000"/>
              <w:bottom w:val="single" w:sz="4" w:space="0" w:color="000000"/>
              <w:insideH w:val="single" w:sz="4" w:space="0" w:color="000000"/>
            </w:tcBorders>
            <w:shd w:fill="auto" w:val="clear"/>
            <w:tcMar>
              <w:left w:w="65" w:type="dxa"/>
            </w:tcMar>
          </w:tcPr>
          <w:p>
            <w:pPr>
              <w:pStyle w:val="Normal"/>
              <w:rPr>
                <w:rFonts w:ascii="Arial" w:hAnsi="Arial" w:cs="Arial"/>
                <w:sz w:val="20"/>
                <w:szCs w:val="20"/>
              </w:rPr>
            </w:pPr>
            <w:r>
              <w:rPr>
                <w:rFonts w:cs="Arial" w:ascii="Arial" w:hAnsi="Arial"/>
                <w:sz w:val="20"/>
                <w:szCs w:val="20"/>
              </w:rPr>
              <w:t>programové vybavení</w:t>
            </w:r>
          </w:p>
        </w:tc>
        <w:tc>
          <w:tcPr>
            <w:tcW w:w="27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4 734,22</w:t>
            </w:r>
          </w:p>
        </w:tc>
      </w:tr>
      <w:tr>
        <w:trPr>
          <w:trHeight w:val="255" w:hRule="atLeast"/>
        </w:trPr>
        <w:tc>
          <w:tcPr>
            <w:tcW w:w="6300" w:type="dxa"/>
            <w:tcBorders>
              <w:left w:val="single" w:sz="4" w:space="0" w:color="000000"/>
              <w:bottom w:val="single" w:sz="4" w:space="0" w:color="000000"/>
              <w:insideH w:val="single" w:sz="4" w:space="0" w:color="000000"/>
            </w:tcBorders>
            <w:shd w:fill="auto" w:val="clear"/>
            <w:tcMar>
              <w:left w:w="65" w:type="dxa"/>
            </w:tcMar>
          </w:tcPr>
          <w:p>
            <w:pPr>
              <w:pStyle w:val="Normal"/>
              <w:rPr>
                <w:rFonts w:ascii="Arial" w:hAnsi="Arial" w:cs="Arial"/>
                <w:sz w:val="20"/>
                <w:szCs w:val="20"/>
              </w:rPr>
            </w:pPr>
            <w:r>
              <w:rPr>
                <w:rFonts w:cs="Arial" w:ascii="Arial" w:hAnsi="Arial"/>
                <w:sz w:val="20"/>
                <w:szCs w:val="20"/>
              </w:rPr>
              <w:t>služební vozidla</w:t>
            </w:r>
          </w:p>
        </w:tc>
        <w:tc>
          <w:tcPr>
            <w:tcW w:w="27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3 397,31</w:t>
            </w:r>
          </w:p>
        </w:tc>
      </w:tr>
      <w:tr>
        <w:trPr>
          <w:trHeight w:val="255" w:hRule="atLeast"/>
        </w:trPr>
        <w:tc>
          <w:tcPr>
            <w:tcW w:w="6300" w:type="dxa"/>
            <w:tcBorders>
              <w:left w:val="single" w:sz="4" w:space="0" w:color="000000"/>
              <w:bottom w:val="single" w:sz="4" w:space="0" w:color="000000"/>
              <w:insideH w:val="single" w:sz="4" w:space="0" w:color="000000"/>
            </w:tcBorders>
            <w:shd w:fill="auto" w:val="clear"/>
            <w:tcMar>
              <w:left w:w="65" w:type="dxa"/>
            </w:tcMar>
          </w:tcPr>
          <w:p>
            <w:pPr>
              <w:pStyle w:val="Normal"/>
              <w:rPr>
                <w:rFonts w:ascii="Arial" w:hAnsi="Arial" w:cs="Arial"/>
                <w:sz w:val="20"/>
                <w:szCs w:val="20"/>
              </w:rPr>
            </w:pPr>
            <w:r>
              <w:rPr>
                <w:rFonts w:cs="Arial" w:ascii="Arial" w:hAnsi="Arial"/>
                <w:sz w:val="20"/>
                <w:szCs w:val="20"/>
              </w:rPr>
              <w:t>zařízení odborných útvarů</w:t>
            </w:r>
          </w:p>
        </w:tc>
        <w:tc>
          <w:tcPr>
            <w:tcW w:w="27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667,49</w:t>
            </w:r>
          </w:p>
        </w:tc>
      </w:tr>
      <w:tr>
        <w:trPr>
          <w:trHeight w:val="255" w:hRule="atLeast"/>
        </w:trPr>
        <w:tc>
          <w:tcPr>
            <w:tcW w:w="6300" w:type="dxa"/>
            <w:tcBorders>
              <w:left w:val="single" w:sz="4" w:space="0" w:color="000000"/>
              <w:bottom w:val="single" w:sz="4" w:space="0" w:color="000000"/>
              <w:insideH w:val="single" w:sz="4" w:space="0" w:color="000000"/>
            </w:tcBorders>
            <w:shd w:fill="auto" w:val="clear"/>
            <w:tcMar>
              <w:left w:w="65" w:type="dxa"/>
            </w:tcMar>
          </w:tcPr>
          <w:p>
            <w:pPr>
              <w:pStyle w:val="Normal"/>
              <w:rPr>
                <w:rFonts w:ascii="Arial" w:hAnsi="Arial" w:cs="Arial"/>
                <w:sz w:val="20"/>
                <w:szCs w:val="20"/>
              </w:rPr>
            </w:pPr>
            <w:r>
              <w:rPr>
                <w:rFonts w:cs="Arial" w:ascii="Arial" w:hAnsi="Arial"/>
                <w:sz w:val="20"/>
                <w:szCs w:val="20"/>
              </w:rPr>
              <w:t>VT a technika navazující na VT</w:t>
            </w:r>
          </w:p>
        </w:tc>
        <w:tc>
          <w:tcPr>
            <w:tcW w:w="27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4 967,57</w:t>
            </w:r>
          </w:p>
        </w:tc>
      </w:tr>
      <w:tr>
        <w:trPr>
          <w:trHeight w:val="255" w:hRule="atLeast"/>
        </w:trPr>
        <w:tc>
          <w:tcPr>
            <w:tcW w:w="6300" w:type="dxa"/>
            <w:tcBorders>
              <w:left w:val="single" w:sz="4" w:space="0" w:color="000000"/>
              <w:bottom w:val="single" w:sz="4" w:space="0" w:color="000000"/>
              <w:insideH w:val="single" w:sz="4" w:space="0" w:color="000000"/>
            </w:tcBorders>
            <w:shd w:fill="auto" w:val="clear"/>
            <w:tcMar>
              <w:left w:w="65" w:type="dxa"/>
            </w:tcMar>
          </w:tcPr>
          <w:p>
            <w:pPr>
              <w:pStyle w:val="Normal"/>
              <w:rPr>
                <w:rFonts w:ascii="Arial" w:hAnsi="Arial" w:cs="Arial"/>
                <w:sz w:val="20"/>
                <w:szCs w:val="20"/>
              </w:rPr>
            </w:pPr>
            <w:r>
              <w:rPr>
                <w:rFonts w:cs="Arial" w:ascii="Arial" w:hAnsi="Arial"/>
                <w:sz w:val="20"/>
                <w:szCs w:val="20"/>
              </w:rPr>
              <w:t>financ. oprav a údržby budovy ul. Podlipného</w:t>
            </w:r>
          </w:p>
        </w:tc>
        <w:tc>
          <w:tcPr>
            <w:tcW w:w="27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304,64</w:t>
            </w:r>
          </w:p>
        </w:tc>
      </w:tr>
      <w:tr>
        <w:trPr>
          <w:trHeight w:val="255" w:hRule="atLeast"/>
        </w:trPr>
        <w:tc>
          <w:tcPr>
            <w:tcW w:w="6300" w:type="dxa"/>
            <w:tcBorders>
              <w:left w:val="single" w:sz="4" w:space="0" w:color="000000"/>
              <w:bottom w:val="single" w:sz="4" w:space="0" w:color="000000"/>
              <w:insideH w:val="single" w:sz="4" w:space="0" w:color="000000"/>
            </w:tcBorders>
            <w:shd w:fill="99CC00" w:val="clear"/>
            <w:tcMar>
              <w:left w:w="65" w:type="dxa"/>
            </w:tcMar>
          </w:tcPr>
          <w:p>
            <w:pPr>
              <w:pStyle w:val="Normal"/>
              <w:rPr>
                <w:rFonts w:ascii="Arial" w:hAnsi="Arial" w:cs="Arial"/>
                <w:b/>
                <w:b/>
                <w:bCs/>
                <w:sz w:val="20"/>
                <w:szCs w:val="20"/>
              </w:rPr>
            </w:pPr>
            <w:r>
              <w:rPr>
                <w:rFonts w:cs="Arial" w:ascii="Arial" w:hAnsi="Arial"/>
                <w:b/>
                <w:bCs/>
                <w:sz w:val="20"/>
                <w:szCs w:val="20"/>
              </w:rPr>
              <w:t>celkem</w:t>
            </w:r>
          </w:p>
        </w:tc>
        <w:tc>
          <w:tcPr>
            <w:tcW w:w="271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tcPr>
          <w:p>
            <w:pPr>
              <w:pStyle w:val="Normal"/>
              <w:jc w:val="right"/>
              <w:rPr>
                <w:rFonts w:ascii="Arial" w:hAnsi="Arial" w:cs="Arial"/>
                <w:b/>
                <w:b/>
                <w:bCs/>
                <w:sz w:val="20"/>
                <w:szCs w:val="20"/>
              </w:rPr>
            </w:pPr>
            <w:r>
              <w:rPr>
                <w:rFonts w:cs="Arial" w:ascii="Arial" w:hAnsi="Arial"/>
                <w:b/>
                <w:bCs/>
                <w:sz w:val="20"/>
                <w:szCs w:val="20"/>
              </w:rPr>
              <w:t>14 071,23</w:t>
            </w:r>
          </w:p>
        </w:tc>
      </w:tr>
    </w:tbl>
    <w:p>
      <w:pPr>
        <w:pStyle w:val="Stanoviskotext"/>
        <w:spacing w:lineRule="auto" w:line="240" w:before="0" w:after="240"/>
        <w:rPr/>
      </w:pPr>
      <w:r>
        <w:rPr>
          <w:i/>
          <w:sz w:val="16"/>
          <w:szCs w:val="16"/>
        </w:rPr>
        <w:t>Zdroj: Materiál TSK: Rozbor hospodaření za rok 2009 až 2013</w:t>
      </w:r>
    </w:p>
    <w:p>
      <w:pPr>
        <w:pStyle w:val="Stanoviskotext"/>
        <w:rPr>
          <w:i/>
          <w:i/>
          <w:sz w:val="16"/>
          <w:szCs w:val="16"/>
        </w:rPr>
      </w:pPr>
      <w:r>
        <w:rPr>
          <w:i/>
          <w:sz w:val="16"/>
          <w:szCs w:val="16"/>
        </w:rPr>
      </w:r>
    </w:p>
    <w:p>
      <w:pPr>
        <w:pStyle w:val="Stanoviskotext"/>
        <w:rPr>
          <w:u w:val="single"/>
        </w:rPr>
      </w:pPr>
      <w:r>
        <w:rPr>
          <w:u w:val="single"/>
        </w:rPr>
        <w:t>Náklady doplňkové činnosti</w:t>
      </w:r>
    </w:p>
    <w:p>
      <w:pPr>
        <w:pStyle w:val="Stanoviskotext"/>
        <w:rPr/>
      </w:pPr>
      <w:r>
        <w:rPr/>
        <w:t>Náklady na dílčí činnost činily v roce 2013 celkem 32.283 tis. Kč. Jejich nejvýznamnější položkou byly náklady na služby, zejména náklady na nájem a služby s ním spojené. Podrobnou strukturu nákladů na dílčí činnost zobrazuje následující tabulka:</w:t>
      </w:r>
      <w:r>
        <w:br w:type="page"/>
      </w:r>
    </w:p>
    <w:p>
      <w:pPr>
        <w:pStyle w:val="Stanoviskotext"/>
        <w:rPr/>
      </w:pPr>
      <w:r>
        <w:rPr/>
      </w:r>
    </w:p>
    <w:tbl>
      <w:tblPr>
        <w:tblW w:w="9015" w:type="dxa"/>
        <w:jc w:val="left"/>
        <w:tblInd w:w="6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5405"/>
        <w:gridCol w:w="3610"/>
      </w:tblGrid>
      <w:tr>
        <w:trPr>
          <w:trHeight w:val="300" w:hRule="atLeast"/>
          <w:cantSplit w:val="true"/>
        </w:trPr>
        <w:tc>
          <w:tcPr>
            <w:tcW w:w="5405"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Náklady doplňková činnost</w:t>
            </w:r>
          </w:p>
        </w:tc>
        <w:tc>
          <w:tcPr>
            <w:tcW w:w="3610" w:type="dxa"/>
            <w:tcBorders>
              <w:top w:val="single" w:sz="4" w:space="0" w:color="000000"/>
              <w:left w:val="single" w:sz="4" w:space="0" w:color="000000"/>
              <w:right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 </w:t>
            </w:r>
          </w:p>
        </w:tc>
      </w:tr>
      <w:tr>
        <w:trPr>
          <w:trHeight w:val="360" w:hRule="atLeast"/>
          <w:cantSplit w:val="true"/>
        </w:trPr>
        <w:tc>
          <w:tcPr>
            <w:tcW w:w="5405"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2013</w:t>
            </w:r>
          </w:p>
        </w:tc>
      </w:tr>
      <w:tr>
        <w:trPr>
          <w:trHeight w:val="300" w:hRule="atLeast"/>
        </w:trPr>
        <w:tc>
          <w:tcPr>
            <w:tcW w:w="540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6"/>
                <w:szCs w:val="16"/>
              </w:rPr>
            </w:pPr>
            <w:r>
              <w:rPr>
                <w:rFonts w:cs="Arial" w:ascii="Arial" w:hAnsi="Arial"/>
                <w:b/>
                <w:bCs/>
                <w:sz w:val="16"/>
                <w:szCs w:val="16"/>
              </w:rPr>
              <w:t>NÁKLADY celkem</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pPr>
            <w:r>
              <w:rPr>
                <w:rFonts w:cs="Arial" w:ascii="Arial" w:hAnsi="Arial"/>
                <w:b/>
                <w:bCs/>
                <w:sz w:val="16"/>
                <w:szCs w:val="16"/>
              </w:rPr>
              <w:t>32 282,60</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z toho vybrané položky</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 </w:t>
            </w:r>
          </w:p>
        </w:tc>
      </w:tr>
      <w:tr>
        <w:trPr>
          <w:trHeight w:val="300" w:hRule="atLeast"/>
        </w:trPr>
        <w:tc>
          <w:tcPr>
            <w:tcW w:w="5405"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Spotřebované nákupy</w:t>
            </w:r>
          </w:p>
        </w:tc>
        <w:tc>
          <w:tcPr>
            <w:tcW w:w="36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865,10</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z toho: spotřeba materiálu</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201,7</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eastAsia="Arial" w:cs="Arial" w:ascii="Arial" w:hAnsi="Arial"/>
                <w:sz w:val="16"/>
                <w:szCs w:val="16"/>
              </w:rPr>
              <w:t xml:space="preserve">            </w:t>
            </w:r>
            <w:r>
              <w:rPr>
                <w:rFonts w:cs="Arial" w:ascii="Arial" w:hAnsi="Arial"/>
                <w:sz w:val="16"/>
                <w:szCs w:val="16"/>
              </w:rPr>
              <w:t>spotřeba energie</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663,4</w:t>
            </w:r>
          </w:p>
        </w:tc>
      </w:tr>
      <w:tr>
        <w:trPr>
          <w:trHeight w:val="300" w:hRule="atLeast"/>
        </w:trPr>
        <w:tc>
          <w:tcPr>
            <w:tcW w:w="5405"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Služby</w:t>
            </w:r>
          </w:p>
        </w:tc>
        <w:tc>
          <w:tcPr>
            <w:tcW w:w="36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23 905,50</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z toho: opravy a udržování</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2312,3</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eastAsia="Arial" w:cs="Arial" w:ascii="Arial" w:hAnsi="Arial"/>
                <w:sz w:val="16"/>
                <w:szCs w:val="16"/>
              </w:rPr>
              <w:t xml:space="preserve">            </w:t>
            </w:r>
            <w:r>
              <w:rPr>
                <w:rFonts w:cs="Arial" w:ascii="Arial" w:hAnsi="Arial"/>
                <w:sz w:val="16"/>
                <w:szCs w:val="16"/>
              </w:rPr>
              <w:t>cestovné</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16,4</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eastAsia="Arial" w:cs="Arial" w:ascii="Arial" w:hAnsi="Arial"/>
                <w:sz w:val="16"/>
                <w:szCs w:val="16"/>
              </w:rPr>
              <w:t xml:space="preserve">            </w:t>
            </w:r>
            <w:r>
              <w:rPr>
                <w:rFonts w:cs="Arial" w:ascii="Arial" w:hAnsi="Arial"/>
                <w:sz w:val="16"/>
                <w:szCs w:val="16"/>
              </w:rPr>
              <w:t>nájemné a služby (nebyt. prostory)</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16 505,50</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eastAsia="Arial" w:cs="Arial" w:ascii="Arial" w:hAnsi="Arial"/>
                <w:sz w:val="16"/>
                <w:szCs w:val="16"/>
              </w:rPr>
              <w:t xml:space="preserve">            </w:t>
            </w:r>
            <w:r>
              <w:rPr>
                <w:rFonts w:cs="Arial" w:ascii="Arial" w:hAnsi="Arial"/>
                <w:sz w:val="16"/>
                <w:szCs w:val="16"/>
              </w:rPr>
              <w:t>úklid</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3 925,10</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eastAsia="Arial" w:cs="Arial" w:ascii="Arial" w:hAnsi="Arial"/>
                <w:sz w:val="16"/>
                <w:szCs w:val="16"/>
              </w:rPr>
              <w:t xml:space="preserve">            </w:t>
            </w:r>
            <w:r>
              <w:rPr>
                <w:rFonts w:cs="Arial" w:ascii="Arial" w:hAnsi="Arial"/>
                <w:sz w:val="16"/>
                <w:szCs w:val="16"/>
              </w:rPr>
              <w:t>výkony spojů</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1146,2</w:t>
            </w:r>
          </w:p>
        </w:tc>
      </w:tr>
      <w:tr>
        <w:trPr>
          <w:trHeight w:val="300" w:hRule="atLeast"/>
        </w:trPr>
        <w:tc>
          <w:tcPr>
            <w:tcW w:w="5405"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Osobní náklady</w:t>
            </w:r>
          </w:p>
        </w:tc>
        <w:tc>
          <w:tcPr>
            <w:tcW w:w="36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3 784,00</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mzdové náklady (521 003x)</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2 742,00</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 xml:space="preserve">zákonné soc. pojištění </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956,20</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 xml:space="preserve">zák. soc. náklady - FKSP </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27,4</w:t>
            </w:r>
          </w:p>
        </w:tc>
      </w:tr>
      <w:tr>
        <w:trPr>
          <w:trHeight w:val="300" w:hRule="atLeast"/>
        </w:trPr>
        <w:tc>
          <w:tcPr>
            <w:tcW w:w="540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6"/>
                <w:szCs w:val="16"/>
              </w:rPr>
            </w:pPr>
            <w:r>
              <w:rPr>
                <w:rFonts w:cs="Arial" w:ascii="Arial" w:hAnsi="Arial"/>
                <w:sz w:val="16"/>
                <w:szCs w:val="16"/>
              </w:rPr>
              <w:t>stravování</w:t>
            </w:r>
          </w:p>
        </w:tc>
        <w:tc>
          <w:tcPr>
            <w:tcW w:w="36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58,4</w:t>
            </w:r>
          </w:p>
        </w:tc>
      </w:tr>
      <w:tr>
        <w:trPr>
          <w:trHeight w:val="300" w:hRule="atLeast"/>
        </w:trPr>
        <w:tc>
          <w:tcPr>
            <w:tcW w:w="5405"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Daně a poplatky (53x)</w:t>
            </w:r>
          </w:p>
        </w:tc>
        <w:tc>
          <w:tcPr>
            <w:tcW w:w="36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18,10</w:t>
            </w:r>
          </w:p>
        </w:tc>
      </w:tr>
      <w:tr>
        <w:trPr>
          <w:trHeight w:val="300" w:hRule="atLeast"/>
        </w:trPr>
        <w:tc>
          <w:tcPr>
            <w:tcW w:w="5405"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 xml:space="preserve">Daň z příjmů </w:t>
            </w:r>
          </w:p>
        </w:tc>
        <w:tc>
          <w:tcPr>
            <w:tcW w:w="36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3 709,90</w:t>
            </w:r>
          </w:p>
        </w:tc>
      </w:tr>
    </w:tbl>
    <w:p>
      <w:pPr>
        <w:pStyle w:val="Stanoviskotext"/>
        <w:spacing w:lineRule="auto" w:line="240" w:before="0" w:after="240"/>
        <w:rPr/>
      </w:pPr>
      <w:r>
        <w:rPr>
          <w:i/>
          <w:sz w:val="16"/>
          <w:szCs w:val="16"/>
        </w:rPr>
        <w:t>Zdroj: Materiál TSK: Rozbor hospodaření za rok 2009 až 2013</w:t>
      </w:r>
    </w:p>
    <w:p>
      <w:pPr>
        <w:pStyle w:val="Stanoviskotext"/>
        <w:spacing w:lineRule="auto" w:line="240" w:before="0" w:after="240"/>
        <w:rPr>
          <w:i/>
          <w:i/>
          <w:sz w:val="16"/>
          <w:szCs w:val="16"/>
        </w:rPr>
      </w:pPr>
      <w:r>
        <w:rPr>
          <w:i/>
          <w:sz w:val="16"/>
          <w:szCs w:val="16"/>
        </w:rPr>
      </w:r>
    </w:p>
    <w:p>
      <w:pPr>
        <w:pStyle w:val="Stanoviskotext"/>
        <w:spacing w:lineRule="auto" w:line="240" w:before="0" w:after="240"/>
        <w:rPr>
          <w:i/>
          <w:i/>
          <w:sz w:val="16"/>
          <w:szCs w:val="16"/>
        </w:rPr>
      </w:pPr>
      <w:r>
        <w:rPr>
          <w:i/>
          <w:sz w:val="16"/>
          <w:szCs w:val="16"/>
        </w:rPr>
      </w:r>
    </w:p>
    <w:p>
      <w:pPr>
        <w:pStyle w:val="Stanoviskotext"/>
        <w:spacing w:lineRule="auto" w:line="240" w:before="0" w:after="240"/>
        <w:rPr>
          <w:i/>
          <w:i/>
          <w:sz w:val="16"/>
          <w:szCs w:val="16"/>
          <w:lang w:val="en-US" w:eastAsia="en-US"/>
        </w:rPr>
      </w:pPr>
      <w:r>
        <w:rPr>
          <w:i/>
          <w:sz w:val="16"/>
          <w:szCs w:val="16"/>
          <w:lang w:val="en-US" w:eastAsia="en-US"/>
        </w:rPr>
        <mc:AlternateContent>
          <mc:Choice Requires="wpg">
            <w:drawing>
              <wp:anchor behindDoc="0" distT="0" distB="0" distL="114935" distR="114935" simplePos="0" locked="0" layoutInCell="1" allowOverlap="1" relativeHeight="44">
                <wp:simplePos x="0" y="0"/>
                <wp:positionH relativeFrom="column">
                  <wp:posOffset>114300</wp:posOffset>
                </wp:positionH>
                <wp:positionV relativeFrom="paragraph">
                  <wp:posOffset>66040</wp:posOffset>
                </wp:positionV>
                <wp:extent cx="5668010" cy="1696085"/>
                <wp:effectExtent l="0" t="0" r="0" b="0"/>
                <wp:wrapNone/>
                <wp:docPr id="9" name=""/>
                <a:graphic xmlns:a="http://schemas.openxmlformats.org/drawingml/2006/main">
                  <a:graphicData uri="http://schemas.microsoft.com/office/word/2010/wordprocessingGroup">
                    <wpg:wgp>
                      <wpg:cNvGrpSpPr/>
                      <wpg:grpSpPr>
                        <a:xfrm>
                          <a:off x="0" y="0"/>
                          <a:ext cx="5667480" cy="1695600"/>
                        </a:xfrm>
                      </wpg:grpSpPr>
                      <pic:pic xmlns:pic="http://schemas.openxmlformats.org/drawingml/2006/picture">
                        <pic:nvPicPr>
                          <pic:cNvPr id="2" name="" descr=""/>
                          <pic:cNvPicPr/>
                        </pic:nvPicPr>
                        <pic:blipFill>
                          <a:blip r:embed="rId11"/>
                          <a:stretch/>
                        </pic:blipFill>
                        <pic:spPr>
                          <a:xfrm>
                            <a:off x="2857680" y="0"/>
                            <a:ext cx="2809800" cy="1695600"/>
                          </a:xfrm>
                          <a:prstGeom prst="rect">
                            <a:avLst/>
                          </a:prstGeom>
                          <a:ln>
                            <a:noFill/>
                          </a:ln>
                        </pic:spPr>
                      </pic:pic>
                      <pic:pic xmlns:pic="http://schemas.openxmlformats.org/drawingml/2006/picture">
                        <pic:nvPicPr>
                          <pic:cNvPr id="3" name="" descr=""/>
                          <pic:cNvPicPr/>
                        </pic:nvPicPr>
                        <pic:blipFill>
                          <a:blip r:embed="rId12"/>
                          <a:stretch/>
                        </pic:blipFill>
                        <pic:spPr>
                          <a:xfrm>
                            <a:off x="0" y="0"/>
                            <a:ext cx="2809800" cy="1695600"/>
                          </a:xfrm>
                          <a:prstGeom prst="rect">
                            <a:avLst/>
                          </a:prstGeom>
                          <a:ln>
                            <a:noFill/>
                          </a:ln>
                        </pic:spPr>
                      </pic:pic>
                    </wpg:wgp>
                  </a:graphicData>
                </a:graphic>
              </wp:anchor>
            </w:drawing>
          </mc:Choice>
          <mc:Fallback>
            <w:pict>
              <v:group id="shape_0" style="position:absolute;margin-left:9pt;margin-top:5.2pt;width:446.25pt;height:133.5pt" coordorigin="180,104" coordsize="8925,2670">
                <v:rect id="shape_0" stroked="f" style="position:absolute;left:4681;top:104;width:4424;height:2669">
                  <v:imagedata r:id="rId11" o:detectmouseclick="t"/>
                  <w10:wrap type="none"/>
                  <v:stroke color="#3465a4" joinstyle="round" endcap="flat"/>
                </v:rect>
                <v:rect id="shape_0" stroked="f" style="position:absolute;left:180;top:104;width:4424;height:2669">
                  <v:imagedata r:id="rId12" o:detectmouseclick="t"/>
                  <w10:wrap type="none"/>
                  <v:stroke color="#3465a4" joinstyle="round" endcap="flat"/>
                </v:rect>
              </v:group>
            </w:pict>
          </mc:Fallback>
        </mc:AlternateContent>
      </w:r>
    </w:p>
    <w:p>
      <w:pPr>
        <w:pStyle w:val="Stanoviskotext"/>
        <w:spacing w:lineRule="auto" w:line="240" w:before="0" w:after="240"/>
        <w:rPr>
          <w:i/>
          <w:i/>
          <w:sz w:val="16"/>
          <w:szCs w:val="16"/>
        </w:rPr>
      </w:pPr>
      <w:r>
        <w:rPr>
          <w:i/>
          <w:sz w:val="16"/>
          <w:szCs w:val="16"/>
        </w:rPr>
      </w:r>
    </w:p>
    <w:p>
      <w:pPr>
        <w:pStyle w:val="Stanoviskotext"/>
        <w:spacing w:lineRule="auto" w:line="240" w:before="0" w:after="240"/>
        <w:rPr>
          <w:i/>
          <w:i/>
          <w:sz w:val="16"/>
          <w:szCs w:val="16"/>
        </w:rPr>
      </w:pPr>
      <w:r>
        <w:rPr>
          <w:i/>
          <w:sz w:val="16"/>
          <w:szCs w:val="16"/>
        </w:rPr>
      </w:r>
    </w:p>
    <w:p>
      <w:pPr>
        <w:pStyle w:val="Stanoviskotext"/>
        <w:spacing w:lineRule="auto" w:line="240" w:before="0" w:after="240"/>
        <w:rPr>
          <w:i/>
          <w:i/>
          <w:sz w:val="16"/>
          <w:szCs w:val="16"/>
        </w:rPr>
      </w:pPr>
      <w:r>
        <w:rPr>
          <w:i/>
          <w:sz w:val="16"/>
          <w:szCs w:val="16"/>
        </w:rPr>
      </w:r>
    </w:p>
    <w:p>
      <w:pPr>
        <w:pStyle w:val="Stanoviskotext"/>
        <w:rPr>
          <w:i/>
          <w:i/>
          <w:sz w:val="16"/>
          <w:szCs w:val="16"/>
        </w:rPr>
      </w:pPr>
      <w:r>
        <w:rPr>
          <w:rFonts w:eastAsia="Verdana"/>
          <w:i/>
          <w:sz w:val="16"/>
          <w:szCs w:val="16"/>
        </w:rPr>
        <w:t xml:space="preserve">     </w:t>
      </w:r>
    </w:p>
    <w:p>
      <w:pPr>
        <w:pStyle w:val="Stanoviskotext"/>
        <w:rPr>
          <w:i/>
          <w:i/>
          <w:sz w:val="16"/>
          <w:szCs w:val="16"/>
        </w:rPr>
      </w:pPr>
      <w:r>
        <w:rPr>
          <w:i/>
          <w:sz w:val="16"/>
          <w:szCs w:val="16"/>
        </w:rPr>
      </w:r>
    </w:p>
    <w:p>
      <w:pPr>
        <w:pStyle w:val="Stanoviskotext"/>
        <w:tabs>
          <w:tab w:val="center" w:pos="6840" w:leader="none"/>
        </w:tabs>
        <w:ind w:firstLine="360"/>
        <w:rPr/>
      </w:pPr>
      <w:r>
        <w:rPr>
          <w:i/>
          <w:sz w:val="16"/>
          <w:szCs w:val="16"/>
        </w:rPr>
        <w:t>Graf: Struktura nákladů na doplňkovou činnost</w:t>
        <w:tab/>
        <w:t>Graf: Vývoj nákladů na doplňkovou činnost</w:t>
      </w:r>
    </w:p>
    <w:p>
      <w:pPr>
        <w:pStyle w:val="Stanoviskotext"/>
        <w:tabs>
          <w:tab w:val="center" w:pos="6840" w:leader="none"/>
        </w:tabs>
        <w:ind w:firstLine="360"/>
        <w:rPr>
          <w:i/>
          <w:i/>
          <w:sz w:val="16"/>
          <w:szCs w:val="16"/>
        </w:rPr>
      </w:pPr>
      <w:r>
        <w:rPr>
          <w:i/>
          <w:sz w:val="16"/>
          <w:szCs w:val="16"/>
        </w:rPr>
      </w:r>
      <w:r>
        <w:br w:type="page"/>
      </w:r>
    </w:p>
    <w:p>
      <w:pPr>
        <w:pStyle w:val="Stanovisko4"/>
        <w:rPr/>
      </w:pPr>
      <w:r>
        <w:rPr/>
        <w:t>Výsledek hospodaření</w:t>
      </w:r>
    </w:p>
    <w:p>
      <w:pPr>
        <w:pStyle w:val="Stanoviskotext"/>
        <w:rPr/>
      </w:pPr>
      <w:r>
        <w:rPr/>
        <w:t>Společnost TSK generovala v roce 2013 z hlavní činnosti ztrátu ve výši – 12.592 tis. Kč.</w:t>
      </w:r>
    </w:p>
    <w:p>
      <w:pPr>
        <w:pStyle w:val="Stanoviskotext"/>
        <w:rPr/>
      </w:pPr>
      <w:r>
        <w:rPr/>
        <w:t>Vývoj zisku z hlavní činnosti za posledních 6 let zobrazuje tabulka a graf níže. Z uvedených údajů je patrné, že od roku 2010 dochází ke stálému prohlubování ztráty, a to i přes to, že tržby v posledních letech rostou. Dochází však ke zvyšování nákladů a poklesu poskytované neinvestiční dotace.</w:t>
      </w:r>
    </w:p>
    <w:p>
      <w:pPr>
        <w:pStyle w:val="Stanoviskotext"/>
        <w:rPr/>
      </w:pPr>
      <w:r>
        <w:rPr/>
      </w:r>
    </w:p>
    <w:tbl>
      <w:tblPr>
        <w:tblW w:w="9195" w:type="dxa"/>
        <w:jc w:val="left"/>
        <w:tblInd w:w="6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525"/>
        <w:gridCol w:w="1080"/>
        <w:gridCol w:w="1080"/>
        <w:gridCol w:w="1080"/>
        <w:gridCol w:w="1080"/>
        <w:gridCol w:w="1080"/>
        <w:gridCol w:w="1270"/>
      </w:tblGrid>
      <w:tr>
        <w:trPr>
          <w:trHeight w:val="300" w:hRule="atLeast"/>
          <w:cantSplit w:val="true"/>
        </w:trPr>
        <w:tc>
          <w:tcPr>
            <w:tcW w:w="2525"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Hlavní činnost </w:t>
            </w:r>
          </w:p>
        </w:tc>
        <w:tc>
          <w:tcPr>
            <w:tcW w:w="108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08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08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08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08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c>
          <w:tcPr>
            <w:tcW w:w="1270" w:type="dxa"/>
            <w:tcBorders>
              <w:top w:val="single" w:sz="4" w:space="0" w:color="000000"/>
              <w:left w:val="single" w:sz="4" w:space="0" w:color="000000"/>
              <w:right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Skutečnost</w:t>
            </w:r>
          </w:p>
        </w:tc>
      </w:tr>
      <w:tr>
        <w:trPr>
          <w:trHeight w:val="300" w:hRule="atLeast"/>
          <w:cantSplit w:val="true"/>
        </w:trPr>
        <w:tc>
          <w:tcPr>
            <w:tcW w:w="2525"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108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2008</w:t>
            </w:r>
          </w:p>
        </w:tc>
        <w:tc>
          <w:tcPr>
            <w:tcW w:w="108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2009</w:t>
            </w:r>
          </w:p>
        </w:tc>
        <w:tc>
          <w:tcPr>
            <w:tcW w:w="108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2010</w:t>
            </w:r>
          </w:p>
        </w:tc>
        <w:tc>
          <w:tcPr>
            <w:tcW w:w="108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2011</w:t>
            </w:r>
          </w:p>
        </w:tc>
        <w:tc>
          <w:tcPr>
            <w:tcW w:w="108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2012</w:t>
            </w:r>
          </w:p>
        </w:tc>
        <w:tc>
          <w:tcPr>
            <w:tcW w:w="1270"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2013</w:t>
            </w:r>
          </w:p>
        </w:tc>
      </w:tr>
      <w:tr>
        <w:trPr>
          <w:trHeight w:val="300" w:hRule="atLeast"/>
        </w:trPr>
        <w:tc>
          <w:tcPr>
            <w:tcW w:w="25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Hospodářský výsledek</w:t>
            </w:r>
          </w:p>
        </w:tc>
        <w:tc>
          <w:tcPr>
            <w:tcW w:w="10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-12 414,00</w:t>
            </w:r>
          </w:p>
        </w:tc>
        <w:tc>
          <w:tcPr>
            <w:tcW w:w="10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-3 079,80</w:t>
            </w:r>
          </w:p>
        </w:tc>
        <w:tc>
          <w:tcPr>
            <w:tcW w:w="10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-6 674,50</w:t>
            </w:r>
          </w:p>
        </w:tc>
        <w:tc>
          <w:tcPr>
            <w:tcW w:w="10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-4 591,50</w:t>
            </w:r>
          </w:p>
        </w:tc>
        <w:tc>
          <w:tcPr>
            <w:tcW w:w="10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pPr>
            <w:r>
              <w:rPr>
                <w:rFonts w:cs="Arial" w:ascii="Arial" w:hAnsi="Arial"/>
                <w:b/>
                <w:bCs/>
                <w:sz w:val="16"/>
                <w:szCs w:val="16"/>
              </w:rPr>
              <w:t>-8 306,90</w:t>
            </w:r>
          </w:p>
        </w:tc>
        <w:tc>
          <w:tcPr>
            <w:tcW w:w="127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-12 591,80</w:t>
            </w:r>
          </w:p>
        </w:tc>
      </w:tr>
    </w:tbl>
    <w:p>
      <w:pPr>
        <w:pStyle w:val="Stanoviskotext"/>
        <w:spacing w:lineRule="auto" w:line="240" w:before="0" w:after="240"/>
        <w:rPr/>
      </w:pPr>
      <w:r>
        <w:rPr>
          <w:i/>
          <w:sz w:val="16"/>
          <w:szCs w:val="16"/>
        </w:rPr>
        <w:t>Zdroj: Materiál TSK: Rozbor hospodaření za rok 2009 až 2013</w:t>
      </w:r>
    </w:p>
    <w:p>
      <w:pPr>
        <w:pStyle w:val="Stanoviskotext"/>
        <w:spacing w:lineRule="auto" w:line="240" w:before="0" w:after="240"/>
        <w:rPr>
          <w:i/>
          <w:i/>
          <w:sz w:val="16"/>
          <w:szCs w:val="16"/>
        </w:rPr>
      </w:pPr>
      <w:r>
        <w:rPr>
          <w:i/>
          <w:sz w:val="16"/>
          <w:szCs w:val="16"/>
        </w:rPr>
      </w:r>
    </w:p>
    <w:p>
      <w:pPr>
        <w:pStyle w:val="Stanoviskotext"/>
        <w:spacing w:lineRule="auto" w:line="240" w:before="0" w:after="240"/>
        <w:rPr>
          <w:i/>
          <w:i/>
          <w:sz w:val="16"/>
          <w:szCs w:val="16"/>
        </w:rPr>
      </w:pPr>
      <w:r>
        <w:rPr>
          <w:i/>
          <w:sz w:val="16"/>
          <w:szCs w:val="16"/>
        </w:rPr>
      </w:r>
    </w:p>
    <w:p>
      <w:pPr>
        <w:pStyle w:val="Stanoviskotext"/>
        <w:spacing w:lineRule="auto" w:line="240" w:before="0" w:after="0"/>
        <w:jc w:val="center"/>
        <w:rPr/>
      </w:pPr>
      <w:r>
        <w:rPr/>
        <w:drawing>
          <wp:inline distT="0" distB="0" distL="0" distR="0">
            <wp:extent cx="3863340" cy="231648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3863340" cy="2316480"/>
                    </a:xfrm>
                    <a:prstGeom prst="rect">
                      <a:avLst/>
                    </a:prstGeom>
                  </pic:spPr>
                </pic:pic>
              </a:graphicData>
            </a:graphic>
          </wp:inline>
        </w:drawing>
      </w:r>
    </w:p>
    <w:p>
      <w:pPr>
        <w:pStyle w:val="Stanoviskotext"/>
        <w:spacing w:lineRule="auto" w:line="240" w:before="0" w:after="0"/>
        <w:jc w:val="center"/>
        <w:rPr>
          <w:i/>
          <w:i/>
          <w:sz w:val="16"/>
          <w:szCs w:val="16"/>
        </w:rPr>
      </w:pPr>
      <w:r>
        <w:rPr>
          <w:i/>
          <w:sz w:val="16"/>
          <w:szCs w:val="16"/>
        </w:rPr>
        <w:t>Graf: Vývoj hospodářského výsledku z hlavní činnosti</w:t>
      </w:r>
    </w:p>
    <w:p>
      <w:pPr>
        <w:pStyle w:val="Stanoviskotext"/>
        <w:rPr>
          <w:i/>
          <w:i/>
          <w:sz w:val="16"/>
          <w:szCs w:val="16"/>
        </w:rPr>
      </w:pPr>
      <w:r>
        <w:rPr>
          <w:i/>
          <w:sz w:val="16"/>
          <w:szCs w:val="16"/>
        </w:rPr>
      </w:r>
    </w:p>
    <w:p>
      <w:pPr>
        <w:pStyle w:val="Stanoviskotext"/>
        <w:rPr/>
      </w:pPr>
      <w:r>
        <w:rPr/>
      </w:r>
    </w:p>
    <w:p>
      <w:pPr>
        <w:pStyle w:val="Stanoviskotext"/>
        <w:rPr/>
      </w:pPr>
      <w:r>
        <w:rPr/>
        <w:t>V roce 2012 byla ztráta z hlavní činnosti pokryta ziskem z doplňkové činnosti ve výši 7.913 tis. Kč a prodejem nepotřebného majetku ve výši 393 tis. Kč. Rovněž v roce 2013 se předpokládá pokrytí ztráty ziskem z doplňkové činnosti. K datu zpracování této analýzy však o tomto nebylo závazně rozhodnuto.</w:t>
      </w:r>
    </w:p>
    <w:p>
      <w:pPr>
        <w:pStyle w:val="Stanoviskotext"/>
        <w:rPr/>
      </w:pPr>
      <w:r>
        <w:rPr/>
        <w:t>Z doplňkové činnosti generovala společnost TSK v roce 2013 zisk ve výši 16.675 tis. Kč. Část tohoto zisku bude použita, obdobně jako v minulých letech, na úhradu ztráty z hlavní činnosti (viz. výše), a zbývající část (ve výši 80 %) pak bude převedena do fondu odměn a část ve výši 20 % do rezervního fondu. K datu zpracování této analýzy však o rozdělení zisku z doplňkové činnosti zatím nebylo závazně rozhodnuto.</w:t>
      </w:r>
    </w:p>
    <w:p>
      <w:pPr>
        <w:pStyle w:val="Stanoviskotext"/>
        <w:rPr/>
      </w:pPr>
      <w:r>
        <w:rPr/>
      </w:r>
    </w:p>
    <w:tbl>
      <w:tblPr>
        <w:tblW w:w="9351"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3474"/>
        <w:gridCol w:w="1003"/>
        <w:gridCol w:w="1003"/>
        <w:gridCol w:w="1003"/>
        <w:gridCol w:w="1003"/>
        <w:gridCol w:w="1003"/>
        <w:gridCol w:w="862"/>
      </w:tblGrid>
      <w:tr>
        <w:trPr>
          <w:trHeight w:val="300" w:hRule="atLeast"/>
          <w:cantSplit w:val="true"/>
        </w:trPr>
        <w:tc>
          <w:tcPr>
            <w:tcW w:w="3474"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Doplňková činnost</w:t>
            </w:r>
          </w:p>
        </w:tc>
        <w:tc>
          <w:tcPr>
            <w:tcW w:w="1003"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003"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003"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003"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003"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862" w:type="dxa"/>
            <w:tcBorders>
              <w:top w:val="single" w:sz="4" w:space="0" w:color="000000"/>
              <w:left w:val="single" w:sz="4" w:space="0" w:color="000000"/>
              <w:right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 </w:t>
            </w:r>
          </w:p>
        </w:tc>
      </w:tr>
      <w:tr>
        <w:trPr>
          <w:trHeight w:val="360" w:hRule="atLeast"/>
          <w:cantSplit w:val="true"/>
        </w:trPr>
        <w:tc>
          <w:tcPr>
            <w:tcW w:w="3474"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1003"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color w:val="FFFFFF"/>
                <w:sz w:val="20"/>
                <w:szCs w:val="20"/>
              </w:rPr>
            </w:pPr>
            <w:r>
              <w:rPr>
                <w:rFonts w:cs="Arial" w:ascii="Arial" w:hAnsi="Arial"/>
                <w:color w:val="FFFFFF"/>
                <w:sz w:val="20"/>
                <w:szCs w:val="20"/>
              </w:rPr>
              <w:t>2008</w:t>
            </w:r>
          </w:p>
        </w:tc>
        <w:tc>
          <w:tcPr>
            <w:tcW w:w="1003"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2009</w:t>
            </w:r>
          </w:p>
        </w:tc>
        <w:tc>
          <w:tcPr>
            <w:tcW w:w="1003"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2010</w:t>
            </w:r>
          </w:p>
        </w:tc>
        <w:tc>
          <w:tcPr>
            <w:tcW w:w="1003"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2011</w:t>
            </w:r>
          </w:p>
        </w:tc>
        <w:tc>
          <w:tcPr>
            <w:tcW w:w="1003"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2012</w:t>
            </w:r>
          </w:p>
        </w:tc>
        <w:tc>
          <w:tcPr>
            <w:tcW w:w="862"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2013</w:t>
            </w:r>
          </w:p>
        </w:tc>
      </w:tr>
      <w:tr>
        <w:trPr>
          <w:trHeight w:val="300" w:hRule="atLeast"/>
        </w:trPr>
        <w:tc>
          <w:tcPr>
            <w:tcW w:w="3474"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HOSPODÁŘSKÝ VÝSLEDEK po zdanění</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21 284,00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16 299,00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16 833,00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13 635,40</w:t>
            </w:r>
          </w:p>
        </w:tc>
        <w:tc>
          <w:tcPr>
            <w:tcW w:w="1003"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000000"/>
                <w:sz w:val="16"/>
                <w:szCs w:val="16"/>
              </w:rPr>
            </w:pPr>
            <w:r>
              <w:rPr>
                <w:rFonts w:cs="Arial" w:ascii="Arial" w:hAnsi="Arial"/>
                <w:b/>
                <w:bCs/>
                <w:sz w:val="16"/>
                <w:szCs w:val="16"/>
              </w:rPr>
              <w:t>16 832,00</w:t>
            </w:r>
          </w:p>
        </w:tc>
        <w:tc>
          <w:tcPr>
            <w:tcW w:w="86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16 675,50</w:t>
            </w:r>
          </w:p>
        </w:tc>
      </w:tr>
    </w:tbl>
    <w:p>
      <w:pPr>
        <w:pStyle w:val="Stanoviskotext"/>
        <w:spacing w:lineRule="auto" w:line="240" w:before="0" w:after="240"/>
        <w:rPr/>
      </w:pPr>
      <w:r>
        <w:rPr>
          <w:i/>
          <w:sz w:val="16"/>
          <w:szCs w:val="16"/>
        </w:rPr>
        <w:t>Zdroj: Materiál TSK: Rozbor hospodaření za rok 2009 až 2013</w:t>
      </w:r>
    </w:p>
    <w:p>
      <w:pPr>
        <w:pStyle w:val="Stanoviskotext"/>
        <w:spacing w:lineRule="auto" w:line="240" w:before="0" w:after="240"/>
        <w:rPr>
          <w:i/>
          <w:i/>
          <w:sz w:val="16"/>
          <w:szCs w:val="16"/>
        </w:rPr>
      </w:pPr>
      <w:r>
        <w:rPr>
          <w:i/>
          <w:sz w:val="16"/>
          <w:szCs w:val="16"/>
        </w:rPr>
      </w:r>
    </w:p>
    <w:p>
      <w:pPr>
        <w:pStyle w:val="Stanoviskotext"/>
        <w:spacing w:lineRule="auto" w:line="240" w:before="0" w:after="240"/>
        <w:rPr>
          <w:i/>
          <w:i/>
          <w:sz w:val="16"/>
          <w:szCs w:val="16"/>
        </w:rPr>
      </w:pPr>
      <w:r>
        <w:rPr>
          <w:i/>
          <w:sz w:val="16"/>
          <w:szCs w:val="16"/>
        </w:rPr>
      </w:r>
    </w:p>
    <w:p>
      <w:pPr>
        <w:pStyle w:val="Stanoviskotext"/>
        <w:spacing w:lineRule="auto" w:line="240" w:before="0" w:after="0"/>
        <w:jc w:val="center"/>
        <w:rPr/>
      </w:pPr>
      <w:r>
        <w:rPr/>
        <w:drawing>
          <wp:inline distT="0" distB="0" distL="0" distR="0">
            <wp:extent cx="3863975" cy="232029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3863975" cy="2320290"/>
                    </a:xfrm>
                    <a:prstGeom prst="rect">
                      <a:avLst/>
                    </a:prstGeom>
                  </pic:spPr>
                </pic:pic>
              </a:graphicData>
            </a:graphic>
          </wp:inline>
        </w:drawing>
      </w:r>
    </w:p>
    <w:p>
      <w:pPr>
        <w:pStyle w:val="Stanoviskotext"/>
        <w:spacing w:lineRule="auto" w:line="240" w:before="0" w:after="0"/>
        <w:jc w:val="center"/>
        <w:rPr>
          <w:i/>
          <w:i/>
          <w:sz w:val="16"/>
          <w:szCs w:val="16"/>
        </w:rPr>
      </w:pPr>
      <w:r>
        <w:rPr>
          <w:i/>
          <w:sz w:val="16"/>
          <w:szCs w:val="16"/>
        </w:rPr>
        <w:t>Graf: Vývoj hospodářského výsledku z hlavní činnosti</w:t>
      </w:r>
    </w:p>
    <w:p>
      <w:pPr>
        <w:pStyle w:val="Stanoviskotext"/>
        <w:spacing w:lineRule="auto" w:line="240" w:before="0" w:after="0"/>
        <w:jc w:val="center"/>
        <w:rPr>
          <w:i/>
          <w:i/>
          <w:sz w:val="16"/>
          <w:szCs w:val="16"/>
        </w:rPr>
      </w:pPr>
      <w:r>
        <w:rPr>
          <w:i/>
          <w:sz w:val="16"/>
          <w:szCs w:val="16"/>
        </w:rPr>
      </w:r>
    </w:p>
    <w:p>
      <w:pPr>
        <w:pStyle w:val="Stanoviskotext"/>
        <w:spacing w:lineRule="auto" w:line="240" w:before="0" w:after="0"/>
        <w:jc w:val="center"/>
        <w:rPr>
          <w:i/>
          <w:i/>
          <w:sz w:val="16"/>
          <w:szCs w:val="16"/>
        </w:rPr>
      </w:pPr>
      <w:r>
        <w:rPr>
          <w:i/>
          <w:sz w:val="16"/>
          <w:szCs w:val="16"/>
        </w:rPr>
      </w:r>
    </w:p>
    <w:p>
      <w:pPr>
        <w:pStyle w:val="Stanoviskotext"/>
        <w:rPr/>
      </w:pPr>
      <w:r>
        <w:rPr/>
        <w:t>Výsledek hospodaření zaznamenává spíše klesající trend, ale v posledních třech letech se udržuje na stabilní úrovni těsně pod hranicí 17.000 tis. Kč.</w:t>
      </w:r>
    </w:p>
    <w:p>
      <w:pPr>
        <w:pStyle w:val="Stanoviskotext"/>
        <w:rPr/>
      </w:pPr>
      <w:r>
        <w:rPr/>
        <w:t xml:space="preserve">Souhrn hospodaření v obou činnostech v letech 2008 až 2013 je zobrazen v následujících tabulkách: </w:t>
      </w:r>
    </w:p>
    <w:tbl>
      <w:tblPr>
        <w:tblW w:w="9220"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487"/>
        <w:gridCol w:w="1043"/>
        <w:gridCol w:w="1134"/>
        <w:gridCol w:w="1135"/>
        <w:gridCol w:w="1137"/>
        <w:gridCol w:w="1137"/>
        <w:gridCol w:w="1147"/>
      </w:tblGrid>
      <w:tr>
        <w:trPr>
          <w:trHeight w:val="315" w:hRule="atLeast"/>
          <w:cantSplit w:val="true"/>
        </w:trPr>
        <w:tc>
          <w:tcPr>
            <w:tcW w:w="2487"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Hlavní činnost </w:t>
            </w:r>
          </w:p>
        </w:tc>
        <w:tc>
          <w:tcPr>
            <w:tcW w:w="1043"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134"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135"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137"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137" w:type="dxa"/>
            <w:tcBorders>
              <w:top w:val="single" w:sz="4" w:space="0" w:color="000000"/>
              <w:left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c>
          <w:tcPr>
            <w:tcW w:w="1147" w:type="dxa"/>
            <w:tcBorders>
              <w:top w:val="single" w:sz="4" w:space="0" w:color="000000"/>
              <w:left w:val="single" w:sz="4" w:space="0" w:color="000000"/>
              <w:right w:val="single" w:sz="4" w:space="0" w:color="000000"/>
              <w:insideV w:val="single" w:sz="4" w:space="0" w:color="000000"/>
            </w:tcBorders>
            <w:shd w:fill="666699" w:val="clear"/>
            <w:tcMar>
              <w:left w:w="65" w:type="dxa"/>
            </w:tcMar>
            <w:vAlign w:val="bottom"/>
          </w:tcPr>
          <w:p>
            <w:pPr>
              <w:pStyle w:val="Normal"/>
              <w:snapToGrid w:val="false"/>
              <w:jc w:val="center"/>
              <w:rPr>
                <w:rFonts w:ascii="Arial" w:hAnsi="Arial" w:cs="Arial"/>
                <w:b/>
                <w:b/>
                <w:bCs/>
                <w:color w:val="FFFFFF"/>
                <w:sz w:val="16"/>
                <w:szCs w:val="16"/>
              </w:rPr>
            </w:pPr>
            <w:r>
              <w:rPr>
                <w:rFonts w:cs="Arial" w:ascii="Arial" w:hAnsi="Arial"/>
                <w:b/>
                <w:bCs/>
                <w:color w:val="FFFFFF"/>
                <w:sz w:val="16"/>
                <w:szCs w:val="16"/>
              </w:rPr>
            </w:r>
          </w:p>
        </w:tc>
      </w:tr>
      <w:tr>
        <w:trPr>
          <w:trHeight w:val="300" w:hRule="atLeast"/>
          <w:cantSplit w:val="true"/>
        </w:trPr>
        <w:tc>
          <w:tcPr>
            <w:tcW w:w="2487"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1043"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2008</w:t>
            </w:r>
          </w:p>
        </w:tc>
        <w:tc>
          <w:tcPr>
            <w:tcW w:w="1134"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2009</w:t>
            </w:r>
          </w:p>
        </w:tc>
        <w:tc>
          <w:tcPr>
            <w:tcW w:w="1135"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2010</w:t>
            </w:r>
          </w:p>
        </w:tc>
        <w:tc>
          <w:tcPr>
            <w:tcW w:w="1137"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2011</w:t>
            </w:r>
          </w:p>
        </w:tc>
        <w:tc>
          <w:tcPr>
            <w:tcW w:w="1137"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2012</w:t>
            </w:r>
          </w:p>
        </w:tc>
        <w:tc>
          <w:tcPr>
            <w:tcW w:w="1147"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2013</w:t>
            </w:r>
          </w:p>
        </w:tc>
      </w:tr>
      <w:tr>
        <w:trPr>
          <w:trHeight w:val="300" w:hRule="atLeast"/>
        </w:trPr>
        <w:tc>
          <w:tcPr>
            <w:tcW w:w="2487"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TRŽBY celkem</w:t>
            </w:r>
          </w:p>
        </w:tc>
        <w:tc>
          <w:tcPr>
            <w:tcW w:w="1043"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106 645,60</w:t>
            </w:r>
          </w:p>
        </w:tc>
        <w:tc>
          <w:tcPr>
            <w:tcW w:w="1134"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118 397,40</w:t>
            </w:r>
          </w:p>
        </w:tc>
        <w:tc>
          <w:tcPr>
            <w:tcW w:w="1135"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127 551,00</w:t>
            </w:r>
          </w:p>
        </w:tc>
        <w:tc>
          <w:tcPr>
            <w:tcW w:w="1137"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133 881,70</w:t>
            </w:r>
          </w:p>
        </w:tc>
        <w:tc>
          <w:tcPr>
            <w:tcW w:w="1137"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133 894,50</w:t>
            </w:r>
          </w:p>
        </w:tc>
        <w:tc>
          <w:tcPr>
            <w:tcW w:w="1147" w:type="dxa"/>
            <w:tcBorders>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142 457,00</w:t>
            </w:r>
          </w:p>
        </w:tc>
      </w:tr>
      <w:tr>
        <w:trPr>
          <w:trHeight w:val="300" w:hRule="atLeast"/>
        </w:trPr>
        <w:tc>
          <w:tcPr>
            <w:tcW w:w="2487"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NÁKLADY celkem</w:t>
            </w:r>
          </w:p>
        </w:tc>
        <w:tc>
          <w:tcPr>
            <w:tcW w:w="1043"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208 904,80</w:t>
            </w:r>
          </w:p>
        </w:tc>
        <w:tc>
          <w:tcPr>
            <w:tcW w:w="1134"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jc w:val="right"/>
              <w:rPr/>
            </w:pPr>
            <w:r>
              <w:rPr>
                <w:rFonts w:cs="Arial" w:ascii="Arial" w:hAnsi="Arial"/>
                <w:b/>
                <w:bCs/>
                <w:sz w:val="16"/>
                <w:szCs w:val="16"/>
              </w:rPr>
              <w:t>214 670,20</w:t>
            </w:r>
          </w:p>
        </w:tc>
        <w:tc>
          <w:tcPr>
            <w:tcW w:w="1135"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226 455,60</w:t>
            </w:r>
          </w:p>
        </w:tc>
        <w:tc>
          <w:tcPr>
            <w:tcW w:w="1137"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225 633,20</w:t>
            </w:r>
          </w:p>
        </w:tc>
        <w:tc>
          <w:tcPr>
            <w:tcW w:w="1137" w:type="dxa"/>
            <w:tcBorders>
              <w:top w:val="single" w:sz="4" w:space="0" w:color="000000"/>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224 590,40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232 768,30</w:t>
            </w:r>
          </w:p>
        </w:tc>
      </w:tr>
      <w:tr>
        <w:trPr>
          <w:trHeight w:val="300" w:hRule="atLeast"/>
        </w:trPr>
        <w:tc>
          <w:tcPr>
            <w:tcW w:w="248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Spotřebované nákupy</w:t>
            </w:r>
          </w:p>
        </w:tc>
        <w:tc>
          <w:tcPr>
            <w:tcW w:w="1043"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11 442,10</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10 599,00</w:t>
            </w:r>
          </w:p>
        </w:tc>
        <w:tc>
          <w:tcPr>
            <w:tcW w:w="113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12 828,80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7 105,20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8 729,30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9 192,20</w:t>
            </w:r>
          </w:p>
        </w:tc>
      </w:tr>
      <w:tr>
        <w:trPr>
          <w:trHeight w:val="300" w:hRule="atLeast"/>
        </w:trPr>
        <w:tc>
          <w:tcPr>
            <w:tcW w:w="248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Služby</w:t>
            </w:r>
            <w:r>
              <w:rPr>
                <w:rFonts w:cs="Arial" w:ascii="Arial" w:hAnsi="Arial"/>
                <w:sz w:val="16"/>
                <w:szCs w:val="16"/>
              </w:rPr>
              <w:t xml:space="preserve"> </w:t>
            </w:r>
          </w:p>
        </w:tc>
        <w:tc>
          <w:tcPr>
            <w:tcW w:w="1043"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39 221,60</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40 066,20</w:t>
            </w:r>
          </w:p>
        </w:tc>
        <w:tc>
          <w:tcPr>
            <w:tcW w:w="113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46 992,20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43 560,60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39 265,70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42 076,90</w:t>
            </w:r>
          </w:p>
        </w:tc>
      </w:tr>
      <w:tr>
        <w:trPr>
          <w:trHeight w:val="300" w:hRule="atLeast"/>
        </w:trPr>
        <w:tc>
          <w:tcPr>
            <w:tcW w:w="248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Osobní náklady</w:t>
            </w:r>
            <w:r>
              <w:rPr>
                <w:rFonts w:cs="Arial" w:ascii="Arial" w:hAnsi="Arial"/>
                <w:sz w:val="16"/>
                <w:szCs w:val="16"/>
              </w:rPr>
              <w:t xml:space="preserve"> </w:t>
            </w:r>
          </w:p>
        </w:tc>
        <w:tc>
          <w:tcPr>
            <w:tcW w:w="1043"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130 576,40</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137 992,00</w:t>
            </w:r>
          </w:p>
        </w:tc>
        <w:tc>
          <w:tcPr>
            <w:tcW w:w="113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139 998,80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pPr>
            <w:r>
              <w:rPr>
                <w:rFonts w:cs="Arial" w:ascii="Arial" w:hAnsi="Arial"/>
                <w:b/>
                <w:bCs/>
                <w:sz w:val="16"/>
                <w:szCs w:val="16"/>
              </w:rPr>
              <w:t>144 060,60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146 154,40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155 108,30</w:t>
            </w:r>
          </w:p>
        </w:tc>
      </w:tr>
      <w:tr>
        <w:trPr>
          <w:trHeight w:val="300" w:hRule="atLeast"/>
        </w:trPr>
        <w:tc>
          <w:tcPr>
            <w:tcW w:w="248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 xml:space="preserve">Daně a poplatky </w:t>
            </w:r>
          </w:p>
        </w:tc>
        <w:tc>
          <w:tcPr>
            <w:tcW w:w="1043"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3 424,50</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3 978,00</w:t>
            </w:r>
          </w:p>
        </w:tc>
        <w:tc>
          <w:tcPr>
            <w:tcW w:w="113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5 561,20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4 411,60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3 083,00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3 309,60</w:t>
            </w:r>
          </w:p>
        </w:tc>
      </w:tr>
      <w:tr>
        <w:trPr>
          <w:trHeight w:val="300" w:hRule="atLeast"/>
        </w:trPr>
        <w:tc>
          <w:tcPr>
            <w:tcW w:w="248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Ostatní náklady</w:t>
            </w:r>
          </w:p>
        </w:tc>
        <w:tc>
          <w:tcPr>
            <w:tcW w:w="1043"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10 177,10</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9 405,00</w:t>
            </w:r>
          </w:p>
        </w:tc>
        <w:tc>
          <w:tcPr>
            <w:tcW w:w="113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9 246,50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7 941,70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8 159,00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8 576,60</w:t>
            </w:r>
          </w:p>
        </w:tc>
      </w:tr>
      <w:tr>
        <w:trPr>
          <w:trHeight w:val="300" w:hRule="atLeast"/>
        </w:trPr>
        <w:tc>
          <w:tcPr>
            <w:tcW w:w="248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Odpisy dlouhodobého majetku</w:t>
            </w:r>
          </w:p>
        </w:tc>
        <w:tc>
          <w:tcPr>
            <w:tcW w:w="1043"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14 063,10</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12 630,00</w:t>
            </w:r>
          </w:p>
        </w:tc>
        <w:tc>
          <w:tcPr>
            <w:tcW w:w="113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11 828,10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14 664,50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15 466,80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pPr>
            <w:r>
              <w:rPr>
                <w:rFonts w:cs="Arial" w:ascii="Arial" w:hAnsi="Arial"/>
                <w:b/>
                <w:bCs/>
                <w:sz w:val="16"/>
                <w:szCs w:val="16"/>
              </w:rPr>
              <w:t>11 951,10</w:t>
            </w:r>
          </w:p>
        </w:tc>
      </w:tr>
      <w:tr>
        <w:trPr>
          <w:trHeight w:val="300" w:hRule="atLeast"/>
        </w:trPr>
        <w:tc>
          <w:tcPr>
            <w:tcW w:w="248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 xml:space="preserve">Drobný dlouhod. majetek </w:t>
            </w:r>
          </w:p>
        </w:tc>
        <w:tc>
          <w:tcPr>
            <w:tcW w:w="1043"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 </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 </w:t>
            </w:r>
          </w:p>
        </w:tc>
        <w:tc>
          <w:tcPr>
            <w:tcW w:w="113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 </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3 889,00</w:t>
            </w:r>
          </w:p>
        </w:tc>
        <w:tc>
          <w:tcPr>
            <w:tcW w:w="113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3 732,20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2 551,00</w:t>
            </w:r>
          </w:p>
        </w:tc>
      </w:tr>
      <w:tr>
        <w:trPr>
          <w:trHeight w:val="300" w:hRule="atLeast"/>
        </w:trPr>
        <w:tc>
          <w:tcPr>
            <w:tcW w:w="2487"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6"/>
                <w:szCs w:val="16"/>
              </w:rPr>
            </w:pPr>
            <w:r>
              <w:rPr>
                <w:rFonts w:cs="Arial" w:ascii="Arial" w:hAnsi="Arial"/>
                <w:b/>
                <w:bCs/>
                <w:sz w:val="16"/>
                <w:szCs w:val="16"/>
              </w:rPr>
              <w:t>Hospodářský výsledek</w:t>
            </w:r>
          </w:p>
        </w:tc>
        <w:tc>
          <w:tcPr>
            <w:tcW w:w="1043"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-12 414,00</w:t>
            </w:r>
          </w:p>
        </w:tc>
        <w:tc>
          <w:tcPr>
            <w:tcW w:w="1134"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-3 079,80</w:t>
            </w:r>
          </w:p>
        </w:tc>
        <w:tc>
          <w:tcPr>
            <w:tcW w:w="113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-6 674,50</w:t>
            </w:r>
          </w:p>
        </w:tc>
        <w:tc>
          <w:tcPr>
            <w:tcW w:w="1137"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-4 591,50</w:t>
            </w:r>
          </w:p>
        </w:tc>
        <w:tc>
          <w:tcPr>
            <w:tcW w:w="1137"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-8 306,90</w:t>
            </w:r>
          </w:p>
        </w:tc>
        <w:tc>
          <w:tcPr>
            <w:tcW w:w="1147"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-12 591,80</w:t>
            </w:r>
          </w:p>
        </w:tc>
      </w:tr>
      <w:tr>
        <w:trPr>
          <w:trHeight w:val="300" w:hRule="atLeast"/>
        </w:trPr>
        <w:tc>
          <w:tcPr>
            <w:tcW w:w="2487" w:type="dxa"/>
            <w:tcBorders>
              <w:left w:val="single" w:sz="4" w:space="0" w:color="000000"/>
              <w:bottom w:val="single" w:sz="4" w:space="0" w:color="000000"/>
              <w:insideH w:val="single" w:sz="4" w:space="0" w:color="000000"/>
            </w:tcBorders>
            <w:shd w:fill="FFCC00" w:val="clear"/>
            <w:tcMar>
              <w:left w:w="65" w:type="dxa"/>
            </w:tcMar>
            <w:vAlign w:val="bottom"/>
          </w:tcPr>
          <w:p>
            <w:pPr>
              <w:pStyle w:val="Normal"/>
              <w:rPr>
                <w:rFonts w:ascii="Arial" w:hAnsi="Arial" w:cs="Arial"/>
                <w:b/>
                <w:b/>
                <w:bCs/>
                <w:sz w:val="16"/>
                <w:szCs w:val="16"/>
              </w:rPr>
            </w:pPr>
            <w:r>
              <w:rPr>
                <w:rFonts w:cs="Arial" w:ascii="Arial" w:hAnsi="Arial"/>
                <w:b/>
                <w:bCs/>
                <w:sz w:val="16"/>
                <w:szCs w:val="16"/>
              </w:rPr>
              <w:t>Neinvestiční příspěvek</w:t>
            </w:r>
          </w:p>
        </w:tc>
        <w:tc>
          <w:tcPr>
            <w:tcW w:w="1043" w:type="dxa"/>
            <w:tcBorders>
              <w:left w:val="single" w:sz="4" w:space="0" w:color="000000"/>
              <w:bottom w:val="single" w:sz="4" w:space="0" w:color="000000"/>
              <w:insideH w:val="single" w:sz="4" w:space="0" w:color="000000"/>
            </w:tcBorders>
            <w:shd w:fill="FF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89 845,20</w:t>
            </w:r>
          </w:p>
        </w:tc>
        <w:tc>
          <w:tcPr>
            <w:tcW w:w="1134" w:type="dxa"/>
            <w:tcBorders>
              <w:left w:val="single" w:sz="4" w:space="0" w:color="000000"/>
              <w:bottom w:val="single" w:sz="4" w:space="0" w:color="000000"/>
              <w:insideH w:val="single" w:sz="4" w:space="0" w:color="000000"/>
            </w:tcBorders>
            <w:shd w:fill="FF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93 193,00</w:t>
            </w:r>
          </w:p>
        </w:tc>
        <w:tc>
          <w:tcPr>
            <w:tcW w:w="1135" w:type="dxa"/>
            <w:tcBorders>
              <w:left w:val="single" w:sz="4" w:space="0" w:color="000000"/>
              <w:bottom w:val="single" w:sz="4" w:space="0" w:color="000000"/>
              <w:insideH w:val="single" w:sz="4" w:space="0" w:color="000000"/>
            </w:tcBorders>
            <w:shd w:fill="FF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92 230,10</w:t>
            </w:r>
          </w:p>
        </w:tc>
        <w:tc>
          <w:tcPr>
            <w:tcW w:w="1137" w:type="dxa"/>
            <w:tcBorders>
              <w:left w:val="single" w:sz="4" w:space="0" w:color="000000"/>
              <w:bottom w:val="single" w:sz="4" w:space="0" w:color="000000"/>
              <w:insideH w:val="single" w:sz="4" w:space="0" w:color="000000"/>
            </w:tcBorders>
            <w:shd w:fill="FF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87 160,00</w:t>
            </w:r>
          </w:p>
        </w:tc>
        <w:tc>
          <w:tcPr>
            <w:tcW w:w="1137" w:type="dxa"/>
            <w:tcBorders>
              <w:left w:val="single" w:sz="4" w:space="0" w:color="000000"/>
              <w:bottom w:val="single" w:sz="4" w:space="0" w:color="000000"/>
              <w:insideH w:val="single" w:sz="4" w:space="0" w:color="000000"/>
            </w:tcBorders>
            <w:shd w:fill="FF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82 389,00</w:t>
            </w:r>
          </w:p>
        </w:tc>
        <w:tc>
          <w:tcPr>
            <w:tcW w:w="1147" w:type="dxa"/>
            <w:tcBorders>
              <w:left w:val="single" w:sz="4" w:space="0" w:color="000000"/>
              <w:bottom w:val="single" w:sz="4" w:space="0" w:color="000000"/>
              <w:right w:val="single" w:sz="4" w:space="0" w:color="000000"/>
              <w:insideH w:val="single" w:sz="4" w:space="0" w:color="000000"/>
              <w:insideV w:val="single" w:sz="4" w:space="0" w:color="000000"/>
            </w:tcBorders>
            <w:shd w:fill="FF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77 719,50</w:t>
            </w:r>
          </w:p>
        </w:tc>
      </w:tr>
    </w:tbl>
    <w:p>
      <w:pPr>
        <w:pStyle w:val="Stanoviskotext"/>
        <w:spacing w:lineRule="auto" w:line="240" w:before="0" w:after="240"/>
        <w:rPr/>
      </w:pPr>
      <w:r>
        <w:rPr/>
        <w:t>Zdroj: Materiál TSK: Rozbor hospodaření za rok 2009 až 2013</w:t>
      </w:r>
    </w:p>
    <w:tbl>
      <w:tblPr>
        <w:tblW w:w="9195" w:type="dxa"/>
        <w:jc w:val="left"/>
        <w:tblInd w:w="6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525"/>
        <w:gridCol w:w="1080"/>
        <w:gridCol w:w="1080"/>
        <w:gridCol w:w="1080"/>
        <w:gridCol w:w="1080"/>
        <w:gridCol w:w="1260"/>
        <w:gridCol w:w="1090"/>
      </w:tblGrid>
      <w:tr>
        <w:trPr>
          <w:trHeight w:val="300" w:hRule="atLeast"/>
          <w:cantSplit w:val="true"/>
        </w:trPr>
        <w:tc>
          <w:tcPr>
            <w:tcW w:w="2525"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Doplňková činnost</w:t>
            </w:r>
          </w:p>
        </w:tc>
        <w:tc>
          <w:tcPr>
            <w:tcW w:w="108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 </w:t>
            </w:r>
          </w:p>
        </w:tc>
        <w:tc>
          <w:tcPr>
            <w:tcW w:w="108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 </w:t>
            </w:r>
          </w:p>
        </w:tc>
        <w:tc>
          <w:tcPr>
            <w:tcW w:w="108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 </w:t>
            </w:r>
          </w:p>
        </w:tc>
        <w:tc>
          <w:tcPr>
            <w:tcW w:w="108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 </w:t>
            </w:r>
          </w:p>
        </w:tc>
        <w:tc>
          <w:tcPr>
            <w:tcW w:w="1260" w:type="dxa"/>
            <w:tcBorders>
              <w:top w:val="single" w:sz="4" w:space="0" w:color="000000"/>
              <w:left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 </w:t>
            </w:r>
          </w:p>
        </w:tc>
        <w:tc>
          <w:tcPr>
            <w:tcW w:w="1090" w:type="dxa"/>
            <w:tcBorders>
              <w:top w:val="single" w:sz="4" w:space="0" w:color="000000"/>
              <w:left w:val="single" w:sz="4" w:space="0" w:color="000000"/>
              <w:right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 </w:t>
            </w:r>
          </w:p>
        </w:tc>
      </w:tr>
      <w:tr>
        <w:trPr>
          <w:trHeight w:val="360" w:hRule="atLeast"/>
          <w:cantSplit w:val="true"/>
        </w:trPr>
        <w:tc>
          <w:tcPr>
            <w:tcW w:w="2525"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1080"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16"/>
                <w:szCs w:val="16"/>
              </w:rPr>
            </w:pPr>
            <w:r>
              <w:rPr>
                <w:rFonts w:cs="Arial" w:ascii="Arial" w:hAnsi="Arial"/>
                <w:b/>
                <w:bCs/>
                <w:color w:val="FFFFFF"/>
                <w:sz w:val="16"/>
                <w:szCs w:val="16"/>
              </w:rPr>
              <w:t>2008</w:t>
            </w:r>
          </w:p>
        </w:tc>
        <w:tc>
          <w:tcPr>
            <w:tcW w:w="108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2009</w:t>
            </w:r>
          </w:p>
        </w:tc>
        <w:tc>
          <w:tcPr>
            <w:tcW w:w="108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2010</w:t>
            </w:r>
          </w:p>
        </w:tc>
        <w:tc>
          <w:tcPr>
            <w:tcW w:w="108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2011</w:t>
            </w:r>
          </w:p>
        </w:tc>
        <w:tc>
          <w:tcPr>
            <w:tcW w:w="126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2012</w:t>
            </w:r>
          </w:p>
        </w:tc>
        <w:tc>
          <w:tcPr>
            <w:tcW w:w="1090"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2013</w:t>
            </w:r>
          </w:p>
        </w:tc>
      </w:tr>
      <w:tr>
        <w:trPr>
          <w:trHeight w:val="300" w:hRule="atLeast"/>
        </w:trPr>
        <w:tc>
          <w:tcPr>
            <w:tcW w:w="2525"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TRŽBY  celkem</w:t>
            </w:r>
          </w:p>
        </w:tc>
        <w:tc>
          <w:tcPr>
            <w:tcW w:w="108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44 974,80</w:t>
            </w:r>
          </w:p>
        </w:tc>
        <w:tc>
          <w:tcPr>
            <w:tcW w:w="108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42 254,00</w:t>
            </w:r>
          </w:p>
        </w:tc>
        <w:tc>
          <w:tcPr>
            <w:tcW w:w="108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50 463,40</w:t>
            </w:r>
          </w:p>
        </w:tc>
        <w:tc>
          <w:tcPr>
            <w:tcW w:w="108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44 402,00</w:t>
            </w:r>
          </w:p>
        </w:tc>
        <w:tc>
          <w:tcPr>
            <w:tcW w:w="126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color w:val="000000"/>
                <w:sz w:val="16"/>
                <w:szCs w:val="16"/>
              </w:rPr>
            </w:pPr>
            <w:r>
              <w:rPr>
                <w:rFonts w:cs="Arial" w:ascii="Arial" w:hAnsi="Arial"/>
                <w:b/>
                <w:bCs/>
                <w:color w:val="000000"/>
                <w:sz w:val="16"/>
                <w:szCs w:val="16"/>
              </w:rPr>
              <w:t>48 068,70</w:t>
            </w:r>
          </w:p>
        </w:tc>
        <w:tc>
          <w:tcPr>
            <w:tcW w:w="1090" w:type="dxa"/>
            <w:tcBorders>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48 958,10</w:t>
            </w:r>
          </w:p>
        </w:tc>
      </w:tr>
      <w:tr>
        <w:trPr>
          <w:trHeight w:val="300" w:hRule="atLeast"/>
        </w:trPr>
        <w:tc>
          <w:tcPr>
            <w:tcW w:w="2525"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rPr>
                <w:rFonts w:ascii="Arial" w:hAnsi="Arial" w:cs="Arial"/>
                <w:b/>
                <w:b/>
                <w:bCs/>
                <w:sz w:val="16"/>
                <w:szCs w:val="16"/>
              </w:rPr>
            </w:pPr>
            <w:r>
              <w:rPr>
                <w:rFonts w:cs="Arial" w:ascii="Arial" w:hAnsi="Arial"/>
                <w:b/>
                <w:bCs/>
                <w:sz w:val="16"/>
                <w:szCs w:val="16"/>
              </w:rPr>
              <w:t>NÁKLADY celkem</w:t>
            </w:r>
          </w:p>
        </w:tc>
        <w:tc>
          <w:tcPr>
            <w:tcW w:w="108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18 309,70</w:t>
            </w:r>
          </w:p>
        </w:tc>
        <w:tc>
          <w:tcPr>
            <w:tcW w:w="108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22 014,00</w:t>
            </w:r>
          </w:p>
        </w:tc>
        <w:tc>
          <w:tcPr>
            <w:tcW w:w="108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30 155,60</w:t>
            </w:r>
          </w:p>
        </w:tc>
        <w:tc>
          <w:tcPr>
            <w:tcW w:w="108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27 877,60</w:t>
            </w:r>
          </w:p>
        </w:tc>
        <w:tc>
          <w:tcPr>
            <w:tcW w:w="1260" w:type="dxa"/>
            <w:tcBorders>
              <w:left w:val="single" w:sz="4" w:space="0" w:color="000000"/>
              <w:bottom w:val="single" w:sz="4" w:space="0" w:color="000000"/>
              <w:insideH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27 609,50</w:t>
            </w:r>
          </w:p>
        </w:tc>
        <w:tc>
          <w:tcPr>
            <w:tcW w:w="1090" w:type="dxa"/>
            <w:tcBorders>
              <w:left w:val="single" w:sz="4" w:space="0" w:color="000000"/>
              <w:bottom w:val="single" w:sz="4" w:space="0" w:color="000000"/>
              <w:right w:val="single" w:sz="4" w:space="0" w:color="000000"/>
              <w:insideH w:val="single" w:sz="4" w:space="0" w:color="000000"/>
              <w:insideV w:val="single" w:sz="4"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28 572,70</w:t>
            </w:r>
          </w:p>
        </w:tc>
      </w:tr>
      <w:tr>
        <w:trPr>
          <w:trHeight w:val="300" w:hRule="atLeast"/>
        </w:trPr>
        <w:tc>
          <w:tcPr>
            <w:tcW w:w="252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b/>
                <w:bCs/>
                <w:sz w:val="16"/>
                <w:szCs w:val="16"/>
              </w:rPr>
              <w:t>Spotřebované nákupy</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927,70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875,00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868,80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895,30</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000000"/>
                <w:sz w:val="16"/>
                <w:szCs w:val="16"/>
              </w:rPr>
            </w:pPr>
            <w:r>
              <w:rPr>
                <w:rFonts w:cs="Arial" w:ascii="Arial" w:hAnsi="Arial"/>
                <w:b/>
                <w:bCs/>
                <w:color w:val="000000"/>
                <w:sz w:val="16"/>
                <w:szCs w:val="16"/>
              </w:rPr>
              <w:t>897,20</w:t>
            </w:r>
          </w:p>
        </w:tc>
        <w:tc>
          <w:tcPr>
            <w:tcW w:w="10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865,10</w:t>
            </w:r>
          </w:p>
        </w:tc>
      </w:tr>
      <w:tr>
        <w:trPr>
          <w:trHeight w:val="300" w:hRule="atLeast"/>
        </w:trPr>
        <w:tc>
          <w:tcPr>
            <w:tcW w:w="252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Služby</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12 858,00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16 415,00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25 197,60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22 931,80</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000000"/>
                <w:sz w:val="16"/>
                <w:szCs w:val="16"/>
              </w:rPr>
            </w:pPr>
            <w:r>
              <w:rPr>
                <w:rFonts w:cs="Arial" w:ascii="Arial" w:hAnsi="Arial"/>
                <w:b/>
                <w:bCs/>
                <w:color w:val="000000"/>
                <w:sz w:val="16"/>
                <w:szCs w:val="16"/>
              </w:rPr>
              <w:t>22 703,80</w:t>
            </w:r>
          </w:p>
        </w:tc>
        <w:tc>
          <w:tcPr>
            <w:tcW w:w="10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23 905,50</w:t>
            </w:r>
          </w:p>
        </w:tc>
      </w:tr>
      <w:tr>
        <w:trPr>
          <w:trHeight w:val="300" w:hRule="atLeast"/>
        </w:trPr>
        <w:tc>
          <w:tcPr>
            <w:tcW w:w="252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Osobní náklady</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4 356,40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4 594,00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4 074,20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4 036,40</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000000"/>
                <w:sz w:val="16"/>
                <w:szCs w:val="16"/>
              </w:rPr>
            </w:pPr>
            <w:r>
              <w:rPr>
                <w:rFonts w:cs="Arial" w:ascii="Arial" w:hAnsi="Arial"/>
                <w:b/>
                <w:bCs/>
                <w:color w:val="000000"/>
                <w:sz w:val="16"/>
                <w:szCs w:val="16"/>
              </w:rPr>
              <w:t>3 992,60</w:t>
            </w:r>
          </w:p>
        </w:tc>
        <w:tc>
          <w:tcPr>
            <w:tcW w:w="10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3 784,00</w:t>
            </w:r>
          </w:p>
        </w:tc>
      </w:tr>
      <w:tr>
        <w:trPr>
          <w:trHeight w:val="300" w:hRule="atLeast"/>
        </w:trPr>
        <w:tc>
          <w:tcPr>
            <w:tcW w:w="252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Daně a poplatky (53x)</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11,40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15,00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15,00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14,10</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000000"/>
                <w:sz w:val="16"/>
                <w:szCs w:val="16"/>
              </w:rPr>
            </w:pPr>
            <w:r>
              <w:rPr>
                <w:rFonts w:cs="Arial" w:ascii="Arial" w:hAnsi="Arial"/>
                <w:b/>
                <w:bCs/>
                <w:color w:val="000000"/>
                <w:sz w:val="16"/>
                <w:szCs w:val="16"/>
              </w:rPr>
              <w:t>15,90</w:t>
            </w:r>
          </w:p>
        </w:tc>
        <w:tc>
          <w:tcPr>
            <w:tcW w:w="10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18,10</w:t>
            </w:r>
          </w:p>
        </w:tc>
      </w:tr>
      <w:tr>
        <w:trPr>
          <w:trHeight w:val="300" w:hRule="atLeast"/>
        </w:trPr>
        <w:tc>
          <w:tcPr>
            <w:tcW w:w="252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b/>
                <w:bCs/>
                <w:sz w:val="16"/>
                <w:szCs w:val="16"/>
              </w:rPr>
              <w:t>Odpisy dlouhodobého majetku</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156,20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115,00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0,00</w:t>
            </w:r>
          </w:p>
        </w:tc>
        <w:tc>
          <w:tcPr>
            <w:tcW w:w="108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0,00</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color w:val="000000"/>
                <w:sz w:val="16"/>
                <w:szCs w:val="16"/>
              </w:rPr>
            </w:pPr>
            <w:r>
              <w:rPr>
                <w:rFonts w:cs="Arial" w:ascii="Arial" w:hAnsi="Arial"/>
                <w:color w:val="000000"/>
                <w:sz w:val="16"/>
                <w:szCs w:val="16"/>
              </w:rPr>
              <w:t> </w:t>
            </w:r>
          </w:p>
        </w:tc>
        <w:tc>
          <w:tcPr>
            <w:tcW w:w="10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 </w:t>
            </w:r>
          </w:p>
        </w:tc>
      </w:tr>
      <w:tr>
        <w:trPr>
          <w:trHeight w:val="300" w:hRule="atLeast"/>
        </w:trPr>
        <w:tc>
          <w:tcPr>
            <w:tcW w:w="252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6"/>
                <w:szCs w:val="16"/>
              </w:rPr>
            </w:pPr>
            <w:r>
              <w:rPr>
                <w:rFonts w:cs="Arial" w:ascii="Arial" w:hAnsi="Arial"/>
                <w:b/>
                <w:bCs/>
                <w:sz w:val="16"/>
                <w:szCs w:val="16"/>
              </w:rPr>
              <w:t xml:space="preserve">HOSPODÁŘSKÝ VÝSLEDEK před zdaněním </w:t>
            </w:r>
          </w:p>
        </w:tc>
        <w:tc>
          <w:tcPr>
            <w:tcW w:w="10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26 665,10</w:t>
            </w:r>
          </w:p>
        </w:tc>
        <w:tc>
          <w:tcPr>
            <w:tcW w:w="10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20 240,00</w:t>
            </w:r>
          </w:p>
        </w:tc>
        <w:tc>
          <w:tcPr>
            <w:tcW w:w="10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20 307,80</w:t>
            </w:r>
          </w:p>
        </w:tc>
        <w:tc>
          <w:tcPr>
            <w:tcW w:w="10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16 524,40</w:t>
            </w:r>
          </w:p>
        </w:tc>
        <w:tc>
          <w:tcPr>
            <w:tcW w:w="126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20 459,20</w:t>
            </w:r>
          </w:p>
        </w:tc>
        <w:tc>
          <w:tcPr>
            <w:tcW w:w="109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20 385,40</w:t>
            </w:r>
          </w:p>
        </w:tc>
      </w:tr>
      <w:tr>
        <w:trPr>
          <w:trHeight w:val="300" w:hRule="atLeast"/>
        </w:trPr>
        <w:tc>
          <w:tcPr>
            <w:tcW w:w="25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6"/>
                <w:szCs w:val="16"/>
              </w:rPr>
            </w:pPr>
            <w:r>
              <w:rPr>
                <w:rFonts w:cs="Arial" w:ascii="Arial" w:hAnsi="Arial"/>
                <w:b/>
                <w:bCs/>
                <w:sz w:val="16"/>
                <w:szCs w:val="16"/>
              </w:rPr>
              <w:t xml:space="preserve">Daň z příjmů </w:t>
            </w:r>
          </w:p>
        </w:tc>
        <w:tc>
          <w:tcPr>
            <w:tcW w:w="10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5 381,10</w:t>
            </w:r>
          </w:p>
        </w:tc>
        <w:tc>
          <w:tcPr>
            <w:tcW w:w="10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3 941,00</w:t>
            </w:r>
          </w:p>
        </w:tc>
        <w:tc>
          <w:tcPr>
            <w:tcW w:w="10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3 474,80</w:t>
            </w:r>
          </w:p>
        </w:tc>
        <w:tc>
          <w:tcPr>
            <w:tcW w:w="10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2 889,00</w:t>
            </w:r>
          </w:p>
        </w:tc>
        <w:tc>
          <w:tcPr>
            <w:tcW w:w="126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3 627,20</w:t>
            </w:r>
          </w:p>
        </w:tc>
        <w:tc>
          <w:tcPr>
            <w:tcW w:w="10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3 709,90</w:t>
            </w:r>
          </w:p>
        </w:tc>
      </w:tr>
      <w:tr>
        <w:trPr>
          <w:trHeight w:val="300" w:hRule="atLeast"/>
        </w:trPr>
        <w:tc>
          <w:tcPr>
            <w:tcW w:w="252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6"/>
                <w:szCs w:val="16"/>
              </w:rPr>
            </w:pPr>
            <w:r>
              <w:rPr>
                <w:rFonts w:cs="Arial" w:ascii="Arial" w:hAnsi="Arial"/>
                <w:b/>
                <w:bCs/>
                <w:sz w:val="16"/>
                <w:szCs w:val="16"/>
              </w:rPr>
              <w:t xml:space="preserve">HOSPODÁŘSKÝ VÝSLEDEK po zdanění </w:t>
            </w:r>
          </w:p>
        </w:tc>
        <w:tc>
          <w:tcPr>
            <w:tcW w:w="10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pPr>
            <w:r>
              <w:rPr>
                <w:rFonts w:cs="Arial" w:ascii="Arial" w:hAnsi="Arial"/>
                <w:b/>
                <w:bCs/>
                <w:sz w:val="16"/>
                <w:szCs w:val="16"/>
              </w:rPr>
              <w:t>21 284,00</w:t>
            </w:r>
          </w:p>
        </w:tc>
        <w:tc>
          <w:tcPr>
            <w:tcW w:w="10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16 299,00</w:t>
            </w:r>
          </w:p>
        </w:tc>
        <w:tc>
          <w:tcPr>
            <w:tcW w:w="10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16 833,00</w:t>
            </w:r>
          </w:p>
        </w:tc>
        <w:tc>
          <w:tcPr>
            <w:tcW w:w="10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13 635,40</w:t>
            </w:r>
          </w:p>
        </w:tc>
        <w:tc>
          <w:tcPr>
            <w:tcW w:w="126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16 832,00</w:t>
            </w:r>
          </w:p>
        </w:tc>
        <w:tc>
          <w:tcPr>
            <w:tcW w:w="109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16 675,50</w:t>
            </w:r>
          </w:p>
        </w:tc>
      </w:tr>
    </w:tbl>
    <w:p>
      <w:pPr>
        <w:pStyle w:val="Stanoviskotext"/>
        <w:spacing w:lineRule="auto" w:line="240" w:before="0" w:after="240"/>
        <w:rPr>
          <w:i/>
          <w:i/>
          <w:sz w:val="16"/>
          <w:szCs w:val="16"/>
        </w:rPr>
      </w:pPr>
      <w:r>
        <w:rPr>
          <w:i/>
          <w:sz w:val="16"/>
          <w:szCs w:val="16"/>
        </w:rPr>
        <w:t>Zdroj: Materiál TSK: Rozbor hospodaření za rok 2009 až 2013</w:t>
      </w:r>
    </w:p>
    <w:p>
      <w:pPr>
        <w:pStyle w:val="Stanoviskotext"/>
        <w:rPr/>
      </w:pPr>
      <w:r>
        <w:rPr/>
      </w:r>
    </w:p>
    <w:p>
      <w:pPr>
        <w:pStyle w:val="Stanovisko2"/>
        <w:numPr>
          <w:ilvl w:val="1"/>
          <w:numId w:val="2"/>
        </w:numPr>
        <w:tabs>
          <w:tab w:val="left" w:pos="1080" w:leader="none"/>
        </w:tabs>
        <w:ind w:left="1080" w:hanging="1080"/>
        <w:rPr/>
      </w:pPr>
      <w:bookmarkStart w:id="5" w:name="__RefHeading___Toc382588290"/>
      <w:bookmarkEnd w:id="5"/>
      <w:r>
        <w:rPr/>
        <w:t>Správa majetku hl. m. Prahy</w:t>
      </w:r>
    </w:p>
    <w:p>
      <w:pPr>
        <w:pStyle w:val="Stanoviskotext"/>
        <w:rPr/>
      </w:pPr>
      <w:r>
        <w:rPr/>
        <w:t>Příspěvková organizace TSK v současnosti spravuje majetek hl. m. Prahy v celkové účetní hodnotě cca 68.7 mld. Kč</w:t>
      </w:r>
      <w:r>
        <w:rPr>
          <w:rStyle w:val="FootnoteCharacters"/>
          <w:rStyle w:val="FootnoteAnchor"/>
        </w:rPr>
        <w:footnoteReference w:id="3"/>
      </w:r>
      <w:r>
        <w:rPr/>
        <w:t>. Za účelem této správy hospodaří TSK s rozpočtem hl. m. Prahy v objemu cca 3,424 mld. Kč (údaj z roku 2013). Na rok 2014 je pak plánován rozpočet ve výši 3,348 mld. Kč. Prostředky jsou čerpány na běžné výdaje spojené se správou majetku a také na investiční výdaje.</w:t>
      </w:r>
    </w:p>
    <w:p>
      <w:pPr>
        <w:pStyle w:val="Stanoviskotext"/>
        <w:rPr/>
      </w:pPr>
      <w:r>
        <w:rPr/>
        <w:t>Strukturu těchto prostředků v roce 2013 zobrazují následující tabulky a grafy:</w:t>
      </w:r>
    </w:p>
    <w:tbl>
      <w:tblPr>
        <w:tblW w:w="9015" w:type="dxa"/>
        <w:jc w:val="left"/>
        <w:tblInd w:w="6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7025"/>
        <w:gridCol w:w="1990"/>
      </w:tblGrid>
      <w:tr>
        <w:trPr>
          <w:trHeight w:val="345" w:hRule="atLeast"/>
        </w:trPr>
        <w:tc>
          <w:tcPr>
            <w:tcW w:w="7025"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rFonts w:ascii="Arial" w:hAnsi="Arial" w:cs="Arial"/>
                <w:b/>
                <w:b/>
                <w:bCs/>
                <w:color w:val="FFFFFF"/>
                <w:sz w:val="20"/>
                <w:szCs w:val="20"/>
              </w:rPr>
            </w:pPr>
            <w:r>
              <w:rPr>
                <w:rFonts w:cs="Arial" w:ascii="Arial" w:hAnsi="Arial"/>
                <w:b/>
                <w:bCs/>
                <w:color w:val="FFFFFF"/>
                <w:sz w:val="20"/>
                <w:szCs w:val="20"/>
              </w:rPr>
              <w:t>běžné výdaje (v tis. Kč)</w:t>
            </w:r>
          </w:p>
        </w:tc>
        <w:tc>
          <w:tcPr>
            <w:tcW w:w="19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right"/>
              <w:rPr>
                <w:rFonts w:ascii="Arial" w:hAnsi="Arial" w:cs="Arial"/>
                <w:b/>
                <w:b/>
                <w:bCs/>
                <w:color w:val="FFFFFF"/>
                <w:sz w:val="20"/>
                <w:szCs w:val="20"/>
              </w:rPr>
            </w:pPr>
            <w:r>
              <w:rPr>
                <w:rFonts w:cs="Arial" w:ascii="Arial" w:hAnsi="Arial"/>
                <w:b/>
                <w:bCs/>
                <w:color w:val="FFFFFF"/>
                <w:sz w:val="20"/>
                <w:szCs w:val="20"/>
              </w:rPr>
              <w:t>2013</w:t>
            </w:r>
          </w:p>
        </w:tc>
      </w:tr>
      <w:tr>
        <w:trPr>
          <w:trHeight w:val="270"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zimní služba</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542 168,7</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 posyp. materiálu</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64 808,7</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služby telekom. a radiokom. </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531,0</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opravy a údržba kom.</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1 033 216,5</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nájemné v rámci údržby</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3 882,0</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čištění a zeleň</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563 739,9</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ostatní výdaje</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238 206,3</w:t>
            </w:r>
          </w:p>
        </w:tc>
      </w:tr>
      <w:tr>
        <w:trPr>
          <w:trHeight w:val="255" w:hRule="atLeast"/>
        </w:trPr>
        <w:tc>
          <w:tcPr>
            <w:tcW w:w="702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20"/>
                <w:szCs w:val="20"/>
              </w:rPr>
            </w:pPr>
            <w:r>
              <w:rPr>
                <w:rFonts w:cs="Arial" w:ascii="Arial" w:hAnsi="Arial"/>
                <w:b/>
                <w:bCs/>
                <w:sz w:val="20"/>
                <w:szCs w:val="20"/>
              </w:rPr>
              <w:t>Běžné výdaje celkem</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20"/>
                <w:szCs w:val="20"/>
              </w:rPr>
            </w:pPr>
            <w:r>
              <w:rPr>
                <w:rFonts w:cs="Arial" w:ascii="Arial" w:hAnsi="Arial"/>
                <w:b/>
                <w:bCs/>
                <w:sz w:val="20"/>
                <w:szCs w:val="20"/>
              </w:rPr>
              <w:t>2 446 553,1</w:t>
            </w:r>
          </w:p>
        </w:tc>
      </w:tr>
    </w:tbl>
    <w:p>
      <w:pPr>
        <w:pStyle w:val="Stanoviskotext"/>
        <w:spacing w:lineRule="auto" w:line="240" w:before="0" w:after="240"/>
        <w:rPr>
          <w:i/>
          <w:i/>
          <w:sz w:val="16"/>
          <w:szCs w:val="16"/>
        </w:rPr>
      </w:pPr>
      <w:r>
        <w:rPr>
          <w:i/>
          <w:sz w:val="16"/>
          <w:szCs w:val="16"/>
        </w:rPr>
        <w:t>Zdroj: Materiál TSK: Rozbor hospodaření za rok 2009 až 2013</w:t>
      </w:r>
    </w:p>
    <w:tbl>
      <w:tblPr>
        <w:tblW w:w="9015" w:type="dxa"/>
        <w:jc w:val="left"/>
        <w:tblInd w:w="6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7025"/>
        <w:gridCol w:w="1990"/>
      </w:tblGrid>
      <w:tr>
        <w:trPr>
          <w:trHeight w:val="360" w:hRule="atLeast"/>
        </w:trPr>
        <w:tc>
          <w:tcPr>
            <w:tcW w:w="7025"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rFonts w:ascii="Arial" w:hAnsi="Arial" w:cs="Arial"/>
                <w:b/>
                <w:b/>
                <w:bCs/>
                <w:color w:val="FFFFFF"/>
                <w:sz w:val="20"/>
                <w:szCs w:val="20"/>
              </w:rPr>
            </w:pPr>
            <w:r>
              <w:rPr>
                <w:rFonts w:cs="Arial" w:ascii="Arial" w:hAnsi="Arial"/>
                <w:b/>
                <w:bCs/>
                <w:color w:val="FFFFFF"/>
                <w:sz w:val="20"/>
                <w:szCs w:val="20"/>
              </w:rPr>
              <w:t>kapitálové výdaje  (v tis. Kč)</w:t>
            </w:r>
          </w:p>
        </w:tc>
        <w:tc>
          <w:tcPr>
            <w:tcW w:w="19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right"/>
              <w:rPr>
                <w:rFonts w:ascii="Arial" w:hAnsi="Arial" w:cs="Arial"/>
                <w:b/>
                <w:b/>
                <w:bCs/>
                <w:color w:val="FFFFFF"/>
                <w:sz w:val="20"/>
                <w:szCs w:val="20"/>
              </w:rPr>
            </w:pPr>
            <w:r>
              <w:rPr>
                <w:rFonts w:cs="Arial" w:ascii="Arial" w:hAnsi="Arial"/>
                <w:b/>
                <w:bCs/>
                <w:color w:val="FFFFFF"/>
                <w:sz w:val="20"/>
                <w:szCs w:val="20"/>
              </w:rPr>
              <w:t>2013</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hl.m. Praha</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797 282,9</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SFDI</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91 275,0</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MČ</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pPr>
            <w:r>
              <w:rPr>
                <w:rFonts w:cs="Arial" w:ascii="Arial" w:hAnsi="Arial"/>
                <w:sz w:val="20"/>
                <w:szCs w:val="20"/>
              </w:rPr>
              <w:t>89 114,0</w:t>
            </w:r>
          </w:p>
        </w:tc>
      </w:tr>
      <w:tr>
        <w:trPr>
          <w:trHeight w:val="255" w:hRule="atLeast"/>
        </w:trPr>
        <w:tc>
          <w:tcPr>
            <w:tcW w:w="702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MF ČR </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20"/>
                <w:szCs w:val="20"/>
              </w:rPr>
            </w:pPr>
            <w:r>
              <w:rPr>
                <w:rFonts w:cs="Arial" w:ascii="Arial" w:hAnsi="Arial"/>
                <w:sz w:val="20"/>
                <w:szCs w:val="20"/>
              </w:rPr>
              <w:t>0,0</w:t>
            </w:r>
          </w:p>
        </w:tc>
      </w:tr>
      <w:tr>
        <w:trPr>
          <w:trHeight w:val="255" w:hRule="atLeast"/>
        </w:trPr>
        <w:tc>
          <w:tcPr>
            <w:tcW w:w="702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20"/>
                <w:szCs w:val="20"/>
              </w:rPr>
            </w:pPr>
            <w:r>
              <w:rPr>
                <w:rFonts w:cs="Arial" w:ascii="Arial" w:hAnsi="Arial"/>
                <w:b/>
                <w:bCs/>
                <w:sz w:val="20"/>
                <w:szCs w:val="20"/>
              </w:rPr>
              <w:t>Kapitálové výdaje celkem</w:t>
            </w:r>
          </w:p>
        </w:tc>
        <w:tc>
          <w:tcPr>
            <w:tcW w:w="199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20"/>
                <w:szCs w:val="20"/>
              </w:rPr>
            </w:pPr>
            <w:r>
              <w:rPr>
                <w:rFonts w:cs="Arial" w:ascii="Arial" w:hAnsi="Arial"/>
                <w:b/>
                <w:bCs/>
                <w:sz w:val="20"/>
                <w:szCs w:val="20"/>
              </w:rPr>
              <w:t>977 671,9</w:t>
            </w:r>
          </w:p>
        </w:tc>
      </w:tr>
    </w:tbl>
    <w:p>
      <w:pPr>
        <w:pStyle w:val="Stanoviskotext"/>
        <w:spacing w:lineRule="auto" w:line="240" w:before="0" w:after="240"/>
        <w:rPr>
          <w:i/>
          <w:i/>
          <w:sz w:val="16"/>
          <w:szCs w:val="16"/>
        </w:rPr>
      </w:pPr>
      <w:r>
        <w:rPr>
          <w:i/>
          <w:sz w:val="16"/>
          <w:szCs w:val="16"/>
        </w:rPr>
        <w:t>Zdroj: Materiál TSK: Rozbor hospodaření za rok 2009 až 2013</w:t>
      </w:r>
    </w:p>
    <w:p>
      <w:pPr>
        <w:pStyle w:val="Stanoviskotext"/>
        <w:spacing w:lineRule="auto" w:line="240" w:before="0" w:after="240"/>
        <w:rPr>
          <w:i/>
          <w:i/>
          <w:sz w:val="16"/>
          <w:szCs w:val="16"/>
          <w:lang w:val="en-US" w:eastAsia="en-US"/>
        </w:rPr>
      </w:pPr>
      <w:r>
        <w:rPr>
          <w:i/>
          <w:sz w:val="16"/>
          <w:szCs w:val="16"/>
          <w:lang w:val="en-US" w:eastAsia="en-US"/>
        </w:rPr>
        <mc:AlternateContent>
          <mc:Choice Requires="wpg">
            <w:drawing>
              <wp:anchor behindDoc="0" distT="0" distB="0" distL="114935" distR="114935" simplePos="0" locked="0" layoutInCell="1" allowOverlap="1" relativeHeight="45">
                <wp:simplePos x="0" y="0"/>
                <wp:positionH relativeFrom="column">
                  <wp:posOffset>114300</wp:posOffset>
                </wp:positionH>
                <wp:positionV relativeFrom="paragraph">
                  <wp:posOffset>128905</wp:posOffset>
                </wp:positionV>
                <wp:extent cx="5668010" cy="1696085"/>
                <wp:effectExtent l="0" t="0" r="0" b="0"/>
                <wp:wrapNone/>
                <wp:docPr id="12" name=""/>
                <a:graphic xmlns:a="http://schemas.openxmlformats.org/drawingml/2006/main">
                  <a:graphicData uri="http://schemas.microsoft.com/office/word/2010/wordprocessingGroup">
                    <wpg:wgp>
                      <wpg:cNvGrpSpPr/>
                      <wpg:grpSpPr>
                        <a:xfrm>
                          <a:off x="0" y="0"/>
                          <a:ext cx="5667480" cy="1695600"/>
                        </a:xfrm>
                      </wpg:grpSpPr>
                      <pic:pic xmlns:pic="http://schemas.openxmlformats.org/drawingml/2006/picture">
                        <pic:nvPicPr>
                          <pic:cNvPr id="4" name="" descr=""/>
                          <pic:cNvPicPr/>
                        </pic:nvPicPr>
                        <pic:blipFill>
                          <a:blip r:embed="rId15"/>
                          <a:stretch/>
                        </pic:blipFill>
                        <pic:spPr>
                          <a:xfrm>
                            <a:off x="2857680" y="0"/>
                            <a:ext cx="2809800" cy="1695600"/>
                          </a:xfrm>
                          <a:prstGeom prst="rect">
                            <a:avLst/>
                          </a:prstGeom>
                          <a:ln>
                            <a:noFill/>
                          </a:ln>
                        </pic:spPr>
                      </pic:pic>
                      <pic:pic xmlns:pic="http://schemas.openxmlformats.org/drawingml/2006/picture">
                        <pic:nvPicPr>
                          <pic:cNvPr id="5" name="" descr=""/>
                          <pic:cNvPicPr/>
                        </pic:nvPicPr>
                        <pic:blipFill>
                          <a:blip r:embed="rId16"/>
                          <a:stretch/>
                        </pic:blipFill>
                        <pic:spPr>
                          <a:xfrm>
                            <a:off x="0" y="0"/>
                            <a:ext cx="2809800" cy="1695600"/>
                          </a:xfrm>
                          <a:prstGeom prst="rect">
                            <a:avLst/>
                          </a:prstGeom>
                          <a:ln>
                            <a:noFill/>
                          </a:ln>
                        </pic:spPr>
                      </pic:pic>
                    </wpg:wgp>
                  </a:graphicData>
                </a:graphic>
              </wp:anchor>
            </w:drawing>
          </mc:Choice>
          <mc:Fallback>
            <w:pict>
              <v:group id="shape_0" style="position:absolute;margin-left:9pt;margin-top:10.15pt;width:446.25pt;height:133.5pt" coordorigin="180,203" coordsize="8925,2670">
                <v:rect id="shape_0" stroked="f" style="position:absolute;left:4681;top:203;width:4424;height:2669">
                  <v:imagedata r:id="rId15" o:detectmouseclick="t"/>
                  <w10:wrap type="none"/>
                  <v:stroke color="#3465a4" joinstyle="round" endcap="flat"/>
                </v:rect>
                <v:rect id="shape_0" stroked="f" style="position:absolute;left:180;top:203;width:4424;height:2669">
                  <v:imagedata r:id="rId16" o:detectmouseclick="t"/>
                  <w10:wrap type="none"/>
                  <v:stroke color="#3465a4" joinstyle="round" endcap="flat"/>
                </v:rect>
              </v:group>
            </w:pict>
          </mc:Fallback>
        </mc:AlternateContent>
      </w:r>
    </w:p>
    <w:p>
      <w:pPr>
        <w:pStyle w:val="Stanoviskotext"/>
        <w:spacing w:lineRule="auto" w:line="240" w:before="240" w:after="0"/>
        <w:jc w:val="center"/>
        <w:rPr>
          <w:i/>
          <w:i/>
          <w:sz w:val="16"/>
          <w:szCs w:val="16"/>
        </w:rPr>
      </w:pPr>
      <w:r>
        <w:rPr>
          <w:i/>
          <w:sz w:val="16"/>
          <w:szCs w:val="16"/>
        </w:rPr>
      </w:r>
    </w:p>
    <w:p>
      <w:pPr>
        <w:pStyle w:val="Stanoviskotext"/>
        <w:spacing w:lineRule="auto" w:line="240" w:before="240" w:after="0"/>
        <w:jc w:val="center"/>
        <w:rPr/>
      </w:pPr>
      <w:r>
        <w:rPr/>
      </w:r>
    </w:p>
    <w:p>
      <w:pPr>
        <w:pStyle w:val="Stanoviskotext"/>
        <w:spacing w:lineRule="auto" w:line="240" w:before="240" w:after="0"/>
        <w:jc w:val="center"/>
        <w:rPr/>
      </w:pPr>
      <w:r>
        <w:rPr/>
      </w:r>
    </w:p>
    <w:p>
      <w:pPr>
        <w:pStyle w:val="Stanoviskotext"/>
        <w:spacing w:lineRule="auto" w:line="240" w:before="240" w:after="0"/>
        <w:jc w:val="center"/>
        <w:rPr/>
      </w:pPr>
      <w:r>
        <w:rPr/>
      </w:r>
    </w:p>
    <w:p>
      <w:pPr>
        <w:pStyle w:val="Stanoviskotext"/>
        <w:spacing w:lineRule="auto" w:line="240" w:before="240" w:after="0"/>
        <w:jc w:val="center"/>
        <w:rPr/>
      </w:pPr>
      <w:r>
        <w:rPr/>
      </w:r>
    </w:p>
    <w:p>
      <w:pPr>
        <w:pStyle w:val="Stanoviskotext"/>
        <w:spacing w:lineRule="auto" w:line="240" w:before="240" w:after="0"/>
        <w:jc w:val="center"/>
        <w:rPr>
          <w:i/>
          <w:i/>
          <w:sz w:val="16"/>
          <w:szCs w:val="16"/>
        </w:rPr>
      </w:pPr>
      <w:r>
        <w:rPr>
          <w:i/>
          <w:sz w:val="16"/>
          <w:szCs w:val="16"/>
        </w:rPr>
      </w:r>
    </w:p>
    <w:p>
      <w:pPr>
        <w:pStyle w:val="Stanoviskotext"/>
        <w:spacing w:before="0" w:after="240"/>
        <w:jc w:val="left"/>
        <w:rPr>
          <w:i/>
          <w:i/>
          <w:sz w:val="16"/>
          <w:szCs w:val="16"/>
        </w:rPr>
      </w:pPr>
      <w:r>
        <w:rPr>
          <w:rFonts w:eastAsia="Verdana"/>
          <w:i/>
          <w:sz w:val="16"/>
          <w:szCs w:val="16"/>
        </w:rPr>
        <w:t xml:space="preserve">      </w:t>
      </w:r>
      <w:r>
        <w:rPr>
          <w:i/>
          <w:sz w:val="16"/>
          <w:szCs w:val="16"/>
        </w:rPr>
        <w:t>Graf: Struktura běžných výdajů v roce 2013                  Graf: Struktura kapitálových výdajů v roce 2013</w:t>
      </w:r>
    </w:p>
    <w:p>
      <w:pPr>
        <w:pStyle w:val="Stanoviskotext"/>
        <w:rPr>
          <w:i/>
          <w:i/>
          <w:sz w:val="16"/>
          <w:szCs w:val="16"/>
        </w:rPr>
      </w:pPr>
      <w:r>
        <w:rPr>
          <w:i/>
          <w:sz w:val="16"/>
          <w:szCs w:val="16"/>
        </w:rPr>
      </w:r>
    </w:p>
    <w:p>
      <w:pPr>
        <w:pStyle w:val="Stanoviskotext"/>
        <w:rPr/>
      </w:pPr>
      <w:r>
        <w:rPr/>
        <w:t>Rozpočtové výdaje hl. m. Prahy, s nimiž TSK hospodaří za účelem správy majetku, zaznamenávají ve sledovaném období, tj. od roku 2002, rostoucí trend, přičemž v roce 2010 zaznamenaly jak v rámci běžných, tak kapitálových výdajů, významný výkyv v trendu, a to směrem ke zvýšení těchto výdajů. V následujících dvou letech, tj. v roce 2011 a 2012, pak zaznamenávaly spíše pokles. V rámci běžných výdajů je v roce 2013 zaznamenán opět růst, který je plánován i na rok 2014, a to téměř o 14 %. Kapitálové výdaje sice v roce 2013 zaznamenaly menší růst, ovšem na rok 2014 je plánován pokles o téměř 39 %, přičemž už v roce 2012 se svou absolutní hodnotou dostávají pod úroveň výdajů v roce 2002.</w:t>
      </w:r>
    </w:p>
    <w:p>
      <w:pPr>
        <w:sectPr>
          <w:headerReference w:type="default" r:id="rId17"/>
          <w:headerReference w:type="first" r:id="rId18"/>
          <w:footerReference w:type="default" r:id="rId19"/>
          <w:footerReference w:type="first" r:id="rId20"/>
          <w:footnotePr>
            <w:numFmt w:val="decimal"/>
          </w:footnotePr>
          <w:type w:val="nextPage"/>
          <w:pgSz w:w="11906" w:h="16838"/>
          <w:pgMar w:left="1418" w:right="1418" w:header="709" w:top="1418" w:footer="567" w:bottom="1418" w:gutter="0"/>
          <w:pgNumType w:fmt="decimal"/>
          <w:formProt w:val="false"/>
          <w:titlePg/>
          <w:textDirection w:val="lrTb"/>
          <w:docGrid w:type="default" w:linePitch="360" w:charSpace="0"/>
        </w:sectPr>
        <w:pStyle w:val="Stanoviskotext"/>
        <w:rPr/>
      </w:pPr>
      <w:r>
        <w:rPr/>
        <w:t>Podrobně jsou tyto skutečnosti zobrazeny v následujících tabulkách a grafu:</w:t>
      </w:r>
    </w:p>
    <w:tbl>
      <w:tblPr>
        <w:tblW w:w="14235" w:type="dxa"/>
        <w:jc w:val="left"/>
        <w:tblInd w:w="6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525"/>
        <w:gridCol w:w="900"/>
        <w:gridCol w:w="900"/>
        <w:gridCol w:w="900"/>
        <w:gridCol w:w="900"/>
        <w:gridCol w:w="900"/>
        <w:gridCol w:w="900"/>
        <w:gridCol w:w="900"/>
        <w:gridCol w:w="900"/>
        <w:gridCol w:w="900"/>
        <w:gridCol w:w="900"/>
        <w:gridCol w:w="900"/>
        <w:gridCol w:w="900"/>
        <w:gridCol w:w="900"/>
        <w:gridCol w:w="10"/>
      </w:tblGrid>
      <w:tr>
        <w:trPr>
          <w:trHeight w:val="345" w:hRule="atLeast"/>
        </w:trPr>
        <w:tc>
          <w:tcPr>
            <w:tcW w:w="2525"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rFonts w:ascii="Arial" w:hAnsi="Arial" w:cs="Arial"/>
                <w:b/>
                <w:b/>
                <w:bCs/>
                <w:color w:val="FFFFFF"/>
                <w:sz w:val="14"/>
                <w:szCs w:val="14"/>
              </w:rPr>
            </w:pPr>
            <w:r>
              <w:rPr>
                <w:rFonts w:cs="Arial" w:ascii="Arial" w:hAnsi="Arial"/>
                <w:b/>
                <w:bCs/>
                <w:color w:val="FFFFFF"/>
                <w:sz w:val="14"/>
                <w:szCs w:val="14"/>
              </w:rPr>
              <w:t>běžné výdaje (v tis. Kč)</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2002</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2003</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2004</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2005</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2006</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2007</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2008</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2009</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2010</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2011</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2012</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2013</w:t>
            </w:r>
          </w:p>
        </w:tc>
        <w:tc>
          <w:tcPr>
            <w:tcW w:w="9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rPr>
                <w:rFonts w:ascii="Arial" w:hAnsi="Arial" w:cs="Arial"/>
                <w:b/>
                <w:b/>
                <w:bCs/>
                <w:color w:val="FFFFFF"/>
                <w:sz w:val="14"/>
                <w:szCs w:val="14"/>
              </w:rPr>
            </w:pPr>
            <w:r>
              <w:rPr>
                <w:rFonts w:cs="Arial" w:ascii="Arial" w:hAnsi="Arial"/>
                <w:b/>
                <w:bCs/>
                <w:color w:val="FFFFFF"/>
                <w:sz w:val="14"/>
                <w:szCs w:val="14"/>
              </w:rPr>
              <w:t>2014 rozpočet</w:t>
            </w:r>
          </w:p>
        </w:tc>
      </w:tr>
      <w:tr>
        <w:trPr>
          <w:trHeight w:val="255" w:hRule="atLeast"/>
        </w:trPr>
        <w:tc>
          <w:tcPr>
            <w:tcW w:w="252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4"/>
                <w:szCs w:val="14"/>
              </w:rPr>
            </w:pPr>
            <w:r>
              <w:rPr>
                <w:rFonts w:cs="Arial" w:ascii="Arial" w:hAnsi="Arial"/>
                <w:b/>
                <w:bCs/>
                <w:sz w:val="14"/>
                <w:szCs w:val="14"/>
              </w:rPr>
              <w:t>Běžné výdaje celkem</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1 630 429,8</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1 698 842,1</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1 917 539,3</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1 973 893,4</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2 025 464,7</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2 219 175,2</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2 224 037,1</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2 415 349,4</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3 315 330,1</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2 701 413,6</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2 255 257,3</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2 446 553,1</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2 783 660,0</w:t>
            </w:r>
          </w:p>
        </w:tc>
      </w:tr>
      <w:tr>
        <w:trPr>
          <w:trHeight w:val="255" w:hRule="atLeast"/>
        </w:trPr>
        <w:tc>
          <w:tcPr>
            <w:tcW w:w="252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4"/>
                <w:szCs w:val="14"/>
              </w:rPr>
            </w:pPr>
            <w:r>
              <w:rPr>
                <w:rFonts w:cs="Arial" w:ascii="Arial" w:hAnsi="Arial"/>
                <w:b/>
                <w:bCs/>
                <w:sz w:val="14"/>
                <w:szCs w:val="14"/>
              </w:rPr>
              <w:t>tempo růstu celkových běžných výdajů</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4"/>
                <w:szCs w:val="14"/>
              </w:rPr>
            </w:pPr>
            <w:r>
              <w:rPr>
                <w:rFonts w:cs="Arial" w:ascii="Arial" w:hAnsi="Arial"/>
                <w:b/>
                <w:bCs/>
                <w:sz w:val="14"/>
                <w:szCs w:val="14"/>
              </w:rPr>
              <w:t>x</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4,2%</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12,9%</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2,9%</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2,6%</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9,6%</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0,2%</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8,6%</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37,3%</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-18,5%</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-16,5%</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8,5%</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23,4%</w:t>
            </w:r>
          </w:p>
        </w:tc>
      </w:tr>
      <w:tr>
        <w:trPr>
          <w:trHeight w:val="255" w:hRule="atLeast"/>
        </w:trPr>
        <w:tc>
          <w:tcPr>
            <w:tcW w:w="2525"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jc w:val="right"/>
              <w:rPr>
                <w:rFonts w:ascii="Arial" w:hAnsi="Arial" w:cs="Arial"/>
                <w:b/>
                <w:b/>
                <w:bCs/>
                <w:sz w:val="14"/>
                <w:szCs w:val="14"/>
              </w:rPr>
            </w:pPr>
            <w:r>
              <w:rPr>
                <w:rFonts w:cs="Arial" w:ascii="Arial" w:hAnsi="Arial"/>
                <w:b/>
                <w:bCs/>
                <w:sz w:val="14"/>
                <w:szCs w:val="14"/>
              </w:rPr>
              <w:t>11,8%</w:t>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r>
      <w:tr>
        <w:trPr>
          <w:trHeight w:val="255" w:hRule="atLeast"/>
        </w:trPr>
        <w:tc>
          <w:tcPr>
            <w:tcW w:w="2525" w:type="dxa"/>
            <w:tcBorders/>
            <w:shd w:fill="auto" w:val="clear"/>
            <w:vAlign w:val="bottom"/>
          </w:tcPr>
          <w:p>
            <w:pPr>
              <w:pStyle w:val="Normal"/>
              <w:snapToGrid w:val="false"/>
              <w:rPr>
                <w:rFonts w:ascii="Arial" w:hAnsi="Arial" w:cs="Arial"/>
                <w:b/>
                <w:b/>
                <w:bCs/>
                <w:sz w:val="14"/>
                <w:szCs w:val="14"/>
              </w:rPr>
            </w:pPr>
            <w:r>
              <w:rPr>
                <w:rFonts w:cs="Arial" w:ascii="Arial" w:hAnsi="Arial"/>
                <w:b/>
                <w:bCs/>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c>
          <w:tcPr>
            <w:tcW w:w="900" w:type="dxa"/>
            <w:tcBorders/>
            <w:shd w:fill="auto" w:val="clear"/>
            <w:vAlign w:val="bottom"/>
          </w:tcPr>
          <w:p>
            <w:pPr>
              <w:pStyle w:val="Normal"/>
              <w:snapToGrid w:val="false"/>
              <w:rPr>
                <w:rFonts w:ascii="Arial" w:hAnsi="Arial" w:cs="Arial"/>
                <w:sz w:val="14"/>
                <w:szCs w:val="14"/>
              </w:rPr>
            </w:pPr>
            <w:r>
              <w:rPr>
                <w:rFonts w:cs="Arial" w:ascii="Arial" w:hAnsi="Arial"/>
                <w:sz w:val="14"/>
                <w:szCs w:val="14"/>
              </w:rPr>
            </w:r>
          </w:p>
        </w:tc>
      </w:tr>
      <w:tr>
        <w:trPr>
          <w:trHeight w:val="360" w:hRule="atLeast"/>
        </w:trPr>
        <w:tc>
          <w:tcPr>
            <w:tcW w:w="2525"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rFonts w:ascii="Arial" w:hAnsi="Arial" w:cs="Arial"/>
                <w:b/>
                <w:b/>
                <w:bCs/>
                <w:color w:val="FFFFFF"/>
                <w:sz w:val="14"/>
                <w:szCs w:val="14"/>
              </w:rPr>
            </w:pPr>
            <w:r>
              <w:rPr>
                <w:rFonts w:cs="Arial" w:ascii="Arial" w:hAnsi="Arial"/>
                <w:b/>
                <w:bCs/>
                <w:color w:val="FFFFFF"/>
                <w:sz w:val="14"/>
                <w:szCs w:val="14"/>
              </w:rPr>
              <w:t>kapitálové výdaje (v tis. Kč)</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2002</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2003</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2004</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2005</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2006</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2007</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2008</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2009</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2010</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2011</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2012</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2013</w:t>
            </w:r>
          </w:p>
        </w:tc>
        <w:tc>
          <w:tcPr>
            <w:tcW w:w="9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rPr>
                <w:rFonts w:ascii="Arial" w:hAnsi="Arial" w:cs="Arial"/>
                <w:b/>
                <w:b/>
                <w:bCs/>
                <w:color w:val="FFFFFF"/>
                <w:sz w:val="14"/>
                <w:szCs w:val="14"/>
              </w:rPr>
            </w:pPr>
            <w:r>
              <w:rPr>
                <w:rFonts w:cs="Arial" w:ascii="Arial" w:hAnsi="Arial"/>
                <w:b/>
                <w:bCs/>
                <w:color w:val="FFFFFF"/>
                <w:sz w:val="14"/>
                <w:szCs w:val="14"/>
              </w:rPr>
              <w:t>2014 rozpočet</w:t>
            </w:r>
          </w:p>
        </w:tc>
      </w:tr>
      <w:tr>
        <w:trPr>
          <w:trHeight w:val="255" w:hRule="atLeast"/>
        </w:trPr>
        <w:tc>
          <w:tcPr>
            <w:tcW w:w="252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pPr>
            <w:r>
              <w:rPr>
                <w:rFonts w:cs="Arial" w:ascii="Arial" w:hAnsi="Arial"/>
                <w:b/>
                <w:bCs/>
                <w:sz w:val="14"/>
                <w:szCs w:val="14"/>
              </w:rPr>
              <w:t>Kapitálové výdaje celkem</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1 005 040,7</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1 428 097,5</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1 286 584,5</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1 401 945,5</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1 370 456,1</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1 425 660,3</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969 029,9</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1 197 155,5</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1 581 244,2</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1 414 895,6</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826 520,0</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977 671,9</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564 250,0</w:t>
            </w:r>
          </w:p>
        </w:tc>
      </w:tr>
      <w:tr>
        <w:trPr>
          <w:trHeight w:val="255" w:hRule="atLeast"/>
        </w:trPr>
        <w:tc>
          <w:tcPr>
            <w:tcW w:w="252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4"/>
                <w:szCs w:val="14"/>
              </w:rPr>
            </w:pPr>
            <w:r>
              <w:rPr>
                <w:rFonts w:cs="Arial" w:ascii="Arial" w:hAnsi="Arial"/>
                <w:b/>
                <w:bCs/>
                <w:sz w:val="14"/>
                <w:szCs w:val="14"/>
              </w:rPr>
              <w:t>tempo růstu celkových kapitálových výdajů</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4"/>
                <w:szCs w:val="14"/>
              </w:rPr>
            </w:pPr>
            <w:r>
              <w:rPr>
                <w:rFonts w:cs="Arial" w:ascii="Arial" w:hAnsi="Arial"/>
                <w:b/>
                <w:bCs/>
                <w:sz w:val="14"/>
                <w:szCs w:val="14"/>
              </w:rPr>
              <w:t>x</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42,1%</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-9,9%</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9,0%</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-2,2%</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4,0%</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-32,0%</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23,5%</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32,1%</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pPr>
            <w:r>
              <w:rPr>
                <w:rFonts w:cs="Arial" w:ascii="Arial" w:hAnsi="Arial"/>
                <w:b/>
                <w:bCs/>
                <w:sz w:val="14"/>
                <w:szCs w:val="14"/>
              </w:rPr>
              <w:t>-10,5%</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-41,6%</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18,3%</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-31,7%</w:t>
            </w:r>
          </w:p>
        </w:tc>
      </w:tr>
    </w:tbl>
    <w:p>
      <w:pPr>
        <w:pStyle w:val="Stanoviskotext"/>
        <w:spacing w:lineRule="auto" w:line="240" w:before="0" w:after="240"/>
        <w:rPr>
          <w:i/>
          <w:i/>
          <w:sz w:val="16"/>
          <w:szCs w:val="16"/>
        </w:rPr>
      </w:pPr>
      <w:r>
        <w:rPr>
          <w:i/>
          <w:sz w:val="16"/>
          <w:szCs w:val="16"/>
        </w:rPr>
        <w:t>Zdroj: Materiál TSK: Rozbor hospodaření za rok 2009 až 2013</w:t>
      </w:r>
    </w:p>
    <w:p>
      <w:pPr>
        <w:pStyle w:val="Stanoviskotext"/>
        <w:spacing w:lineRule="auto" w:line="240" w:before="240" w:after="0"/>
        <w:rPr>
          <w:i/>
          <w:i/>
          <w:sz w:val="16"/>
          <w:szCs w:val="16"/>
        </w:rPr>
      </w:pPr>
      <w:r>
        <w:rPr>
          <w:i/>
          <w:sz w:val="16"/>
          <w:szCs w:val="16"/>
        </w:rPr>
      </w:r>
    </w:p>
    <w:p>
      <w:pPr>
        <w:pStyle w:val="Stanoviskotext"/>
        <w:spacing w:lineRule="auto" w:line="240" w:before="240" w:after="0"/>
        <w:jc w:val="center"/>
        <w:rPr/>
      </w:pPr>
      <w:r>
        <w:rPr/>
        <w:drawing>
          <wp:inline distT="0" distB="0" distL="0" distR="0">
            <wp:extent cx="4152900" cy="2371725"/>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1"/>
                    <a:stretch>
                      <a:fillRect/>
                    </a:stretch>
                  </pic:blipFill>
                  <pic:spPr bwMode="auto">
                    <a:xfrm>
                      <a:off x="0" y="0"/>
                      <a:ext cx="4152900" cy="2371725"/>
                    </a:xfrm>
                    <a:prstGeom prst="rect">
                      <a:avLst/>
                    </a:prstGeom>
                  </pic:spPr>
                </pic:pic>
              </a:graphicData>
            </a:graphic>
          </wp:inline>
        </w:drawing>
      </w:r>
    </w:p>
    <w:p>
      <w:pPr>
        <w:pStyle w:val="Stanoviskotext"/>
        <w:spacing w:before="0" w:after="0"/>
        <w:jc w:val="center"/>
        <w:rPr>
          <w:i/>
          <w:i/>
          <w:sz w:val="16"/>
          <w:szCs w:val="16"/>
        </w:rPr>
      </w:pPr>
      <w:r>
        <w:rPr>
          <w:i/>
          <w:sz w:val="16"/>
          <w:szCs w:val="16"/>
        </w:rPr>
        <w:t>Graf: Vývoj výdajů rozpočtu</w:t>
      </w:r>
    </w:p>
    <w:p>
      <w:pPr>
        <w:pStyle w:val="Stanoviskotext"/>
        <w:rPr>
          <w:i/>
          <w:i/>
          <w:sz w:val="16"/>
          <w:szCs w:val="16"/>
        </w:rPr>
      </w:pPr>
      <w:r>
        <w:rPr>
          <w:i/>
          <w:sz w:val="16"/>
          <w:szCs w:val="16"/>
        </w:rPr>
      </w:r>
    </w:p>
    <w:p>
      <w:pPr>
        <w:pStyle w:val="Stanoviskotext"/>
        <w:rPr/>
      </w:pPr>
      <w:r>
        <w:rPr/>
        <w:t>Podrobnou strukturu běžných výdajů pak zobrazuje následující tabulka a graf:</w:t>
      </w:r>
    </w:p>
    <w:tbl>
      <w:tblPr>
        <w:tblW w:w="13695" w:type="dxa"/>
        <w:jc w:val="left"/>
        <w:tblInd w:w="6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885"/>
        <w:gridCol w:w="900"/>
        <w:gridCol w:w="900"/>
        <w:gridCol w:w="900"/>
        <w:gridCol w:w="900"/>
        <w:gridCol w:w="900"/>
        <w:gridCol w:w="900"/>
        <w:gridCol w:w="900"/>
        <w:gridCol w:w="900"/>
        <w:gridCol w:w="900"/>
        <w:gridCol w:w="900"/>
        <w:gridCol w:w="900"/>
        <w:gridCol w:w="910"/>
      </w:tblGrid>
      <w:tr>
        <w:trPr>
          <w:trHeight w:val="345" w:hRule="atLeast"/>
        </w:trPr>
        <w:tc>
          <w:tcPr>
            <w:tcW w:w="2885"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rFonts w:ascii="Arial" w:hAnsi="Arial" w:cs="Arial"/>
                <w:b/>
                <w:b/>
                <w:bCs/>
                <w:color w:val="FFFFFF"/>
                <w:sz w:val="14"/>
                <w:szCs w:val="14"/>
              </w:rPr>
            </w:pPr>
            <w:r>
              <w:rPr>
                <w:rFonts w:cs="Arial" w:ascii="Arial" w:hAnsi="Arial"/>
                <w:b/>
                <w:bCs/>
                <w:color w:val="FFFFFF"/>
                <w:sz w:val="14"/>
                <w:szCs w:val="14"/>
              </w:rPr>
              <w:t>běžné výdaje (v tis. Kč)</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2002</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2003</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2004</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2005</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2006</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2007</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2008</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2009</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2010</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2011</w:t>
            </w:r>
          </w:p>
        </w:tc>
        <w:tc>
          <w:tcPr>
            <w:tcW w:w="9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2012</w:t>
            </w:r>
          </w:p>
        </w:tc>
        <w:tc>
          <w:tcPr>
            <w:tcW w:w="9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2013</w:t>
            </w:r>
          </w:p>
        </w:tc>
      </w:tr>
      <w:tr>
        <w:trPr>
          <w:trHeight w:val="270" w:hRule="atLeast"/>
        </w:trPr>
        <w:tc>
          <w:tcPr>
            <w:tcW w:w="288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zimní služba</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270 172,1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277 649,3</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314 433,7</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327 124,8</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353 596,4</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269 382,1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270 530,7</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292 410,1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687 023,7</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649 267,2</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467 405,8</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542 168,7</w:t>
            </w:r>
          </w:p>
        </w:tc>
      </w:tr>
      <w:tr>
        <w:trPr>
          <w:trHeight w:val="255" w:hRule="atLeast"/>
        </w:trPr>
        <w:tc>
          <w:tcPr>
            <w:tcW w:w="288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nákup posyp. materiálu</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91 320,9</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66 142,5</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76 999,9</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36 020,1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32 416,1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34 998,4</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105 520,0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pPr>
            <w:r>
              <w:rPr>
                <w:rFonts w:cs="Arial" w:ascii="Arial" w:hAnsi="Arial"/>
                <w:sz w:val="14"/>
                <w:szCs w:val="14"/>
              </w:rPr>
              <w:t>65 136,1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29 999,6</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64 808,7</w:t>
            </w:r>
          </w:p>
        </w:tc>
      </w:tr>
      <w:tr>
        <w:trPr>
          <w:trHeight w:val="255" w:hRule="atLeast"/>
        </w:trPr>
        <w:tc>
          <w:tcPr>
            <w:tcW w:w="288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 xml:space="preserve">služby telekom. a radiokom. </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366,0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602,2</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770,0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764,3</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174,8</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558,2</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679,3</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559,0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870,0</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531,0</w:t>
            </w:r>
          </w:p>
        </w:tc>
      </w:tr>
      <w:tr>
        <w:trPr>
          <w:trHeight w:val="255" w:hRule="atLeast"/>
        </w:trPr>
        <w:tc>
          <w:tcPr>
            <w:tcW w:w="288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opravy a údržba kom.</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871 206,1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940 544,7</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959 075,3</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1 022 193,1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992 843,2</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1 161 522,9</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1 192 711,9</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1 201 043,5</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1 604 685,0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pPr>
            <w:r>
              <w:rPr>
                <w:rFonts w:cs="Arial" w:ascii="Arial" w:hAnsi="Arial"/>
                <w:sz w:val="14"/>
                <w:szCs w:val="14"/>
              </w:rPr>
              <w:t>1 139 799,4</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943 912,2</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1 033 216,5</w:t>
            </w:r>
          </w:p>
        </w:tc>
      </w:tr>
      <w:tr>
        <w:trPr>
          <w:trHeight w:val="255" w:hRule="atLeast"/>
        </w:trPr>
        <w:tc>
          <w:tcPr>
            <w:tcW w:w="288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nájemné v rámci údržby</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522,2</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713,0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839,7</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850,0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1 192,5</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3 054,4</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5 764,7</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4 307,1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4 511,7</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4 833,4</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3 657,3</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3 882,0</w:t>
            </w:r>
          </w:p>
        </w:tc>
      </w:tr>
      <w:tr>
        <w:trPr>
          <w:trHeight w:val="255" w:hRule="atLeast"/>
        </w:trPr>
        <w:tc>
          <w:tcPr>
            <w:tcW w:w="288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čištění a zeleň</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346 827,8</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325 820,8</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404 340,6</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409 125,9</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422 267,8</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573 951,6</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528 483,3</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675 510,0</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665 997,7</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595 968,1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pPr>
            <w:r>
              <w:rPr>
                <w:rFonts w:cs="Arial" w:ascii="Arial" w:hAnsi="Arial"/>
                <w:sz w:val="14"/>
                <w:szCs w:val="14"/>
              </w:rPr>
              <w:t>566 192,6</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563 739,9</w:t>
            </w:r>
          </w:p>
        </w:tc>
      </w:tr>
      <w:tr>
        <w:trPr>
          <w:trHeight w:val="255" w:hRule="atLeast"/>
        </w:trPr>
        <w:tc>
          <w:tcPr>
            <w:tcW w:w="288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ostatní výdaje</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141 701,6</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154 114,3</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147 163,1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147 854,9</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177 794,9</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174 479,8</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193 955,6</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206 522,1</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246 912,7</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245 850,4</w:t>
            </w:r>
          </w:p>
        </w:tc>
        <w:tc>
          <w:tcPr>
            <w:tcW w:w="9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243 219,8</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238 206,3</w:t>
            </w:r>
          </w:p>
        </w:tc>
      </w:tr>
      <w:tr>
        <w:trPr>
          <w:trHeight w:val="212" w:hRule="atLeast"/>
        </w:trPr>
        <w:tc>
          <w:tcPr>
            <w:tcW w:w="288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i/>
                <w:i/>
                <w:iCs/>
                <w:color w:val="808080"/>
                <w:sz w:val="14"/>
                <w:szCs w:val="14"/>
              </w:rPr>
            </w:pPr>
            <w:r>
              <w:rPr>
                <w:rFonts w:cs="Arial" w:ascii="Arial" w:hAnsi="Arial"/>
                <w:i/>
                <w:iCs/>
                <w:color w:val="808080"/>
                <w:sz w:val="14"/>
                <w:szCs w:val="14"/>
              </w:rPr>
              <w:t xml:space="preserve">z toho správcovská odměna </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50 250,0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52 000,0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61 000,0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61 000,0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83 502,0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83 503,0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94 570,0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105 082,0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pPr>
            <w:r>
              <w:rPr>
                <w:rFonts w:cs="Arial" w:ascii="Arial" w:hAnsi="Arial"/>
                <w:i/>
                <w:iCs/>
                <w:color w:val="808080"/>
                <w:sz w:val="14"/>
                <w:szCs w:val="14"/>
              </w:rPr>
              <w:t>116 967,0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119 654,0</w:t>
            </w:r>
          </w:p>
        </w:tc>
        <w:tc>
          <w:tcPr>
            <w:tcW w:w="9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121 033,7</w:t>
            </w:r>
          </w:p>
        </w:tc>
        <w:tc>
          <w:tcPr>
            <w:tcW w:w="9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i/>
                <w:i/>
                <w:iCs/>
                <w:color w:val="808080"/>
                <w:sz w:val="14"/>
                <w:szCs w:val="14"/>
              </w:rPr>
            </w:pPr>
            <w:r>
              <w:rPr>
                <w:rFonts w:cs="Arial" w:ascii="Arial" w:hAnsi="Arial"/>
                <w:i/>
                <w:iCs/>
                <w:color w:val="808080"/>
                <w:sz w:val="14"/>
                <w:szCs w:val="14"/>
              </w:rPr>
              <w:t>128 610,0</w:t>
            </w:r>
          </w:p>
        </w:tc>
      </w:tr>
      <w:tr>
        <w:trPr>
          <w:trHeight w:val="255" w:hRule="atLeast"/>
        </w:trPr>
        <w:tc>
          <w:tcPr>
            <w:tcW w:w="2885"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4"/>
                <w:szCs w:val="14"/>
              </w:rPr>
            </w:pPr>
            <w:r>
              <w:rPr>
                <w:rFonts w:cs="Arial" w:ascii="Arial" w:hAnsi="Arial"/>
                <w:b/>
                <w:bCs/>
                <w:sz w:val="14"/>
                <w:szCs w:val="14"/>
              </w:rPr>
              <w:t>Běžné výdaje celkem</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1 630 429,8</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1 698 842,1</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1 917 539,3</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1 973 893,4</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2 025 464,7</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2 219 175,2</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2 224 037,1</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2 415 349,4</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3 315 330,1</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2 701 413,6</w:t>
            </w:r>
          </w:p>
        </w:tc>
        <w:tc>
          <w:tcPr>
            <w:tcW w:w="90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2 255 257,3</w:t>
            </w:r>
          </w:p>
        </w:tc>
        <w:tc>
          <w:tcPr>
            <w:tcW w:w="91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2 446 553,1</w:t>
            </w:r>
          </w:p>
        </w:tc>
      </w:tr>
    </w:tbl>
    <w:p>
      <w:pPr>
        <w:pStyle w:val="Stanoviskotext"/>
        <w:spacing w:lineRule="auto" w:line="240" w:before="0" w:after="240"/>
        <w:rPr>
          <w:i/>
          <w:i/>
          <w:sz w:val="16"/>
          <w:szCs w:val="16"/>
        </w:rPr>
      </w:pPr>
      <w:r>
        <w:rPr>
          <w:i/>
          <w:sz w:val="16"/>
          <w:szCs w:val="16"/>
        </w:rPr>
        <w:t>Zdroj: Materiál TSK: Rozbor hospodaření za rok 2009 až 2013</w:t>
      </w:r>
    </w:p>
    <w:p>
      <w:pPr>
        <w:pStyle w:val="Stanoviskotext"/>
        <w:rPr>
          <w:i/>
          <w:i/>
          <w:sz w:val="16"/>
          <w:szCs w:val="16"/>
        </w:rPr>
      </w:pPr>
      <w:r>
        <w:rPr>
          <w:i/>
          <w:sz w:val="16"/>
          <w:szCs w:val="16"/>
        </w:rPr>
      </w:r>
    </w:p>
    <w:p>
      <w:pPr>
        <w:pStyle w:val="Stanoviskotext"/>
        <w:spacing w:lineRule="auto" w:line="240" w:before="240" w:after="0"/>
        <w:jc w:val="center"/>
        <w:rPr/>
      </w:pPr>
      <w:r>
        <w:rPr/>
        <w:drawing>
          <wp:inline distT="0" distB="0" distL="0" distR="0">
            <wp:extent cx="5143500" cy="2543175"/>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2"/>
                    <a:stretch>
                      <a:fillRect/>
                    </a:stretch>
                  </pic:blipFill>
                  <pic:spPr bwMode="auto">
                    <a:xfrm>
                      <a:off x="0" y="0"/>
                      <a:ext cx="5143500" cy="2543175"/>
                    </a:xfrm>
                    <a:prstGeom prst="rect">
                      <a:avLst/>
                    </a:prstGeom>
                  </pic:spPr>
                </pic:pic>
              </a:graphicData>
            </a:graphic>
          </wp:inline>
        </w:drawing>
      </w:r>
    </w:p>
    <w:p>
      <w:pPr>
        <w:sectPr>
          <w:headerReference w:type="default" r:id="rId23"/>
          <w:headerReference w:type="first" r:id="rId24"/>
          <w:footerReference w:type="default" r:id="rId25"/>
          <w:footerReference w:type="first" r:id="rId26"/>
          <w:footnotePr>
            <w:numFmt w:val="decimal"/>
          </w:footnotePr>
          <w:type w:val="nextPage"/>
          <w:pgSz w:orient="landscape" w:w="16838" w:h="11906"/>
          <w:pgMar w:left="1418" w:right="1418" w:header="709" w:top="1418" w:footer="567" w:bottom="1418" w:gutter="0"/>
          <w:pgNumType w:fmt="decimal"/>
          <w:formProt w:val="false"/>
          <w:titlePg/>
          <w:textDirection w:val="lrTb"/>
          <w:docGrid w:type="default" w:linePitch="360" w:charSpace="0"/>
        </w:sectPr>
        <w:pStyle w:val="Stanoviskotext"/>
        <w:spacing w:before="0" w:after="0"/>
        <w:jc w:val="center"/>
        <w:rPr>
          <w:i/>
          <w:i/>
          <w:sz w:val="16"/>
          <w:szCs w:val="16"/>
        </w:rPr>
      </w:pPr>
      <w:r>
        <w:rPr>
          <w:i/>
          <w:sz w:val="16"/>
          <w:szCs w:val="16"/>
        </w:rPr>
        <w:t xml:space="preserve">Graf: struktura běžných výdajů rozpočtu </w:t>
      </w:r>
    </w:p>
    <w:p>
      <w:pPr>
        <w:pStyle w:val="Stanoviskotext"/>
        <w:rPr/>
      </w:pPr>
      <w:r>
        <w:rPr/>
        <w:t>Největší položkou rozpočtu běžných výdajů, s nímž TSK hospodaří, jsou výdaje spojené s opravami a údržbou komunikací, které od roku 2002 až do roku 2010 zaznamenávaly neustálý růst. V letech 2011 a 2012 je zaznamenán pokles těchto výdajů, v roce 2013 pak opět jejich nárůst. Další významnější položky běžných výdajů tvoří čištění a údržba zeleně spolu se zimní údržbou. Čištění a údržba zeleně, stejně jako zimní údržba, také zaznamenává od roku 2010 pokles a v roce 2013 pak mírný růst. Zimní údržba je však závislá na povětrnostních podmínkách v daném roce.</w:t>
      </w:r>
    </w:p>
    <w:p>
      <w:pPr>
        <w:pStyle w:val="Stanoviskotext"/>
        <w:rPr/>
      </w:pPr>
      <w:r>
        <w:rPr/>
        <w:t>Kapitálové výdaje jsou hrazeny především z rozpočtu hl. m. Prahy na investiční akce jako např. Rekonstrukce Nuselského mostu, Záchytná parkoviště P+R apod. Přestože z grafu níže je patrné, že při uvolňování investičních prostředků z rozpočtu hl. m. Prahy dochází ke značným výkyvům, můžeme v těchto výdajích zaznamenat spíše klesající trend. Dalším zdrojem kapitálových výdajů jsou pak dotace ze SFDI a od roku 2009 rovněž dotace jednotlivých městských částí. Zde se jedná o zajištění realizace a financování investičních akcí, jako jsou např. tzv. chodníkový program, rekonstrukce vozovek ve správě MČ, akce pro BESIP, zlepšení infrastruktury MHD apod.</w:t>
      </w:r>
    </w:p>
    <w:p>
      <w:pPr>
        <w:pStyle w:val="Stanoviskotext"/>
        <w:rPr/>
      </w:pPr>
      <w:r>
        <w:rPr/>
        <w:t>Podrobně je struktura zdrojů a jejich výše uvedena v následující tabulce:</w:t>
      </w:r>
    </w:p>
    <w:p>
      <w:pPr>
        <w:sectPr>
          <w:headerReference w:type="default" r:id="rId27"/>
          <w:headerReference w:type="first" r:id="rId28"/>
          <w:footerReference w:type="default" r:id="rId29"/>
          <w:footerReference w:type="first" r:id="rId30"/>
          <w:footnotePr>
            <w:numFmt w:val="decimal"/>
          </w:footnotePr>
          <w:type w:val="nextPage"/>
          <w:pgSz w:w="11906" w:h="16838"/>
          <w:pgMar w:left="1418" w:right="1418" w:header="709" w:top="1418" w:footer="567" w:bottom="1418" w:gutter="0"/>
          <w:pgNumType w:fmt="decimal"/>
          <w:formProt w:val="false"/>
          <w:titlePg/>
          <w:textDirection w:val="lrTb"/>
          <w:docGrid w:type="default" w:linePitch="360" w:charSpace="0"/>
        </w:sectPr>
        <w:pStyle w:val="Stanoviskotext"/>
        <w:rPr>
          <w:highlight w:val="yellow"/>
        </w:rPr>
      </w:pPr>
      <w:r>
        <w:rPr>
          <w:highlight w:val="yellow"/>
        </w:rPr>
      </w:r>
    </w:p>
    <w:tbl>
      <w:tblPr>
        <w:tblW w:w="14152"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3279"/>
        <w:gridCol w:w="881"/>
        <w:gridCol w:w="881"/>
        <w:gridCol w:w="880"/>
        <w:gridCol w:w="880"/>
        <w:gridCol w:w="919"/>
        <w:gridCol w:w="919"/>
        <w:gridCol w:w="919"/>
        <w:gridCol w:w="919"/>
        <w:gridCol w:w="919"/>
        <w:gridCol w:w="919"/>
        <w:gridCol w:w="919"/>
        <w:gridCol w:w="918"/>
      </w:tblGrid>
      <w:tr>
        <w:trPr>
          <w:trHeight w:val="360" w:hRule="atLeast"/>
        </w:trPr>
        <w:tc>
          <w:tcPr>
            <w:tcW w:w="3279"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rFonts w:ascii="Arial" w:hAnsi="Arial" w:cs="Arial"/>
                <w:b/>
                <w:b/>
                <w:bCs/>
                <w:color w:val="FFFFFF"/>
                <w:sz w:val="14"/>
                <w:szCs w:val="14"/>
              </w:rPr>
            </w:pPr>
            <w:r>
              <w:rPr>
                <w:rFonts w:cs="Arial" w:ascii="Arial" w:hAnsi="Arial"/>
                <w:b/>
                <w:bCs/>
                <w:color w:val="FFFFFF"/>
                <w:sz w:val="14"/>
                <w:szCs w:val="14"/>
              </w:rPr>
              <w:t>kapitálové výdaje (v tis. Kč)</w:t>
            </w:r>
          </w:p>
        </w:tc>
        <w:tc>
          <w:tcPr>
            <w:tcW w:w="881"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2002</w:t>
            </w:r>
          </w:p>
        </w:tc>
        <w:tc>
          <w:tcPr>
            <w:tcW w:w="881"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2003</w:t>
            </w:r>
          </w:p>
        </w:tc>
        <w:tc>
          <w:tcPr>
            <w:tcW w:w="88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2004</w:t>
            </w:r>
          </w:p>
        </w:tc>
        <w:tc>
          <w:tcPr>
            <w:tcW w:w="88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2005</w:t>
            </w:r>
          </w:p>
        </w:tc>
        <w:tc>
          <w:tcPr>
            <w:tcW w:w="919"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2006</w:t>
            </w:r>
          </w:p>
        </w:tc>
        <w:tc>
          <w:tcPr>
            <w:tcW w:w="919"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2007</w:t>
            </w:r>
          </w:p>
        </w:tc>
        <w:tc>
          <w:tcPr>
            <w:tcW w:w="919"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2008</w:t>
            </w:r>
          </w:p>
        </w:tc>
        <w:tc>
          <w:tcPr>
            <w:tcW w:w="919"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2009</w:t>
            </w:r>
          </w:p>
        </w:tc>
        <w:tc>
          <w:tcPr>
            <w:tcW w:w="919"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2010</w:t>
            </w:r>
          </w:p>
        </w:tc>
        <w:tc>
          <w:tcPr>
            <w:tcW w:w="919"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2011</w:t>
            </w:r>
          </w:p>
        </w:tc>
        <w:tc>
          <w:tcPr>
            <w:tcW w:w="919"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2012</w:t>
            </w:r>
          </w:p>
        </w:tc>
        <w:tc>
          <w:tcPr>
            <w:tcW w:w="9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right"/>
              <w:rPr>
                <w:rFonts w:ascii="Arial" w:hAnsi="Arial" w:cs="Arial"/>
                <w:b/>
                <w:b/>
                <w:bCs/>
                <w:color w:val="FFFFFF"/>
                <w:sz w:val="14"/>
                <w:szCs w:val="14"/>
              </w:rPr>
            </w:pPr>
            <w:r>
              <w:rPr>
                <w:rFonts w:cs="Arial" w:ascii="Arial" w:hAnsi="Arial"/>
                <w:b/>
                <w:bCs/>
                <w:color w:val="FFFFFF"/>
                <w:sz w:val="14"/>
                <w:szCs w:val="14"/>
              </w:rPr>
              <w:t>2013</w:t>
            </w:r>
          </w:p>
        </w:tc>
      </w:tr>
      <w:tr>
        <w:trPr>
          <w:trHeight w:val="255" w:hRule="atLeast"/>
        </w:trPr>
        <w:tc>
          <w:tcPr>
            <w:tcW w:w="3279"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hl.m. Praha</w:t>
            </w:r>
          </w:p>
        </w:tc>
        <w:tc>
          <w:tcPr>
            <w:tcW w:w="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721 041,4</w:t>
            </w:r>
          </w:p>
        </w:tc>
        <w:tc>
          <w:tcPr>
            <w:tcW w:w="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1 204 439,7</w:t>
            </w:r>
          </w:p>
        </w:tc>
        <w:tc>
          <w:tcPr>
            <w:tcW w:w="8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957 376,6</w:t>
            </w:r>
          </w:p>
        </w:tc>
        <w:tc>
          <w:tcPr>
            <w:tcW w:w="8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861 819,7</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917 030,9</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1 038 849,6</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465 659,1</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789 759,8</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pPr>
            <w:r>
              <w:rPr>
                <w:rFonts w:cs="Arial" w:ascii="Arial" w:hAnsi="Arial"/>
                <w:sz w:val="14"/>
                <w:szCs w:val="14"/>
              </w:rPr>
              <w:t>907 085,7</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752 243,3</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712 003,3</w:t>
            </w:r>
          </w:p>
        </w:tc>
        <w:tc>
          <w:tcPr>
            <w:tcW w:w="91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797 282,9</w:t>
            </w:r>
          </w:p>
        </w:tc>
      </w:tr>
      <w:tr>
        <w:trPr>
          <w:trHeight w:val="255" w:hRule="atLeast"/>
        </w:trPr>
        <w:tc>
          <w:tcPr>
            <w:tcW w:w="3279"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SFDI</w:t>
            </w:r>
          </w:p>
        </w:tc>
        <w:tc>
          <w:tcPr>
            <w:tcW w:w="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283 999,3</w:t>
            </w:r>
          </w:p>
        </w:tc>
        <w:tc>
          <w:tcPr>
            <w:tcW w:w="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223 657,8</w:t>
            </w:r>
          </w:p>
        </w:tc>
        <w:tc>
          <w:tcPr>
            <w:tcW w:w="8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299 208,3</w:t>
            </w:r>
          </w:p>
        </w:tc>
        <w:tc>
          <w:tcPr>
            <w:tcW w:w="8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540 125,8</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453 425,2</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352 799,2</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447 836,7</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329 578,6</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603 688,9</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599 038,8</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30 448,0</w:t>
            </w:r>
          </w:p>
        </w:tc>
        <w:tc>
          <w:tcPr>
            <w:tcW w:w="91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91 275,0</w:t>
            </w:r>
          </w:p>
        </w:tc>
      </w:tr>
      <w:tr>
        <w:trPr>
          <w:trHeight w:val="255" w:hRule="atLeast"/>
        </w:trPr>
        <w:tc>
          <w:tcPr>
            <w:tcW w:w="3279"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MČ</w:t>
            </w:r>
          </w:p>
        </w:tc>
        <w:tc>
          <w:tcPr>
            <w:tcW w:w="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8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8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34 011,5</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55 534,1</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77 817,1</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70 469,6</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63 613,5</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84 068,7</w:t>
            </w:r>
          </w:p>
        </w:tc>
        <w:tc>
          <w:tcPr>
            <w:tcW w:w="91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89 114,0</w:t>
            </w:r>
          </w:p>
        </w:tc>
      </w:tr>
      <w:tr>
        <w:trPr>
          <w:trHeight w:val="255" w:hRule="atLeast"/>
        </w:trPr>
        <w:tc>
          <w:tcPr>
            <w:tcW w:w="3279"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 xml:space="preserve">MF ČR </w:t>
            </w:r>
          </w:p>
        </w:tc>
        <w:tc>
          <w:tcPr>
            <w:tcW w:w="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88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4"/>
                <w:szCs w:val="14"/>
              </w:rPr>
            </w:pPr>
            <w:r>
              <w:rPr>
                <w:rFonts w:cs="Arial" w:ascii="Arial" w:hAnsi="Arial"/>
                <w:sz w:val="14"/>
                <w:szCs w:val="14"/>
              </w:rPr>
              <w:t> </w:t>
            </w:r>
          </w:p>
        </w:tc>
        <w:tc>
          <w:tcPr>
            <w:tcW w:w="8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29 999,6</w:t>
            </w:r>
          </w:p>
        </w:tc>
        <w:tc>
          <w:tcPr>
            <w:tcW w:w="88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9"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c>
          <w:tcPr>
            <w:tcW w:w="91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4"/>
                <w:szCs w:val="14"/>
              </w:rPr>
            </w:pPr>
            <w:r>
              <w:rPr>
                <w:rFonts w:cs="Arial" w:ascii="Arial" w:hAnsi="Arial"/>
                <w:sz w:val="14"/>
                <w:szCs w:val="14"/>
              </w:rPr>
              <w:t>0,0</w:t>
            </w:r>
          </w:p>
        </w:tc>
      </w:tr>
      <w:tr>
        <w:trPr>
          <w:trHeight w:val="255" w:hRule="atLeast"/>
        </w:trPr>
        <w:tc>
          <w:tcPr>
            <w:tcW w:w="327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4"/>
                <w:szCs w:val="14"/>
              </w:rPr>
            </w:pPr>
            <w:r>
              <w:rPr>
                <w:rFonts w:cs="Arial" w:ascii="Arial" w:hAnsi="Arial"/>
                <w:b/>
                <w:bCs/>
                <w:sz w:val="14"/>
                <w:szCs w:val="14"/>
              </w:rPr>
              <w:t>Kapitálové výdaje celkem</w:t>
            </w:r>
          </w:p>
        </w:tc>
        <w:tc>
          <w:tcPr>
            <w:tcW w:w="881"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1 005 040,7</w:t>
            </w:r>
          </w:p>
        </w:tc>
        <w:tc>
          <w:tcPr>
            <w:tcW w:w="881"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1 428 097,5</w:t>
            </w:r>
          </w:p>
        </w:tc>
        <w:tc>
          <w:tcPr>
            <w:tcW w:w="8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1 286 584,5</w:t>
            </w:r>
          </w:p>
        </w:tc>
        <w:tc>
          <w:tcPr>
            <w:tcW w:w="8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1 401 945,5</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1 370 456,1</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1 425 660,3</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969 029,9</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1 197 155,5</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1 581 244,2</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1 414 895,6</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826 520,0</w:t>
            </w:r>
          </w:p>
        </w:tc>
        <w:tc>
          <w:tcPr>
            <w:tcW w:w="918"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977 671,9</w:t>
            </w:r>
          </w:p>
        </w:tc>
      </w:tr>
      <w:tr>
        <w:trPr>
          <w:trHeight w:val="255" w:hRule="atLeast"/>
        </w:trPr>
        <w:tc>
          <w:tcPr>
            <w:tcW w:w="327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4"/>
                <w:szCs w:val="14"/>
              </w:rPr>
            </w:pPr>
            <w:r>
              <w:rPr>
                <w:rFonts w:cs="Arial" w:ascii="Arial" w:hAnsi="Arial"/>
                <w:b/>
                <w:bCs/>
                <w:sz w:val="14"/>
                <w:szCs w:val="14"/>
              </w:rPr>
              <w:t>tempo růstu celkových kapitálových výdajů</w:t>
            </w:r>
          </w:p>
        </w:tc>
        <w:tc>
          <w:tcPr>
            <w:tcW w:w="881"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4"/>
                <w:szCs w:val="14"/>
              </w:rPr>
            </w:pPr>
            <w:r>
              <w:rPr>
                <w:rFonts w:cs="Arial" w:ascii="Arial" w:hAnsi="Arial"/>
                <w:b/>
                <w:bCs/>
                <w:sz w:val="14"/>
                <w:szCs w:val="14"/>
              </w:rPr>
              <w:t>x</w:t>
            </w:r>
          </w:p>
        </w:tc>
        <w:tc>
          <w:tcPr>
            <w:tcW w:w="881"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42,1%</w:t>
            </w:r>
          </w:p>
        </w:tc>
        <w:tc>
          <w:tcPr>
            <w:tcW w:w="8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-9,9%</w:t>
            </w:r>
          </w:p>
        </w:tc>
        <w:tc>
          <w:tcPr>
            <w:tcW w:w="880"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9,0%</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-2,2%</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4,0%</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-32,0%</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23,5%</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32,1%</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-10,5%</w:t>
            </w:r>
          </w:p>
        </w:tc>
        <w:tc>
          <w:tcPr>
            <w:tcW w:w="919" w:type="dxa"/>
            <w:tcBorders>
              <w:left w:val="single" w:sz="4" w:space="0" w:color="000000"/>
              <w:bottom w:val="single" w:sz="4" w:space="0" w:color="000000"/>
              <w:insideH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-41,6%</w:t>
            </w:r>
          </w:p>
        </w:tc>
        <w:tc>
          <w:tcPr>
            <w:tcW w:w="918"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4"/>
                <w:szCs w:val="14"/>
              </w:rPr>
            </w:pPr>
            <w:r>
              <w:rPr>
                <w:rFonts w:cs="Arial" w:ascii="Arial" w:hAnsi="Arial"/>
                <w:b/>
                <w:bCs/>
                <w:sz w:val="14"/>
                <w:szCs w:val="14"/>
              </w:rPr>
              <w:t>18,3%</w:t>
            </w:r>
          </w:p>
        </w:tc>
      </w:tr>
    </w:tbl>
    <w:p>
      <w:pPr>
        <w:pStyle w:val="Stanoviskotext"/>
        <w:spacing w:lineRule="auto" w:line="240" w:before="0" w:after="240"/>
        <w:rPr>
          <w:i/>
          <w:i/>
          <w:sz w:val="16"/>
          <w:szCs w:val="16"/>
        </w:rPr>
      </w:pPr>
      <w:r>
        <w:rPr>
          <w:i/>
          <w:sz w:val="16"/>
          <w:szCs w:val="16"/>
        </w:rPr>
        <w:t>Zdroj: Materiál TSK: Rozbor hospodaření za rok 2009 až 2013</w:t>
      </w:r>
    </w:p>
    <w:p>
      <w:pPr>
        <w:pStyle w:val="Stanoviskotext"/>
        <w:rPr>
          <w:i/>
          <w:i/>
          <w:sz w:val="16"/>
          <w:szCs w:val="16"/>
        </w:rPr>
      </w:pPr>
      <w:r>
        <w:rPr>
          <w:i/>
          <w:sz w:val="16"/>
          <w:szCs w:val="16"/>
        </w:rPr>
      </w:r>
    </w:p>
    <w:p>
      <w:pPr>
        <w:pStyle w:val="Stanoviskotext"/>
        <w:spacing w:lineRule="auto" w:line="240" w:before="240" w:after="0"/>
        <w:jc w:val="left"/>
        <w:rPr/>
      </w:pPr>
      <w:r>
        <w:rPr/>
        <w:drawing>
          <wp:inline distT="0" distB="0" distL="0" distR="0">
            <wp:extent cx="4455160" cy="2623820"/>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31"/>
                    <a:stretch>
                      <a:fillRect/>
                    </a:stretch>
                  </pic:blipFill>
                  <pic:spPr bwMode="auto">
                    <a:xfrm>
                      <a:off x="0" y="0"/>
                      <a:ext cx="4455160" cy="2623820"/>
                    </a:xfrm>
                    <a:prstGeom prst="rect">
                      <a:avLst/>
                    </a:prstGeom>
                  </pic:spPr>
                </pic:pic>
              </a:graphicData>
            </a:graphic>
          </wp:inline>
        </w:drawing>
      </w:r>
      <w:r>
        <w:rPr>
          <w:rFonts w:eastAsia="Verdana"/>
        </w:rPr>
        <w:t xml:space="preserve"> </w:t>
      </w:r>
      <w:r>
        <w:rPr/>
        <w:drawing>
          <wp:inline distT="0" distB="0" distL="0" distR="0">
            <wp:extent cx="4302125" cy="2604770"/>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32"/>
                    <a:stretch>
                      <a:fillRect/>
                    </a:stretch>
                  </pic:blipFill>
                  <pic:spPr bwMode="auto">
                    <a:xfrm>
                      <a:off x="0" y="0"/>
                      <a:ext cx="4302125" cy="2604770"/>
                    </a:xfrm>
                    <a:prstGeom prst="rect">
                      <a:avLst/>
                    </a:prstGeom>
                  </pic:spPr>
                </pic:pic>
              </a:graphicData>
            </a:graphic>
          </wp:inline>
        </w:drawing>
      </w:r>
    </w:p>
    <w:p>
      <w:pPr>
        <w:pStyle w:val="Stanoviskotext"/>
        <w:tabs>
          <w:tab w:val="center" w:pos="10440" w:leader="none"/>
        </w:tabs>
        <w:spacing w:lineRule="auto" w:line="240" w:before="0" w:after="240"/>
        <w:ind w:firstLine="1980"/>
        <w:rPr/>
      </w:pPr>
      <w:r>
        <w:rPr>
          <w:i/>
          <w:sz w:val="16"/>
          <w:szCs w:val="16"/>
        </w:rPr>
        <w:t>Graf: Struktura kapitálových výdajů</w:t>
        <w:tab/>
        <w:t xml:space="preserve">Graf: Vývoj kapitálových výdajů </w:t>
      </w:r>
    </w:p>
    <w:p>
      <w:pPr>
        <w:pStyle w:val="Stanoviskotext"/>
        <w:rPr>
          <w:i/>
          <w:i/>
          <w:sz w:val="16"/>
          <w:szCs w:val="16"/>
        </w:rPr>
      </w:pPr>
      <w:r>
        <w:rPr>
          <w:i/>
          <w:sz w:val="16"/>
          <w:szCs w:val="16"/>
        </w:rPr>
      </w:r>
    </w:p>
    <w:p>
      <w:pPr>
        <w:sectPr>
          <w:headerReference w:type="default" r:id="rId33"/>
          <w:headerReference w:type="first" r:id="rId34"/>
          <w:footerReference w:type="default" r:id="rId35"/>
          <w:footerReference w:type="first" r:id="rId36"/>
          <w:footnotePr>
            <w:numFmt w:val="decimal"/>
          </w:footnotePr>
          <w:type w:val="nextPage"/>
          <w:pgSz w:orient="landscape" w:w="16838" w:h="11906"/>
          <w:pgMar w:left="1418" w:right="1418" w:header="709" w:top="1418" w:footer="567" w:bottom="1418" w:gutter="0"/>
          <w:pgNumType w:fmt="decimal"/>
          <w:formProt w:val="false"/>
          <w:titlePg/>
          <w:textDirection w:val="lrTb"/>
          <w:docGrid w:type="default" w:linePitch="360" w:charSpace="0"/>
        </w:sectPr>
      </w:pPr>
    </w:p>
    <w:p>
      <w:pPr>
        <w:pStyle w:val="Stanoviskotext"/>
        <w:numPr>
          <w:ilvl w:val="0"/>
          <w:numId w:val="0"/>
        </w:numPr>
        <w:rPr/>
      </w:pPr>
      <w:r>
        <w:rPr/>
      </w:r>
    </w:p>
    <w:p>
      <w:pPr>
        <w:pStyle w:val="Stanovisko2"/>
        <w:numPr>
          <w:ilvl w:val="1"/>
          <w:numId w:val="2"/>
        </w:numPr>
        <w:tabs>
          <w:tab w:val="left" w:pos="1080" w:leader="none"/>
        </w:tabs>
        <w:ind w:left="1080" w:hanging="1080"/>
        <w:rPr/>
      </w:pPr>
      <w:bookmarkStart w:id="6" w:name="__RefHeading___Toc382588291"/>
      <w:bookmarkEnd w:id="6"/>
      <w:r>
        <w:rPr/>
        <w:t>Stávající organizační struktura TSK</w:t>
      </w:r>
    </w:p>
    <w:p>
      <w:pPr>
        <w:pStyle w:val="Stanoviskotext"/>
        <w:rPr/>
      </w:pPr>
      <w:r>
        <mc:AlternateContent>
          <mc:Choice Requires="wpg">
            <w:drawing>
              <wp:anchor behindDoc="0" distT="0" distB="0" distL="114935" distR="114935" simplePos="0" locked="0" layoutInCell="1" allowOverlap="1" relativeHeight="42">
                <wp:simplePos x="0" y="0"/>
                <wp:positionH relativeFrom="column">
                  <wp:posOffset>342900</wp:posOffset>
                </wp:positionH>
                <wp:positionV relativeFrom="paragraph">
                  <wp:posOffset>1905000</wp:posOffset>
                </wp:positionV>
                <wp:extent cx="4800600" cy="2400935"/>
                <wp:effectExtent l="0" t="0" r="0" b="0"/>
                <wp:wrapSquare wrapText="bothSides"/>
                <wp:docPr id="25" name=""/>
                <a:graphic xmlns:a="http://schemas.openxmlformats.org/drawingml/2006/main">
                  <a:graphicData uri="http://schemas.microsoft.com/office/word/2010/wordprocessingGroup">
                    <wpg:wgp>
                      <wpg:cNvGrpSpPr/>
                      <wpg:grpSpPr>
                        <a:xfrm>
                          <a:off x="0" y="0"/>
                          <a:ext cx="4799880" cy="2400480"/>
                        </a:xfrm>
                      </wpg:grpSpPr>
                      <wps:wsp>
                        <wps:cNvSpPr/>
                        <wps:nvSpPr>
                          <wps:cNvPr id="6" name="Rectangle 1"/>
                          <wps:cNvSpPr/>
                        </wps:nvSpPr>
                        <wps:spPr>
                          <a:xfrm>
                            <a:off x="0" y="0"/>
                            <a:ext cx="4799880" cy="2400480"/>
                          </a:xfrm>
                          <a:prstGeom prst="rect">
                            <a:avLst/>
                          </a:prstGeom>
                          <a:noFill/>
                          <a:ln>
                            <a:noFill/>
                          </a:ln>
                        </wps:spPr>
                        <wps:bodyPr/>
                      </wps:wsp>
                      <wps:cxnSp>
                        <wps:nvCxnSpPr>
                          <wps:cNvPr id="7" name="Line 2"/>
                          <wps:cNvCxnSpPr/>
                          <wps:nvPr/>
                        </wps:nvCxnSpPr>
                        <wps:spPr>
                          <a:xfrm flipV="1">
                            <a:off x="2406600" y="2282760"/>
                            <a:ext cx="335520" cy="1850760"/>
                          </a:xfrm>
                          <a:prstGeom prst="bentConnector3">
                            <a:avLst/>
                          </a:prstGeom>
                          <a:ln w="28440">
                            <a:solidFill>
                              <a:srgbClr val="4b595b"/>
                            </a:solidFill>
                            <a:miter/>
                          </a:ln>
                        </wps:spPr>
                        <wps:bodyPr/>
                      </wps:cxnSp>
                      <wps:cxnSp>
                        <wps:nvCxnSpPr>
                          <wps:cNvPr id="8" name="Line 3"/>
                          <wps:cNvCxnSpPr/>
                          <wps:nvPr/>
                        </wps:nvCxnSpPr>
                        <wps:spPr>
                          <a:xfrm flipH="1" flipV="1">
                            <a:off x="2741400" y="2282760"/>
                            <a:ext cx="335520" cy="1336320"/>
                          </a:xfrm>
                          <a:prstGeom prst="bentConnector3">
                            <a:avLst/>
                          </a:prstGeom>
                          <a:ln w="28440">
                            <a:solidFill>
                              <a:srgbClr val="4b595b"/>
                            </a:solidFill>
                            <a:miter/>
                          </a:ln>
                        </wps:spPr>
                        <wps:bodyPr/>
                      </wps:cxnSp>
                      <wps:cxnSp>
                        <wps:nvCxnSpPr>
                          <wps:cNvPr id="9" name="Line 4"/>
                          <wps:cNvCxnSpPr/>
                          <wps:nvPr/>
                        </wps:nvCxnSpPr>
                        <wps:spPr>
                          <a:xfrm flipV="1">
                            <a:off x="2406600" y="2282760"/>
                            <a:ext cx="335520" cy="1336320"/>
                          </a:xfrm>
                          <a:prstGeom prst="bentConnector3">
                            <a:avLst/>
                          </a:prstGeom>
                          <a:ln w="28440">
                            <a:solidFill>
                              <a:srgbClr val="4b595b"/>
                            </a:solidFill>
                            <a:miter/>
                          </a:ln>
                        </wps:spPr>
                        <wps:bodyPr/>
                      </wps:cxnSp>
                      <wps:cxnSp>
                        <wps:nvCxnSpPr>
                          <wps:cNvPr id="10" name="Line 5"/>
                          <wps:cNvCxnSpPr/>
                          <wps:nvPr/>
                        </wps:nvCxnSpPr>
                        <wps:spPr>
                          <a:xfrm flipH="1" flipV="1">
                            <a:off x="2741400" y="2282760"/>
                            <a:ext cx="335520" cy="822240"/>
                          </a:xfrm>
                          <a:prstGeom prst="bentConnector3">
                            <a:avLst/>
                          </a:prstGeom>
                          <a:ln w="28440">
                            <a:solidFill>
                              <a:srgbClr val="4b595b"/>
                            </a:solidFill>
                            <a:miter/>
                          </a:ln>
                        </wps:spPr>
                        <wps:bodyPr/>
                      </wps:cxnSp>
                      <wps:cxnSp>
                        <wps:nvCxnSpPr>
                          <wps:cNvPr id="11" name="Line 6"/>
                          <wps:cNvCxnSpPr/>
                          <wps:nvPr/>
                        </wps:nvCxnSpPr>
                        <wps:spPr>
                          <a:xfrm flipV="1">
                            <a:off x="2406600" y="2282760"/>
                            <a:ext cx="335520" cy="822240"/>
                          </a:xfrm>
                          <a:prstGeom prst="bentConnector3">
                            <a:avLst/>
                          </a:prstGeom>
                          <a:ln w="28440">
                            <a:solidFill>
                              <a:srgbClr val="4b595b"/>
                            </a:solidFill>
                            <a:miter/>
                          </a:ln>
                        </wps:spPr>
                        <wps:bodyPr/>
                      </wps:cxnSp>
                      <wps:cxnSp>
                        <wps:nvCxnSpPr>
                          <wps:cNvPr id="12" name="Line 7"/>
                          <wps:cNvCxnSpPr/>
                          <wps:nvPr/>
                        </wps:nvCxnSpPr>
                        <wps:spPr>
                          <a:xfrm flipH="1" flipV="1">
                            <a:off x="2741400" y="2282760"/>
                            <a:ext cx="335520" cy="307800"/>
                          </a:xfrm>
                          <a:prstGeom prst="bentConnector3">
                            <a:avLst/>
                          </a:prstGeom>
                          <a:ln w="28440">
                            <a:solidFill>
                              <a:srgbClr val="4b595b"/>
                            </a:solidFill>
                            <a:miter/>
                          </a:ln>
                        </wps:spPr>
                        <wps:bodyPr/>
                      </wps:cxnSp>
                      <wps:cxnSp>
                        <wps:nvCxnSpPr>
                          <wps:cNvPr id="13" name="Line 8"/>
                          <wps:cNvCxnSpPr/>
                          <wps:nvPr/>
                        </wps:nvCxnSpPr>
                        <wps:spPr>
                          <a:xfrm flipV="1">
                            <a:off x="2406600" y="2282760"/>
                            <a:ext cx="335520" cy="307800"/>
                          </a:xfrm>
                          <a:prstGeom prst="bentConnector3">
                            <a:avLst/>
                          </a:prstGeom>
                          <a:ln w="28440">
                            <a:solidFill>
                              <a:srgbClr val="4b595b"/>
                            </a:solidFill>
                            <a:miter/>
                          </a:ln>
                        </wps:spPr>
                        <wps:bodyPr/>
                      </wps:cxnSp>
                      <wps:wsp>
                        <wps:cNvSpPr/>
                        <wps:spPr>
                          <a:xfrm>
                            <a:off x="1370880" y="0"/>
                            <a:ext cx="2056680" cy="343080"/>
                          </a:xfrm>
                          <a:custGeom>
                            <a:avLst/>
                            <a:gdLst/>
                            <a:ahLst/>
                            <a:rect l="0" t="0" r="r" b="b"/>
                            <a:pathLst>
                              <a:path w="3241" h="542">
                                <a:moveTo>
                                  <a:pt x="90" y="0"/>
                                </a:moveTo>
                                <a:cubicBezTo>
                                  <a:pt x="45" y="0"/>
                                  <a:pt x="0" y="45"/>
                                  <a:pt x="0" y="90"/>
                                </a:cubicBezTo>
                                <a:lnTo>
                                  <a:pt x="0" y="450"/>
                                </a:lnTo>
                                <a:cubicBezTo>
                                  <a:pt x="0" y="495"/>
                                  <a:pt x="45" y="541"/>
                                  <a:pt x="90" y="541"/>
                                </a:cubicBezTo>
                                <a:lnTo>
                                  <a:pt x="3149" y="541"/>
                                </a:lnTo>
                                <a:cubicBezTo>
                                  <a:pt x="3194" y="541"/>
                                  <a:pt x="3240" y="495"/>
                                  <a:pt x="3240" y="450"/>
                                </a:cubicBezTo>
                                <a:lnTo>
                                  <a:pt x="3240" y="90"/>
                                </a:lnTo>
                                <a:cubicBezTo>
                                  <a:pt x="3240" y="45"/>
                                  <a:pt x="3194" y="0"/>
                                  <a:pt x="3149" y="0"/>
                                </a:cubicBezTo>
                                <a:lnTo>
                                  <a:pt x="90" y="0"/>
                                </a:lnTo>
                              </a:path>
                            </a:pathLst>
                          </a:custGeom>
                          <a:solidFill>
                            <a:srgbClr val="d7edef"/>
                          </a:solidFill>
                          <a:ln w="38160">
                            <a:solidFill>
                              <a:srgbClr val="4b595b"/>
                            </a:solidFill>
                            <a:miter/>
                          </a:ln>
                          <a:effectLst>
                            <a:outerShdw dist="53966" dir="2700000">
                              <a:srgbClr val="808080">
                                <a:alpha val="50000"/>
                              </a:srgbClr>
                            </a:outerShdw>
                          </a:effectLst>
                        </wps:spPr>
                        <wps:style>
                          <a:lnRef idx="0"/>
                          <a:fillRef idx="0"/>
                          <a:effectRef idx="0"/>
                          <a:fontRef idx="minor"/>
                        </wps:style>
                        <wps:txbx>
                          <w:txbxContent>
                            <w:p>
                              <w:pPr>
                                <w:overflowPunct w:val="false"/>
                                <w:bidi w:val="0"/>
                                <w:jc w:val="center"/>
                                <w:rPr/>
                              </w:pPr>
                              <w:r>
                                <w:rPr>
                                  <w:sz w:val="16"/>
                                  <w:szCs w:val="28"/>
                                  <w:rFonts w:ascii="Verdana" w:hAnsi="Verdana" w:eastAsia="Times New Roman" w:cs="Verdana"/>
                                  <w:color w:val="auto"/>
                                  <w:lang w:val="cs-CZ" w:bidi="ar-SA"/>
                                </w:rPr>
                                <w:t>Ředitel</w:t>
                              </w:r>
                            </w:p>
                          </w:txbxContent>
                        </wps:txbx>
                        <wps:bodyPr lIns="0" rIns="0" tIns="0" bIns="0" anchor="ctr">
                          <a:noAutofit/>
                        </wps:bodyPr>
                      </wps:wsp>
                      <wps:wsp>
                        <wps:cNvSpPr/>
                        <wps:spPr>
                          <a:xfrm>
                            <a:off x="0" y="514440"/>
                            <a:ext cx="2056680" cy="343080"/>
                          </a:xfrm>
                          <a:custGeom>
                            <a:avLst/>
                            <a:gdLst/>
                            <a:ahLst/>
                            <a:rect l="0" t="0" r="r" b="b"/>
                            <a:pathLst>
                              <a:path w="3241" h="542">
                                <a:moveTo>
                                  <a:pt x="90" y="0"/>
                                </a:moveTo>
                                <a:cubicBezTo>
                                  <a:pt x="45" y="0"/>
                                  <a:pt x="0" y="45"/>
                                  <a:pt x="0" y="90"/>
                                </a:cubicBezTo>
                                <a:lnTo>
                                  <a:pt x="0" y="450"/>
                                </a:lnTo>
                                <a:cubicBezTo>
                                  <a:pt x="0" y="495"/>
                                  <a:pt x="45" y="541"/>
                                  <a:pt x="90" y="541"/>
                                </a:cubicBezTo>
                                <a:lnTo>
                                  <a:pt x="3149" y="541"/>
                                </a:lnTo>
                                <a:cubicBezTo>
                                  <a:pt x="3194" y="541"/>
                                  <a:pt x="3240" y="495"/>
                                  <a:pt x="3240" y="450"/>
                                </a:cubicBezTo>
                                <a:lnTo>
                                  <a:pt x="3240" y="90"/>
                                </a:lnTo>
                                <a:cubicBezTo>
                                  <a:pt x="3240" y="45"/>
                                  <a:pt x="3194" y="0"/>
                                  <a:pt x="3149" y="0"/>
                                </a:cubicBezTo>
                                <a:lnTo>
                                  <a:pt x="90" y="0"/>
                                </a:lnTo>
                              </a:path>
                            </a:pathLst>
                          </a:custGeom>
                          <a:solidFill>
                            <a:srgbClr val="bbe0e3"/>
                          </a:solidFill>
                          <a:ln w="28440">
                            <a:solidFill>
                              <a:srgbClr val="4b595b"/>
                            </a:solidFill>
                            <a:miter/>
                          </a:ln>
                          <a:effectLst>
                            <a:outerShdw dist="53966" dir="2700000">
                              <a:srgbClr val="808080">
                                <a:alpha val="50000"/>
                              </a:srgbClr>
                            </a:outerShdw>
                          </a:effectLst>
                        </wps:spPr>
                        <wps:style>
                          <a:lnRef idx="0"/>
                          <a:fillRef idx="0"/>
                          <a:effectRef idx="0"/>
                          <a:fontRef idx="minor"/>
                        </wps:style>
                        <wps:txbx>
                          <w:txbxContent>
                            <w:p>
                              <w:pPr>
                                <w:overflowPunct w:val="false"/>
                                <w:bidi w:val="0"/>
                                <w:jc w:val="center"/>
                                <w:rPr/>
                              </w:pPr>
                              <w:r>
                                <w:rPr>
                                  <w:sz w:val="16"/>
                                  <w:szCs w:val="24"/>
                                  <w:bCs/>
                                  <w:rFonts w:ascii="Verdana" w:hAnsi="Verdana" w:eastAsia="Times New Roman" w:cs="Verdana"/>
                                  <w:color w:val="auto"/>
                                  <w:lang w:val="cs-CZ" w:bidi="ar-SA"/>
                                </w:rPr>
                                <w:t>Správní úsek</w:t>
                              </w:r>
                            </w:p>
                          </w:txbxContent>
                        </wps:txbx>
                        <wps:bodyPr lIns="0" rIns="0" tIns="0" bIns="0" anchor="ctr">
                          <a:noAutofit/>
                        </wps:bodyPr>
                      </wps:wsp>
                      <wps:wsp>
                        <wps:cNvSpPr/>
                        <wps:spPr>
                          <a:xfrm>
                            <a:off x="2742480" y="514440"/>
                            <a:ext cx="2056680" cy="343080"/>
                          </a:xfrm>
                          <a:custGeom>
                            <a:avLst/>
                            <a:gdLst/>
                            <a:ahLst/>
                            <a:rect l="0" t="0" r="r" b="b"/>
                            <a:pathLst>
                              <a:path w="3241" h="542">
                                <a:moveTo>
                                  <a:pt x="90" y="0"/>
                                </a:moveTo>
                                <a:cubicBezTo>
                                  <a:pt x="45" y="0"/>
                                  <a:pt x="0" y="45"/>
                                  <a:pt x="0" y="90"/>
                                </a:cubicBezTo>
                                <a:lnTo>
                                  <a:pt x="0" y="450"/>
                                </a:lnTo>
                                <a:cubicBezTo>
                                  <a:pt x="0" y="495"/>
                                  <a:pt x="45" y="541"/>
                                  <a:pt x="90" y="541"/>
                                </a:cubicBezTo>
                                <a:lnTo>
                                  <a:pt x="3149" y="541"/>
                                </a:lnTo>
                                <a:cubicBezTo>
                                  <a:pt x="3194" y="541"/>
                                  <a:pt x="3240" y="495"/>
                                  <a:pt x="3240" y="450"/>
                                </a:cubicBezTo>
                                <a:lnTo>
                                  <a:pt x="3240" y="90"/>
                                </a:lnTo>
                                <a:cubicBezTo>
                                  <a:pt x="3240" y="45"/>
                                  <a:pt x="3194" y="0"/>
                                  <a:pt x="3149" y="0"/>
                                </a:cubicBezTo>
                                <a:lnTo>
                                  <a:pt x="90" y="0"/>
                                </a:lnTo>
                              </a:path>
                            </a:pathLst>
                          </a:custGeom>
                          <a:solidFill>
                            <a:srgbClr val="bbe0e3"/>
                          </a:solidFill>
                          <a:ln w="28440">
                            <a:solidFill>
                              <a:srgbClr val="4b595b"/>
                            </a:solidFill>
                            <a:miter/>
                          </a:ln>
                          <a:effectLst>
                            <a:outerShdw dist="53966" dir="2700000">
                              <a:srgbClr val="808080">
                                <a:alpha val="50000"/>
                              </a:srgbClr>
                            </a:outerShdw>
                          </a:effectLst>
                        </wps:spPr>
                        <wps:style>
                          <a:lnRef idx="0"/>
                          <a:fillRef idx="0"/>
                          <a:effectRef idx="0"/>
                          <a:fontRef idx="minor"/>
                        </wps:style>
                        <wps:txbx>
                          <w:txbxContent>
                            <w:p>
                              <w:pPr>
                                <w:overflowPunct w:val="false"/>
                                <w:bidi w:val="0"/>
                                <w:jc w:val="center"/>
                                <w:rPr/>
                              </w:pPr>
                              <w:r>
                                <w:rPr>
                                  <w:sz w:val="16"/>
                                  <w:szCs w:val="24"/>
                                  <w:rFonts w:ascii="Verdana" w:hAnsi="Verdana" w:eastAsia="Times New Roman" w:cs="Verdana"/>
                                  <w:color w:val="auto"/>
                                  <w:lang w:val="cs-CZ" w:bidi="ar-SA"/>
                                </w:rPr>
                                <w:t>Úsek technicko-investiční</w:t>
                              </w:r>
                            </w:p>
                            <w:p>
                              <w:pPr>
                                <w:overflowPunct w:val="false"/>
                                <w:bidi w:val="0"/>
                                <w:rPr/>
                              </w:pPr>
                              <w:r>
                                <w:rPr>
                                  <w:rFonts w:ascii="Liberation Serif" w:hAnsi="Liberation Serif" w:eastAsia="Source Han Sans CN Regular" w:cs="Lohit Devanagari"/>
                                  <w:lang w:val="en-US" w:bidi="hi-IN"/>
                                </w:rPr>
                              </w:r>
                            </w:p>
                          </w:txbxContent>
                        </wps:txbx>
                        <wps:bodyPr lIns="0" rIns="0" tIns="0" bIns="0" anchor="ctr">
                          <a:noAutofit/>
                        </wps:bodyPr>
                      </wps:wsp>
                      <wps:wsp>
                        <wps:cNvSpPr/>
                        <wps:spPr>
                          <a:xfrm>
                            <a:off x="0" y="1028880"/>
                            <a:ext cx="2056680" cy="343080"/>
                          </a:xfrm>
                          <a:custGeom>
                            <a:avLst/>
                            <a:gdLst/>
                            <a:ahLst/>
                            <a:rect l="0" t="0" r="r" b="b"/>
                            <a:pathLst>
                              <a:path w="3241" h="542">
                                <a:moveTo>
                                  <a:pt x="90" y="0"/>
                                </a:moveTo>
                                <a:cubicBezTo>
                                  <a:pt x="45" y="0"/>
                                  <a:pt x="0" y="45"/>
                                  <a:pt x="0" y="90"/>
                                </a:cubicBezTo>
                                <a:lnTo>
                                  <a:pt x="0" y="450"/>
                                </a:lnTo>
                                <a:cubicBezTo>
                                  <a:pt x="0" y="495"/>
                                  <a:pt x="45" y="541"/>
                                  <a:pt x="90" y="541"/>
                                </a:cubicBezTo>
                                <a:lnTo>
                                  <a:pt x="3149" y="541"/>
                                </a:lnTo>
                                <a:cubicBezTo>
                                  <a:pt x="3194" y="541"/>
                                  <a:pt x="3240" y="495"/>
                                  <a:pt x="3240" y="450"/>
                                </a:cubicBezTo>
                                <a:lnTo>
                                  <a:pt x="3240" y="90"/>
                                </a:lnTo>
                                <a:cubicBezTo>
                                  <a:pt x="3240" y="45"/>
                                  <a:pt x="3194" y="0"/>
                                  <a:pt x="3149" y="0"/>
                                </a:cubicBezTo>
                                <a:lnTo>
                                  <a:pt x="90" y="0"/>
                                </a:lnTo>
                              </a:path>
                            </a:pathLst>
                          </a:custGeom>
                          <a:solidFill>
                            <a:srgbClr val="bbe0e3"/>
                          </a:solidFill>
                          <a:ln w="28440">
                            <a:solidFill>
                              <a:srgbClr val="4b595b"/>
                            </a:solidFill>
                            <a:miter/>
                          </a:ln>
                          <a:effectLst>
                            <a:outerShdw dist="53966" dir="2700000">
                              <a:srgbClr val="808080">
                                <a:alpha val="50000"/>
                              </a:srgbClr>
                            </a:outerShdw>
                          </a:effectLst>
                        </wps:spPr>
                        <wps:style>
                          <a:lnRef idx="0"/>
                          <a:fillRef idx="0"/>
                          <a:effectRef idx="0"/>
                          <a:fontRef idx="minor"/>
                        </wps:style>
                        <wps:txbx>
                          <w:txbxContent>
                            <w:p>
                              <w:pPr>
                                <w:overflowPunct w:val="false"/>
                                <w:bidi w:val="0"/>
                                <w:jc w:val="center"/>
                                <w:rPr/>
                              </w:pPr>
                              <w:r>
                                <w:rPr>
                                  <w:sz w:val="16"/>
                                  <w:szCs w:val="24"/>
                                  <w:rFonts w:ascii="Verdana" w:hAnsi="Verdana" w:eastAsia="Times New Roman" w:cs="Verdana"/>
                                  <w:color w:val="auto"/>
                                  <w:lang w:val="cs-CZ" w:bidi="ar-SA"/>
                                </w:rPr>
                                <w:t>Úsek ekonomicko obchodní</w:t>
                              </w:r>
                            </w:p>
                          </w:txbxContent>
                        </wps:txbx>
                        <wps:bodyPr lIns="0" rIns="0" tIns="0" bIns="0" anchor="ctr">
                          <a:noAutofit/>
                        </wps:bodyPr>
                      </wps:wsp>
                      <wps:wsp>
                        <wps:cNvSpPr/>
                        <wps:spPr>
                          <a:xfrm>
                            <a:off x="2742480" y="1028880"/>
                            <a:ext cx="2056680" cy="343080"/>
                          </a:xfrm>
                          <a:custGeom>
                            <a:avLst/>
                            <a:gdLst/>
                            <a:ahLst/>
                            <a:rect l="0" t="0" r="r" b="b"/>
                            <a:pathLst>
                              <a:path w="3241" h="542">
                                <a:moveTo>
                                  <a:pt x="90" y="0"/>
                                </a:moveTo>
                                <a:cubicBezTo>
                                  <a:pt x="45" y="0"/>
                                  <a:pt x="0" y="45"/>
                                  <a:pt x="0" y="90"/>
                                </a:cubicBezTo>
                                <a:lnTo>
                                  <a:pt x="0" y="450"/>
                                </a:lnTo>
                                <a:cubicBezTo>
                                  <a:pt x="0" y="495"/>
                                  <a:pt x="45" y="541"/>
                                  <a:pt x="90" y="541"/>
                                </a:cubicBezTo>
                                <a:lnTo>
                                  <a:pt x="3149" y="541"/>
                                </a:lnTo>
                                <a:cubicBezTo>
                                  <a:pt x="3194" y="541"/>
                                  <a:pt x="3240" y="495"/>
                                  <a:pt x="3240" y="450"/>
                                </a:cubicBezTo>
                                <a:lnTo>
                                  <a:pt x="3240" y="90"/>
                                </a:lnTo>
                                <a:cubicBezTo>
                                  <a:pt x="3240" y="45"/>
                                  <a:pt x="3194" y="0"/>
                                  <a:pt x="3149" y="0"/>
                                </a:cubicBezTo>
                                <a:lnTo>
                                  <a:pt x="90" y="0"/>
                                </a:lnTo>
                              </a:path>
                            </a:pathLst>
                          </a:custGeom>
                          <a:solidFill>
                            <a:srgbClr val="bbe0e3"/>
                          </a:solidFill>
                          <a:ln w="28440">
                            <a:solidFill>
                              <a:srgbClr val="4b595b"/>
                            </a:solidFill>
                            <a:miter/>
                          </a:ln>
                          <a:effectLst>
                            <a:outerShdw dist="53966" dir="2700000">
                              <a:srgbClr val="808080">
                                <a:alpha val="50000"/>
                              </a:srgbClr>
                            </a:outerShdw>
                          </a:effectLst>
                        </wps:spPr>
                        <wps:style>
                          <a:lnRef idx="0"/>
                          <a:fillRef idx="0"/>
                          <a:effectRef idx="0"/>
                          <a:fontRef idx="minor"/>
                        </wps:style>
                        <wps:txbx>
                          <w:txbxContent>
                            <w:p>
                              <w:pPr>
                                <w:overflowPunct w:val="false"/>
                                <w:bidi w:val="0"/>
                                <w:jc w:val="center"/>
                                <w:rPr/>
                              </w:pPr>
                              <w:r>
                                <w:rPr>
                                  <w:sz w:val="16"/>
                                  <w:szCs w:val="24"/>
                                  <w:rFonts w:ascii="Verdana" w:hAnsi="Verdana" w:eastAsia="Times New Roman" w:cs="Verdana"/>
                                  <w:color w:val="auto"/>
                                  <w:lang w:val="cs-CZ" w:bidi="ar-SA"/>
                                </w:rPr>
                                <w:t>Úsek pro speciální stavby</w:t>
                              </w:r>
                            </w:p>
                            <w:p>
                              <w:pPr>
                                <w:overflowPunct w:val="false"/>
                                <w:bidi w:val="0"/>
                                <w:rPr/>
                              </w:pPr>
                              <w:r>
                                <w:rPr>
                                  <w:rFonts w:ascii="Liberation Serif" w:hAnsi="Liberation Serif" w:eastAsia="Source Han Sans CN Regular" w:cs="Lohit Devanagari"/>
                                  <w:lang w:val="en-US" w:bidi="hi-IN"/>
                                </w:rPr>
                              </w:r>
                            </w:p>
                          </w:txbxContent>
                        </wps:txbx>
                        <wps:bodyPr lIns="0" rIns="0" tIns="0" bIns="0" anchor="ctr">
                          <a:noAutofit/>
                        </wps:bodyPr>
                      </wps:wsp>
                      <wps:wsp>
                        <wps:cNvSpPr/>
                        <wps:spPr>
                          <a:xfrm>
                            <a:off x="0" y="1542960"/>
                            <a:ext cx="2056680" cy="343080"/>
                          </a:xfrm>
                          <a:custGeom>
                            <a:avLst/>
                            <a:gdLst/>
                            <a:ahLst/>
                            <a:rect l="0" t="0" r="r" b="b"/>
                            <a:pathLst>
                              <a:path w="3241" h="542">
                                <a:moveTo>
                                  <a:pt x="90" y="0"/>
                                </a:moveTo>
                                <a:cubicBezTo>
                                  <a:pt x="45" y="0"/>
                                  <a:pt x="0" y="45"/>
                                  <a:pt x="0" y="90"/>
                                </a:cubicBezTo>
                                <a:lnTo>
                                  <a:pt x="0" y="450"/>
                                </a:lnTo>
                                <a:cubicBezTo>
                                  <a:pt x="0" y="495"/>
                                  <a:pt x="45" y="541"/>
                                  <a:pt x="90" y="541"/>
                                </a:cubicBezTo>
                                <a:lnTo>
                                  <a:pt x="3149" y="541"/>
                                </a:lnTo>
                                <a:cubicBezTo>
                                  <a:pt x="3194" y="541"/>
                                  <a:pt x="3240" y="495"/>
                                  <a:pt x="3240" y="450"/>
                                </a:cubicBezTo>
                                <a:lnTo>
                                  <a:pt x="3240" y="90"/>
                                </a:lnTo>
                                <a:cubicBezTo>
                                  <a:pt x="3240" y="45"/>
                                  <a:pt x="3194" y="0"/>
                                  <a:pt x="3149" y="0"/>
                                </a:cubicBezTo>
                                <a:lnTo>
                                  <a:pt x="90" y="0"/>
                                </a:lnTo>
                              </a:path>
                            </a:pathLst>
                          </a:custGeom>
                          <a:solidFill>
                            <a:srgbClr val="bbe0e3"/>
                          </a:solidFill>
                          <a:ln w="28440">
                            <a:solidFill>
                              <a:srgbClr val="4b595b"/>
                            </a:solidFill>
                            <a:miter/>
                          </a:ln>
                          <a:effectLst>
                            <a:outerShdw dist="53966" dir="2700000">
                              <a:srgbClr val="808080">
                                <a:alpha val="50000"/>
                              </a:srgbClr>
                            </a:outerShdw>
                          </a:effectLst>
                        </wps:spPr>
                        <wps:style>
                          <a:lnRef idx="0"/>
                          <a:fillRef idx="0"/>
                          <a:effectRef idx="0"/>
                          <a:fontRef idx="minor"/>
                        </wps:style>
                        <wps:txbx>
                          <w:txbxContent>
                            <w:p>
                              <w:pPr>
                                <w:overflowPunct w:val="false"/>
                                <w:bidi w:val="0"/>
                                <w:jc w:val="center"/>
                                <w:rPr/>
                              </w:pPr>
                              <w:r>
                                <w:rPr>
                                  <w:sz w:val="16"/>
                                  <w:szCs w:val="24"/>
                                  <w:rFonts w:ascii="Verdana" w:hAnsi="Verdana" w:eastAsia="Times New Roman" w:cs="Verdana"/>
                                  <w:color w:val="auto"/>
                                  <w:lang w:val="cs-CZ" w:bidi="ar-SA"/>
                                </w:rPr>
                                <w:t>Úsek dopravního inženýrství</w:t>
                              </w:r>
                            </w:p>
                            <w:p>
                              <w:pPr>
                                <w:overflowPunct w:val="false"/>
                                <w:bidi w:val="0"/>
                                <w:jc w:val="center"/>
                                <w:rPr/>
                              </w:pPr>
                              <w:r>
                                <w:rPr>
                                  <w:rFonts w:ascii="Liberation Serif" w:hAnsi="Liberation Serif" w:eastAsia="Source Han Sans CN Regular" w:cs="Lohit Devanagari"/>
                                  <w:lang w:val="en-US" w:bidi="hi-IN"/>
                                </w:rPr>
                              </w:r>
                            </w:p>
                          </w:txbxContent>
                        </wps:txbx>
                        <wps:bodyPr lIns="0" rIns="0" tIns="0" bIns="0" anchor="ctr">
                          <a:noAutofit/>
                        </wps:bodyPr>
                      </wps:wsp>
                      <wps:wsp>
                        <wps:cNvSpPr/>
                        <wps:spPr>
                          <a:xfrm>
                            <a:off x="2742480" y="1542960"/>
                            <a:ext cx="2056680" cy="343080"/>
                          </a:xfrm>
                          <a:custGeom>
                            <a:avLst/>
                            <a:gdLst/>
                            <a:ahLst/>
                            <a:rect l="0" t="0" r="r" b="b"/>
                            <a:pathLst>
                              <a:path w="3241" h="542">
                                <a:moveTo>
                                  <a:pt x="90" y="0"/>
                                </a:moveTo>
                                <a:cubicBezTo>
                                  <a:pt x="45" y="0"/>
                                  <a:pt x="0" y="45"/>
                                  <a:pt x="0" y="90"/>
                                </a:cubicBezTo>
                                <a:lnTo>
                                  <a:pt x="0" y="450"/>
                                </a:lnTo>
                                <a:cubicBezTo>
                                  <a:pt x="0" y="495"/>
                                  <a:pt x="45" y="541"/>
                                  <a:pt x="90" y="541"/>
                                </a:cubicBezTo>
                                <a:lnTo>
                                  <a:pt x="3149" y="541"/>
                                </a:lnTo>
                                <a:cubicBezTo>
                                  <a:pt x="3194" y="541"/>
                                  <a:pt x="3240" y="495"/>
                                  <a:pt x="3240" y="450"/>
                                </a:cubicBezTo>
                                <a:lnTo>
                                  <a:pt x="3240" y="90"/>
                                </a:lnTo>
                                <a:cubicBezTo>
                                  <a:pt x="3240" y="45"/>
                                  <a:pt x="3194" y="0"/>
                                  <a:pt x="3149" y="0"/>
                                </a:cubicBezTo>
                                <a:lnTo>
                                  <a:pt x="90" y="0"/>
                                </a:lnTo>
                              </a:path>
                            </a:pathLst>
                          </a:custGeom>
                          <a:solidFill>
                            <a:srgbClr val="bbe0e3"/>
                          </a:solidFill>
                          <a:ln w="28440">
                            <a:solidFill>
                              <a:srgbClr val="4b595b"/>
                            </a:solidFill>
                            <a:miter/>
                          </a:ln>
                          <a:effectLst>
                            <a:outerShdw dist="53966" dir="2700000">
                              <a:srgbClr val="808080">
                                <a:alpha val="50000"/>
                              </a:srgbClr>
                            </a:outerShdw>
                          </a:effectLst>
                        </wps:spPr>
                        <wps:style>
                          <a:lnRef idx="0"/>
                          <a:fillRef idx="0"/>
                          <a:effectRef idx="0"/>
                          <a:fontRef idx="minor"/>
                        </wps:style>
                        <wps:txbx>
                          <w:txbxContent>
                            <w:p>
                              <w:pPr>
                                <w:overflowPunct w:val="false"/>
                                <w:bidi w:val="0"/>
                                <w:jc w:val="center"/>
                                <w:rPr/>
                              </w:pPr>
                              <w:r>
                                <w:rPr>
                                  <w:sz w:val="16"/>
                                  <w:szCs w:val="24"/>
                                  <w:rFonts w:ascii="Verdana" w:hAnsi="Verdana" w:eastAsia="Times New Roman" w:cs="Verdana"/>
                                  <w:color w:val="auto"/>
                                  <w:lang w:val="cs-CZ" w:bidi="ar-SA"/>
                                </w:rPr>
                                <w:t>Úsek vnitřních věcí</w:t>
                              </w:r>
                            </w:p>
                            <w:p>
                              <w:pPr>
                                <w:overflowPunct w:val="false"/>
                                <w:bidi w:val="0"/>
                                <w:jc w:val="center"/>
                                <w:rPr/>
                              </w:pPr>
                              <w:r>
                                <w:rPr>
                                  <w:rFonts w:ascii="Liberation Serif" w:hAnsi="Liberation Serif" w:eastAsia="Source Han Sans CN Regular" w:cs="Lohit Devanagari"/>
                                  <w:lang w:val="en-US" w:bidi="hi-IN"/>
                                </w:rPr>
                              </w:r>
                            </w:p>
                          </w:txbxContent>
                        </wps:txbx>
                        <wps:bodyPr lIns="0" rIns="0" tIns="0" bIns="0" anchor="ctr">
                          <a:noAutofit/>
                        </wps:bodyPr>
                      </wps:wsp>
                      <wps:wsp>
                        <wps:cNvSpPr/>
                        <wps:spPr>
                          <a:xfrm>
                            <a:off x="0" y="2057400"/>
                            <a:ext cx="2056680" cy="343080"/>
                          </a:xfrm>
                          <a:custGeom>
                            <a:avLst/>
                            <a:gdLst/>
                            <a:ahLst/>
                            <a:rect l="0" t="0" r="r" b="b"/>
                            <a:pathLst>
                              <a:path w="3241" h="542">
                                <a:moveTo>
                                  <a:pt x="90" y="0"/>
                                </a:moveTo>
                                <a:cubicBezTo>
                                  <a:pt x="45" y="0"/>
                                  <a:pt x="0" y="45"/>
                                  <a:pt x="0" y="90"/>
                                </a:cubicBezTo>
                                <a:lnTo>
                                  <a:pt x="0" y="450"/>
                                </a:lnTo>
                                <a:cubicBezTo>
                                  <a:pt x="0" y="495"/>
                                  <a:pt x="45" y="541"/>
                                  <a:pt x="90" y="541"/>
                                </a:cubicBezTo>
                                <a:lnTo>
                                  <a:pt x="3149" y="541"/>
                                </a:lnTo>
                                <a:cubicBezTo>
                                  <a:pt x="3194" y="541"/>
                                  <a:pt x="3240" y="495"/>
                                  <a:pt x="3240" y="450"/>
                                </a:cubicBezTo>
                                <a:lnTo>
                                  <a:pt x="3240" y="90"/>
                                </a:lnTo>
                                <a:cubicBezTo>
                                  <a:pt x="3240" y="45"/>
                                  <a:pt x="3194" y="0"/>
                                  <a:pt x="3149" y="0"/>
                                </a:cubicBezTo>
                                <a:lnTo>
                                  <a:pt x="90" y="0"/>
                                </a:lnTo>
                              </a:path>
                            </a:pathLst>
                          </a:custGeom>
                          <a:solidFill>
                            <a:srgbClr val="bbe0e3"/>
                          </a:solidFill>
                          <a:ln w="28440">
                            <a:solidFill>
                              <a:srgbClr val="4b595b"/>
                            </a:solidFill>
                            <a:miter/>
                          </a:ln>
                          <a:effectLst>
                            <a:outerShdw dist="53966" dir="2700000">
                              <a:srgbClr val="808080">
                                <a:alpha val="50000"/>
                              </a:srgbClr>
                            </a:outerShdw>
                          </a:effectLst>
                        </wps:spPr>
                        <wps:style>
                          <a:lnRef idx="0"/>
                          <a:fillRef idx="0"/>
                          <a:effectRef idx="0"/>
                          <a:fontRef idx="minor"/>
                        </wps:style>
                        <wps:txbx>
                          <w:txbxContent>
                            <w:p>
                              <w:pPr>
                                <w:overflowPunct w:val="false"/>
                                <w:bidi w:val="0"/>
                                <w:jc w:val="center"/>
                                <w:rPr/>
                              </w:pPr>
                              <w:r>
                                <w:rPr>
                                  <w:sz w:val="16"/>
                                  <w:szCs w:val="24"/>
                                  <w:rFonts w:ascii="Verdana" w:hAnsi="Verdana" w:eastAsia="Times New Roman" w:cs="Verdana"/>
                                  <w:color w:val="auto"/>
                                  <w:lang w:val="cs-CZ" w:bidi="ar-SA"/>
                                </w:rPr>
                                <w:t>Úsek informatiky</w:t>
                              </w:r>
                            </w:p>
                            <w:p>
                              <w:pPr>
                                <w:overflowPunct w:val="false"/>
                                <w:bidi w:val="0"/>
                                <w:jc w:val="center"/>
                                <w:rPr/>
                              </w:pPr>
                              <w:r>
                                <w:rPr>
                                  <w:rFonts w:ascii="Liberation Serif" w:hAnsi="Liberation Serif" w:eastAsia="Source Han Sans CN Regular" w:cs="Lohit Devanagari"/>
                                  <w:lang w:val="en-US" w:bidi="hi-IN"/>
                                </w:rPr>
                              </w:r>
                            </w:p>
                          </w:txbxContent>
                        </wps:txbx>
                        <wps:bodyPr lIns="0" rIns="0" tIns="0" bIns="0" anchor="ctr">
                          <a:noAutofit/>
                        </wps:bodyPr>
                      </wps:wsp>
                    </wpg:wgp>
                  </a:graphicData>
                </a:graphic>
              </wp:anchor>
            </w:drawing>
          </mc:Choice>
          <mc:Fallback>
            <w:pict>
              <v:group id="shape_0" style="position:absolute;margin-left:27pt;margin-top:150pt;width:377.95pt;height:189pt" coordorigin="540,3000" coordsize="7559,3780">
                <v:rect id="shape_0" stroked="f" style="position:absolute;left:540;top:3000;width:7558;height:3779">
                  <w10:wrap type="none"/>
                  <v:fill o:detectmouseclick="t" on="false"/>
                  <v:stroke color="#3465a4" joinstyle="round" endcap="flat"/>
                </v:rect>
                <v:shapetype id="shapetype_33" coordsize="21600,21600" o:spt="33" path="m,l21600,l21600,21600nfe">
                  <v:stroke joinstyle="miter"/>
                  <v:path gradientshapeok="t" o:connecttype="rect" textboxrect="0,0,21600,21600"/>
                </v:shapetype>
                <v:shape id="shape_0" ID="_s1043" stroked="t" style="position:absolute;left:3790;top:3595;width:527;height:2914;flip:y" type="shapetype_33">
                  <v:stroke color="#4b595b" weight="28440" joinstyle="miter" endcap="square"/>
                  <v:fill o:detectmouseclick="t" on="false"/>
                </v:shape>
                <v:shape id="shape_0" ID="_s1044" stroked="t" style="position:absolute;left:4317;top:3595;width:528;height:2104;rotation:180" type="shapetype_33">
                  <v:stroke color="#4b595b" weight="28440" joinstyle="miter" endcap="square"/>
                  <v:fill o:detectmouseclick="t" on="false"/>
                </v:shape>
                <v:shape id="shape_0" ID="_s1045" stroked="t" style="position:absolute;left:3790;top:3595;width:527;height:2104;flip:y" type="shapetype_33">
                  <v:stroke color="#4b595b" weight="28440" joinstyle="miter" endcap="square"/>
                  <v:fill o:detectmouseclick="t" on="false"/>
                </v:shape>
                <v:shape id="shape_0" ID="_s1046" stroked="t" style="position:absolute;left:4317;top:3594;width:528;height:1295;rotation:180" type="shapetype_33">
                  <v:stroke color="#4b595b" weight="28440" joinstyle="miter" endcap="square"/>
                  <v:fill o:detectmouseclick="t" on="false"/>
                </v:shape>
                <v:shape id="shape_0" ID="_s1047" stroked="t" style="position:absolute;left:3790;top:3594;width:527;height:1295;flip:y" type="shapetype_33">
                  <v:stroke color="#4b595b" weight="28440" joinstyle="miter" endcap="square"/>
                  <v:fill o:detectmouseclick="t" on="false"/>
                </v:shape>
                <v:shape id="shape_0" ID="_s1048" stroked="t" style="position:absolute;left:4317;top:3594;width:528;height:485;rotation:180" type="shapetype_33">
                  <v:stroke color="#4b595b" weight="28440" joinstyle="miter" endcap="square"/>
                  <v:fill o:detectmouseclick="t" on="false"/>
                </v:shape>
                <v:shape id="shape_0" ID="_s1049" stroked="t" style="position:absolute;left:3790;top:3594;width:527;height:485;flip:y" type="shapetype_33">
                  <v:stroke color="#4b595b" weight="28440" joinstyle="miter" endcap="square"/>
                  <v:fill o:detectmouseclick="t" on="false"/>
                </v:shape>
                <v:roundrect id="shape_0" ID="_s1050" fillcolor="#d7edef" stroked="t" style="position:absolute;left:2699;top:3000;width:3238;height:539">
                  <v:textbox>
                    <w:txbxContent>
                      <w:p>
                        <w:pPr>
                          <w:overflowPunct w:val="false"/>
                          <w:bidi w:val="0"/>
                          <w:jc w:val="center"/>
                          <w:rPr/>
                        </w:pPr>
                        <w:r>
                          <w:rPr>
                            <w:sz w:val="16"/>
                            <w:szCs w:val="28"/>
                            <w:rFonts w:ascii="Verdana" w:hAnsi="Verdana" w:eastAsia="Times New Roman" w:cs="Verdana"/>
                            <w:color w:val="auto"/>
                            <w:lang w:val="cs-CZ" w:bidi="ar-SA"/>
                          </w:rPr>
                          <w:t>Ředitel</w:t>
                        </w:r>
                      </w:p>
                    </w:txbxContent>
                  </v:textbox>
                  <w10:wrap type="square"/>
                  <v:fill o:detectmouseclick="t" type="solid" color2="#281210"/>
                  <v:stroke color="#4b595b" weight="38160" joinstyle="miter" endcap="square"/>
                  <v:shadow on="t" obscured="f" color="gray"/>
                </v:roundrect>
                <v:roundrect id="shape_0" ID="_s1051" fillcolor="#bbe0e3" stroked="t" style="position:absolute;left:540;top:3810;width:3238;height:539">
                  <v:textbox>
                    <w:txbxContent>
                      <w:p>
                        <w:pPr>
                          <w:overflowPunct w:val="false"/>
                          <w:bidi w:val="0"/>
                          <w:jc w:val="center"/>
                          <w:rPr/>
                        </w:pPr>
                        <w:r>
                          <w:rPr>
                            <w:sz w:val="16"/>
                            <w:szCs w:val="24"/>
                            <w:bCs/>
                            <w:rFonts w:ascii="Verdana" w:hAnsi="Verdana" w:eastAsia="Times New Roman" w:cs="Verdana"/>
                            <w:color w:val="auto"/>
                            <w:lang w:val="cs-CZ" w:bidi="ar-SA"/>
                          </w:rPr>
                          <w:t>Správní úsek</w:t>
                        </w:r>
                      </w:p>
                    </w:txbxContent>
                  </v:textbox>
                  <w10:wrap type="square"/>
                  <v:fill o:detectmouseclick="t" type="solid" color2="#441f1c"/>
                  <v:stroke color="#4b595b" weight="28440" joinstyle="miter" endcap="square"/>
                  <v:shadow on="t" obscured="f" color="gray"/>
                </v:roundrect>
                <v:roundrect id="shape_0" ID="_s1052" fillcolor="#bbe0e3" stroked="t" style="position:absolute;left:4859;top:3810;width:3238;height:539">
                  <v:textbox>
                    <w:txbxContent>
                      <w:p>
                        <w:pPr>
                          <w:overflowPunct w:val="false"/>
                          <w:bidi w:val="0"/>
                          <w:jc w:val="center"/>
                          <w:rPr/>
                        </w:pPr>
                        <w:r>
                          <w:rPr>
                            <w:sz w:val="16"/>
                            <w:szCs w:val="24"/>
                            <w:rFonts w:ascii="Verdana" w:hAnsi="Verdana" w:eastAsia="Times New Roman" w:cs="Verdana"/>
                            <w:color w:val="auto"/>
                            <w:lang w:val="cs-CZ" w:bidi="ar-SA"/>
                          </w:rPr>
                          <w:t>Úsek technicko-investiční</w:t>
                        </w:r>
                      </w:p>
                      <w:p>
                        <w:pPr>
                          <w:overflowPunct w:val="false"/>
                          <w:bidi w:val="0"/>
                          <w:rPr/>
                        </w:pPr>
                        <w:r>
                          <w:rPr>
                            <w:rFonts w:ascii="Liberation Serif" w:hAnsi="Liberation Serif" w:eastAsia="Source Han Sans CN Regular" w:cs="Lohit Devanagari"/>
                            <w:lang w:val="en-US" w:bidi="hi-IN"/>
                          </w:rPr>
                        </w:r>
                      </w:p>
                    </w:txbxContent>
                  </v:textbox>
                  <w10:wrap type="square"/>
                  <v:fill o:detectmouseclick="t" type="solid" color2="#441f1c"/>
                  <v:stroke color="#4b595b" weight="28440" joinstyle="miter" endcap="square"/>
                  <v:shadow on="t" obscured="f" color="gray"/>
                </v:roundrect>
                <v:roundrect id="shape_0" ID="_s1053" fillcolor="#bbe0e3" stroked="t" style="position:absolute;left:540;top:4620;width:3238;height:539">
                  <v:textbox>
                    <w:txbxContent>
                      <w:p>
                        <w:pPr>
                          <w:overflowPunct w:val="false"/>
                          <w:bidi w:val="0"/>
                          <w:jc w:val="center"/>
                          <w:rPr/>
                        </w:pPr>
                        <w:r>
                          <w:rPr>
                            <w:sz w:val="16"/>
                            <w:szCs w:val="24"/>
                            <w:rFonts w:ascii="Verdana" w:hAnsi="Verdana" w:eastAsia="Times New Roman" w:cs="Verdana"/>
                            <w:color w:val="auto"/>
                            <w:lang w:val="cs-CZ" w:bidi="ar-SA"/>
                          </w:rPr>
                          <w:t>Úsek ekonomicko obchodní</w:t>
                        </w:r>
                      </w:p>
                    </w:txbxContent>
                  </v:textbox>
                  <w10:wrap type="square"/>
                  <v:fill o:detectmouseclick="t" type="solid" color2="#441f1c"/>
                  <v:stroke color="#4b595b" weight="28440" joinstyle="miter" endcap="square"/>
                  <v:shadow on="t" obscured="f" color="gray"/>
                </v:roundrect>
                <v:roundrect id="shape_0" ID="_s1054" fillcolor="#bbe0e3" stroked="t" style="position:absolute;left:4859;top:4620;width:3238;height:539">
                  <v:textbox>
                    <w:txbxContent>
                      <w:p>
                        <w:pPr>
                          <w:overflowPunct w:val="false"/>
                          <w:bidi w:val="0"/>
                          <w:jc w:val="center"/>
                          <w:rPr/>
                        </w:pPr>
                        <w:r>
                          <w:rPr>
                            <w:sz w:val="16"/>
                            <w:szCs w:val="24"/>
                            <w:rFonts w:ascii="Verdana" w:hAnsi="Verdana" w:eastAsia="Times New Roman" w:cs="Verdana"/>
                            <w:color w:val="auto"/>
                            <w:lang w:val="cs-CZ" w:bidi="ar-SA"/>
                          </w:rPr>
                          <w:t>Úsek pro speciální stavby</w:t>
                        </w:r>
                      </w:p>
                      <w:p>
                        <w:pPr>
                          <w:overflowPunct w:val="false"/>
                          <w:bidi w:val="0"/>
                          <w:rPr/>
                        </w:pPr>
                        <w:r>
                          <w:rPr>
                            <w:rFonts w:ascii="Liberation Serif" w:hAnsi="Liberation Serif" w:eastAsia="Source Han Sans CN Regular" w:cs="Lohit Devanagari"/>
                            <w:lang w:val="en-US" w:bidi="hi-IN"/>
                          </w:rPr>
                        </w:r>
                      </w:p>
                    </w:txbxContent>
                  </v:textbox>
                  <w10:wrap type="square"/>
                  <v:fill o:detectmouseclick="t" type="solid" color2="#441f1c"/>
                  <v:stroke color="#4b595b" weight="28440" joinstyle="miter" endcap="square"/>
                  <v:shadow on="t" obscured="f" color="gray"/>
                </v:roundrect>
                <v:roundrect id="shape_0" ID="_s1055" fillcolor="#bbe0e3" stroked="t" style="position:absolute;left:540;top:5430;width:3238;height:539">
                  <v:textbox>
                    <w:txbxContent>
                      <w:p>
                        <w:pPr>
                          <w:overflowPunct w:val="false"/>
                          <w:bidi w:val="0"/>
                          <w:jc w:val="center"/>
                          <w:rPr/>
                        </w:pPr>
                        <w:r>
                          <w:rPr>
                            <w:sz w:val="16"/>
                            <w:szCs w:val="24"/>
                            <w:rFonts w:ascii="Verdana" w:hAnsi="Verdana" w:eastAsia="Times New Roman" w:cs="Verdana"/>
                            <w:color w:val="auto"/>
                            <w:lang w:val="cs-CZ" w:bidi="ar-SA"/>
                          </w:rPr>
                          <w:t>Úsek dopravního inženýrství</w:t>
                        </w:r>
                      </w:p>
                      <w:p>
                        <w:pPr>
                          <w:overflowPunct w:val="false"/>
                          <w:bidi w:val="0"/>
                          <w:jc w:val="center"/>
                          <w:rPr/>
                        </w:pPr>
                        <w:r>
                          <w:rPr>
                            <w:rFonts w:ascii="Liberation Serif" w:hAnsi="Liberation Serif" w:eastAsia="Source Han Sans CN Regular" w:cs="Lohit Devanagari"/>
                            <w:lang w:val="en-US" w:bidi="hi-IN"/>
                          </w:rPr>
                        </w:r>
                      </w:p>
                    </w:txbxContent>
                  </v:textbox>
                  <w10:wrap type="square"/>
                  <v:fill o:detectmouseclick="t" type="solid" color2="#441f1c"/>
                  <v:stroke color="#4b595b" weight="28440" joinstyle="miter" endcap="square"/>
                  <v:shadow on="t" obscured="f" color="gray"/>
                </v:roundrect>
                <v:roundrect id="shape_0" ID="_s1056" fillcolor="#bbe0e3" stroked="t" style="position:absolute;left:4859;top:5430;width:3238;height:539">
                  <v:textbox>
                    <w:txbxContent>
                      <w:p>
                        <w:pPr>
                          <w:overflowPunct w:val="false"/>
                          <w:bidi w:val="0"/>
                          <w:jc w:val="center"/>
                          <w:rPr/>
                        </w:pPr>
                        <w:r>
                          <w:rPr>
                            <w:sz w:val="16"/>
                            <w:szCs w:val="24"/>
                            <w:rFonts w:ascii="Verdana" w:hAnsi="Verdana" w:eastAsia="Times New Roman" w:cs="Verdana"/>
                            <w:color w:val="auto"/>
                            <w:lang w:val="cs-CZ" w:bidi="ar-SA"/>
                          </w:rPr>
                          <w:t>Úsek vnitřních věcí</w:t>
                        </w:r>
                      </w:p>
                      <w:p>
                        <w:pPr>
                          <w:overflowPunct w:val="false"/>
                          <w:bidi w:val="0"/>
                          <w:jc w:val="center"/>
                          <w:rPr/>
                        </w:pPr>
                        <w:r>
                          <w:rPr>
                            <w:rFonts w:ascii="Liberation Serif" w:hAnsi="Liberation Serif" w:eastAsia="Source Han Sans CN Regular" w:cs="Lohit Devanagari"/>
                            <w:lang w:val="en-US" w:bidi="hi-IN"/>
                          </w:rPr>
                        </w:r>
                      </w:p>
                    </w:txbxContent>
                  </v:textbox>
                  <w10:wrap type="square"/>
                  <v:fill o:detectmouseclick="t" type="solid" color2="#441f1c"/>
                  <v:stroke color="#4b595b" weight="28440" joinstyle="miter" endcap="square"/>
                  <v:shadow on="t" obscured="f" color="gray"/>
                </v:roundrect>
                <v:roundrect id="shape_0" ID="_s1057" fillcolor="#bbe0e3" stroked="t" style="position:absolute;left:540;top:6240;width:3238;height:539">
                  <v:textbox>
                    <w:txbxContent>
                      <w:p>
                        <w:pPr>
                          <w:overflowPunct w:val="false"/>
                          <w:bidi w:val="0"/>
                          <w:jc w:val="center"/>
                          <w:rPr/>
                        </w:pPr>
                        <w:r>
                          <w:rPr>
                            <w:sz w:val="16"/>
                            <w:szCs w:val="24"/>
                            <w:rFonts w:ascii="Verdana" w:hAnsi="Verdana" w:eastAsia="Times New Roman" w:cs="Verdana"/>
                            <w:color w:val="auto"/>
                            <w:lang w:val="cs-CZ" w:bidi="ar-SA"/>
                          </w:rPr>
                          <w:t>Úsek informatiky</w:t>
                        </w:r>
                      </w:p>
                      <w:p>
                        <w:pPr>
                          <w:overflowPunct w:val="false"/>
                          <w:bidi w:val="0"/>
                          <w:jc w:val="center"/>
                          <w:rPr/>
                        </w:pPr>
                        <w:r>
                          <w:rPr>
                            <w:rFonts w:ascii="Liberation Serif" w:hAnsi="Liberation Serif" w:eastAsia="Source Han Sans CN Regular" w:cs="Lohit Devanagari"/>
                            <w:lang w:val="en-US" w:bidi="hi-IN"/>
                          </w:rPr>
                        </w:r>
                      </w:p>
                    </w:txbxContent>
                  </v:textbox>
                  <w10:wrap type="square"/>
                  <v:fill o:detectmouseclick="t" type="solid" color2="#441f1c"/>
                  <v:stroke color="#4b595b" weight="28440" joinstyle="miter" endcap="square"/>
                  <v:shadow on="t" obscured="f" color="gray"/>
                </v:roundrect>
              </v:group>
            </w:pict>
          </mc:Fallback>
        </mc:AlternateContent>
      </w:r>
      <w:r>
        <w:rPr/>
        <w:t>V</w:t>
      </w:r>
      <w:r>
        <w:rPr/>
        <w:t> čele organizační struktury TSK je ředitel.</w:t>
      </w:r>
    </w:p>
    <w:p>
      <w:pPr>
        <w:sectPr>
          <w:footnotePr>
            <w:numFmt w:val="decimal"/>
          </w:footnotePr>
          <w:type w:val="continuous"/>
          <w:pgSz w:orient="landscape" w:w="16838" w:h="11906"/>
          <w:pgMar w:left="1418" w:right="1418" w:header="709" w:top="1418" w:footer="567" w:bottom="1418" w:gutter="0"/>
          <w:formProt w:val="false"/>
          <w:textDirection w:val="lrTb"/>
          <w:docGrid w:type="default" w:linePitch="360" w:charSpace="0"/>
        </w:sectPr>
        <w:pStyle w:val="Stanoviskotext"/>
        <w:rPr/>
      </w:pPr>
      <w:r>
        <w:rPr/>
        <w:t>Na nižších úrovních se organizační struktura příspěvkové organizace TSK vyznačuje velmi jasným a jednoduchým řízením. Jedná se o liniovou organizační strukturu, kterou lze pro daný druh vykonávané činnosti považovat za vyhovující.</w:t>
      </w:r>
    </w:p>
    <w:p>
      <w:pPr>
        <w:pStyle w:val="Stanovisko1"/>
        <w:numPr>
          <w:ilvl w:val="0"/>
          <w:numId w:val="2"/>
        </w:numPr>
        <w:rPr/>
      </w:pPr>
      <w:bookmarkStart w:id="7" w:name="__RefHeading___Toc382588292"/>
      <w:bookmarkEnd w:id="7"/>
      <w:r>
        <w:rPr/>
        <w:t>Subjekty, které již prošly transformací</w:t>
      </w:r>
    </w:p>
    <w:p>
      <w:pPr>
        <w:pStyle w:val="Stanoviskotext"/>
        <w:rPr/>
      </w:pPr>
      <w:r>
        <w:rPr/>
        <w:t>Vzhledem k záměru společnosti TSK transformovat se z příspěvkové organizace na obchodní společnost, zde pro srovnání uvádíme základní ekonomické ukazatele dvou společností, které v minulosti již touto transformací prošly. Jedná se o společnost Brněnské komunikace a.s. a Ostravské komunikace, a.s..</w:t>
      </w:r>
    </w:p>
    <w:p>
      <w:pPr>
        <w:pStyle w:val="Stanoviskotext"/>
        <w:rPr/>
      </w:pPr>
      <w:r>
        <w:rPr/>
        <w:t>Na tomto místě je vhodné upozornit na hlavní rozdíl mezi dále prezentovanými společnostmi a TSK, když narozdíl od TSK jako výhradně správcovské organizace se obě již transformované společnosti věnují i samotné výrobní činnosti.</w:t>
      </w:r>
    </w:p>
    <w:p>
      <w:pPr>
        <w:pStyle w:val="Stanoviskotext"/>
        <w:rPr/>
      </w:pPr>
      <w:r>
        <w:rPr/>
        <w:t>Zde se nabízí otázka, zda by se TSK neměla (po transformaci na obchodní společnost) stát společností s vlastní výrobní činností, tzn. zda by neměla zajišťovat činnosti pro HMP vlastními silami. V tomto případě se nabízí možnost sloučení např. se společností Pražské služby, a. s., která je rovněž vlastněna hl. m. Prahou a v současné době je jedním z významných externích dodavatelů společnosti TSK. Otázka efektivnosti takovéhoto kroku by však musela být předmětem podrobné analýzy dopadů.</w:t>
      </w:r>
    </w:p>
    <w:p>
      <w:pPr>
        <w:pStyle w:val="Stanoviskotext"/>
        <w:rPr/>
      </w:pPr>
      <w:r>
        <w:rPr/>
      </w:r>
    </w:p>
    <w:p>
      <w:pPr>
        <w:pStyle w:val="Stanovisko3"/>
        <w:numPr>
          <w:ilvl w:val="2"/>
          <w:numId w:val="2"/>
        </w:numPr>
        <w:rPr/>
      </w:pPr>
      <w:bookmarkStart w:id="8" w:name="__RefHeading___Toc382588293"/>
      <w:bookmarkEnd w:id="8"/>
      <w:r>
        <w:rPr/>
        <w:t>Brněnské komunikace a. s.</w:t>
      </w:r>
    </w:p>
    <w:p>
      <w:pPr>
        <w:pStyle w:val="Stanoviskotext"/>
        <w:rPr/>
      </w:pPr>
      <w:r>
        <w:rPr/>
        <w:t>Společnost Brněnské komunikace a. s. zajišťuje správu komunikací na území města Brna v celkové délce 806 km v níže uvedeném rozsahu.</w:t>
      </w:r>
    </w:p>
    <w:p>
      <w:pPr>
        <w:pStyle w:val="Stanoviskotext"/>
        <w:rPr>
          <w:u w:val="single"/>
        </w:rPr>
      </w:pPr>
      <w:r>
        <w:rPr>
          <w:u w:val="single"/>
        </w:rPr>
        <w:t>Předmět činnosti:</w:t>
      </w:r>
    </w:p>
    <w:p>
      <w:pPr>
        <w:pStyle w:val="Stanoviskotext"/>
        <w:numPr>
          <w:ilvl w:val="0"/>
          <w:numId w:val="20"/>
        </w:numPr>
        <w:tabs>
          <w:tab w:val="left" w:pos="720" w:leader="none"/>
        </w:tabs>
        <w:spacing w:before="0" w:after="0"/>
        <w:ind w:left="720" w:hanging="539"/>
        <w:rPr/>
      </w:pPr>
      <w:r>
        <w:rPr/>
        <w:t>zimní a letní údržba komunikací, dopravního zna</w:t>
      </w:r>
      <w:r>
        <w:rPr/>
        <w:t>č</w:t>
      </w:r>
      <w:r>
        <w:rPr/>
        <w:t>ení a světelné signalizace;</w:t>
      </w:r>
    </w:p>
    <w:p>
      <w:pPr>
        <w:pStyle w:val="Stanoviskotext"/>
        <w:numPr>
          <w:ilvl w:val="0"/>
          <w:numId w:val="20"/>
        </w:numPr>
        <w:tabs>
          <w:tab w:val="left" w:pos="720" w:leader="none"/>
        </w:tabs>
        <w:spacing w:before="0" w:after="0"/>
        <w:ind w:left="720" w:hanging="539"/>
        <w:rPr/>
      </w:pPr>
      <w:r>
        <w:rPr/>
        <w:t>činnosti správního charakteru vykonávané na komunikacích a tunelových stavbách;</w:t>
      </w:r>
    </w:p>
    <w:p>
      <w:pPr>
        <w:pStyle w:val="Stanoviskotext"/>
        <w:numPr>
          <w:ilvl w:val="0"/>
          <w:numId w:val="20"/>
        </w:numPr>
        <w:tabs>
          <w:tab w:val="left" w:pos="720" w:leader="none"/>
        </w:tabs>
        <w:spacing w:before="0" w:after="0"/>
        <w:ind w:left="720" w:hanging="539"/>
        <w:rPr/>
      </w:pPr>
      <w:r>
        <w:rPr/>
        <w:t>vedení evidence komunikačního majetku;</w:t>
      </w:r>
    </w:p>
    <w:p>
      <w:pPr>
        <w:pStyle w:val="Stanoviskotext"/>
        <w:numPr>
          <w:ilvl w:val="0"/>
          <w:numId w:val="20"/>
        </w:numPr>
        <w:tabs>
          <w:tab w:val="left" w:pos="720" w:leader="none"/>
        </w:tabs>
        <w:spacing w:before="0" w:after="0"/>
        <w:ind w:left="720" w:hanging="539"/>
        <w:rPr/>
      </w:pPr>
      <w:r>
        <w:rPr/>
        <w:t>p</w:t>
      </w:r>
      <w:r>
        <w:rPr/>
        <w:t>ř</w:t>
      </w:r>
      <w:r>
        <w:rPr/>
        <w:t>íprava krátkodobých, střednědobých i dlouhodobých plánů oprav komunikačního majetku a ur</w:t>
      </w:r>
      <w:r>
        <w:rPr/>
        <w:t>č</w:t>
      </w:r>
      <w:r>
        <w:rPr/>
        <w:t>ování technologie oprav;</w:t>
      </w:r>
    </w:p>
    <w:p>
      <w:pPr>
        <w:pStyle w:val="Stanoviskotext"/>
        <w:numPr>
          <w:ilvl w:val="0"/>
          <w:numId w:val="20"/>
        </w:numPr>
        <w:tabs>
          <w:tab w:val="left" w:pos="720" w:leader="none"/>
        </w:tabs>
        <w:spacing w:before="0" w:after="0"/>
        <w:ind w:left="720" w:hanging="539"/>
        <w:rPr/>
      </w:pPr>
      <w:r>
        <w:rPr/>
        <w:t>zabezpe</w:t>
      </w:r>
      <w:r>
        <w:rPr/>
        <w:t>č</w:t>
      </w:r>
      <w:r>
        <w:rPr/>
        <w:t>ení správy centrálního řízeni dopravy, provoz zádržných a informačních systémů;</w:t>
      </w:r>
    </w:p>
    <w:p>
      <w:pPr>
        <w:pStyle w:val="Stanoviskotext"/>
        <w:numPr>
          <w:ilvl w:val="0"/>
          <w:numId w:val="20"/>
        </w:numPr>
        <w:tabs>
          <w:tab w:val="left" w:pos="720" w:leader="none"/>
        </w:tabs>
        <w:spacing w:before="0" w:after="0"/>
        <w:ind w:left="720" w:hanging="539"/>
        <w:rPr/>
      </w:pPr>
      <w:r>
        <w:rPr/>
        <w:t>správa parkovacích automat</w:t>
      </w:r>
      <w:r>
        <w:rPr/>
        <w:t>ů</w:t>
      </w:r>
      <w:r>
        <w:rPr/>
        <w:t xml:space="preserve"> a závorových systémů;</w:t>
      </w:r>
    </w:p>
    <w:p>
      <w:pPr>
        <w:pStyle w:val="Stanoviskotext"/>
        <w:numPr>
          <w:ilvl w:val="0"/>
          <w:numId w:val="20"/>
        </w:numPr>
        <w:tabs>
          <w:tab w:val="left" w:pos="720" w:leader="none"/>
        </w:tabs>
        <w:spacing w:before="0" w:after="0"/>
        <w:ind w:left="720" w:hanging="539"/>
        <w:rPr/>
      </w:pPr>
      <w:r>
        <w:rPr/>
        <w:t>provoz, údržba a rozvoj Městského kamerového a dohledového systému m</w:t>
      </w:r>
      <w:r>
        <w:rPr/>
        <w:t>ě</w:t>
      </w:r>
      <w:r>
        <w:rPr/>
        <w:t>sta Brna;</w:t>
      </w:r>
    </w:p>
    <w:p>
      <w:pPr>
        <w:pStyle w:val="Stanoviskotext"/>
        <w:numPr>
          <w:ilvl w:val="0"/>
          <w:numId w:val="20"/>
        </w:numPr>
        <w:tabs>
          <w:tab w:val="left" w:pos="720" w:leader="none"/>
        </w:tabs>
        <w:spacing w:before="0" w:after="0"/>
        <w:ind w:left="720" w:hanging="539"/>
        <w:rPr/>
      </w:pPr>
      <w:r>
        <w:rPr/>
        <w:t xml:space="preserve">technická pomoc, projektové práce a inženýrská </w:t>
      </w:r>
      <w:r>
        <w:rPr/>
        <w:t>č</w:t>
      </w:r>
      <w:r>
        <w:rPr/>
        <w:t>innost v oblasti komunikací na území m</w:t>
      </w:r>
      <w:r>
        <w:rPr/>
        <w:t>ě</w:t>
      </w:r>
      <w:r>
        <w:rPr/>
        <w:t>sta Brna;</w:t>
      </w:r>
    </w:p>
    <w:p>
      <w:pPr>
        <w:pStyle w:val="Stanoviskotext"/>
        <w:numPr>
          <w:ilvl w:val="0"/>
          <w:numId w:val="20"/>
        </w:numPr>
        <w:tabs>
          <w:tab w:val="left" w:pos="720" w:leader="none"/>
        </w:tabs>
        <w:spacing w:before="0" w:after="0"/>
        <w:ind w:left="720" w:hanging="539"/>
        <w:rPr/>
      </w:pPr>
      <w:r>
        <w:rPr/>
        <w:t>odtahy vozidel tvořících překážku silničního provozu;</w:t>
      </w:r>
    </w:p>
    <w:p>
      <w:pPr>
        <w:pStyle w:val="Stanoviskotext"/>
        <w:numPr>
          <w:ilvl w:val="0"/>
          <w:numId w:val="20"/>
        </w:numPr>
        <w:tabs>
          <w:tab w:val="left" w:pos="720" w:leader="none"/>
        </w:tabs>
        <w:spacing w:before="0" w:after="0"/>
        <w:ind w:left="720" w:hanging="539"/>
        <w:rPr/>
      </w:pPr>
      <w:r>
        <w:rPr/>
        <w:t>aktualizace modelů Veřejné hromadné dopravy (VHD) a Individuální automobilové dopravy (IAD);</w:t>
      </w:r>
    </w:p>
    <w:p>
      <w:pPr>
        <w:pStyle w:val="Stanoviskotext"/>
        <w:numPr>
          <w:ilvl w:val="0"/>
          <w:numId w:val="20"/>
        </w:numPr>
        <w:tabs>
          <w:tab w:val="left" w:pos="720" w:leader="none"/>
        </w:tabs>
        <w:spacing w:before="0" w:after="0"/>
        <w:ind w:left="720" w:hanging="539"/>
        <w:rPr/>
      </w:pPr>
      <w:r>
        <w:rPr/>
        <w:t>spole</w:t>
      </w:r>
      <w:r>
        <w:rPr/>
        <w:t>č</w:t>
      </w:r>
      <w:r>
        <w:rPr/>
        <w:t>nost se rovn</w:t>
      </w:r>
      <w:r>
        <w:rPr/>
        <w:t>ěž</w:t>
      </w:r>
      <w:r>
        <w:rPr/>
        <w:t xml:space="preserve"> anga</w:t>
      </w:r>
      <w:r>
        <w:rPr/>
        <w:t>ž</w:t>
      </w:r>
      <w:r>
        <w:rPr/>
        <w:t>uje v oblasti BESIP, zejména v oblasti prevence.</w:t>
      </w:r>
    </w:p>
    <w:p>
      <w:pPr>
        <w:pStyle w:val="Stanoviskotext"/>
        <w:rPr/>
      </w:pPr>
      <w:r>
        <w:rPr/>
        <w:t>Mezi nejv</w:t>
      </w:r>
      <w:r>
        <w:rPr/>
        <w:t>ě</w:t>
      </w:r>
      <w:r>
        <w:rPr/>
        <w:t>t</w:t>
      </w:r>
      <w:r>
        <w:rPr/>
        <w:t>š</w:t>
      </w:r>
      <w:r>
        <w:rPr/>
        <w:t>í odb</w:t>
      </w:r>
      <w:r>
        <w:rPr/>
        <w:t>ě</w:t>
      </w:r>
      <w:r>
        <w:rPr/>
        <w:t>ratele pat</w:t>
      </w:r>
      <w:r>
        <w:rPr/>
        <w:t>ř</w:t>
      </w:r>
      <w:r>
        <w:rPr/>
        <w:t>í statutární m</w:t>
      </w:r>
      <w:r>
        <w:rPr/>
        <w:t>ě</w:t>
      </w:r>
      <w:r>
        <w:rPr/>
        <w:t xml:space="preserve">sto Brno (cca 82 % v roce 2012), Ředitelství silnic a dálnic </w:t>
      </w:r>
      <w:r>
        <w:rPr/>
        <w:t>Č</w:t>
      </w:r>
      <w:r>
        <w:rPr/>
        <w:t>R (cca 8 %) a Správa a údržba silnic Jihomoravského kraje (cca 4 %). Strukturu odběratelů zobrazuje následující graf:</w:t>
      </w:r>
    </w:p>
    <w:p>
      <w:pPr>
        <w:pStyle w:val="Stanoviskotext"/>
        <w:spacing w:lineRule="auto" w:line="240" w:before="240" w:after="0"/>
        <w:jc w:val="center"/>
        <w:rPr/>
      </w:pPr>
      <w:r>
        <w:rPr/>
        <w:drawing>
          <wp:inline distT="0" distB="0" distL="0" distR="0">
            <wp:extent cx="4181475" cy="2476500"/>
            <wp:effectExtent l="0" t="0" r="0" b="0"/>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37"/>
                    <a:stretch>
                      <a:fillRect/>
                    </a:stretch>
                  </pic:blipFill>
                  <pic:spPr bwMode="auto">
                    <a:xfrm>
                      <a:off x="0" y="0"/>
                      <a:ext cx="4181475" cy="2476500"/>
                    </a:xfrm>
                    <a:prstGeom prst="rect">
                      <a:avLst/>
                    </a:prstGeom>
                  </pic:spPr>
                </pic:pic>
              </a:graphicData>
            </a:graphic>
          </wp:inline>
        </w:drawing>
      </w:r>
    </w:p>
    <w:p>
      <w:pPr>
        <w:pStyle w:val="Stanoviskotext"/>
        <w:spacing w:lineRule="auto" w:line="240" w:before="0" w:after="240"/>
        <w:jc w:val="center"/>
        <w:rPr/>
      </w:pPr>
      <w:r>
        <w:rPr>
          <w:i/>
          <w:sz w:val="16"/>
          <w:szCs w:val="16"/>
        </w:rPr>
        <w:t>Graf: Struktura odběratelů Brněnské komunikace a. s.</w:t>
      </w:r>
    </w:p>
    <w:p>
      <w:pPr>
        <w:pStyle w:val="Stanoviskotext"/>
        <w:rPr/>
      </w:pPr>
      <w:r>
        <w:rPr/>
      </w:r>
    </w:p>
    <w:p>
      <w:pPr>
        <w:pStyle w:val="Stanoviskotext"/>
        <w:rPr/>
      </w:pPr>
      <w:r>
        <w:rPr/>
        <w:t>Výkon činností pro statutární město Brno probíhá na základě mandátních smluv (na správu majetku, údržbu komunikací, investorské činnosti, činnost organizátora dopravy). Největší podíl výkonů pak představuje zajištění oprav a údržby komunikací (cca 68 % v roce 2012). Tuto činnost zajišťuje společnost Brněnské komunikace a. s. převážně vlastními silami a částečně subdodavatelsky. Správní činnost a inženýrská činnost pak tvoří cca 28 % celkových výkonů.</w:t>
      </w:r>
    </w:p>
    <w:p>
      <w:pPr>
        <w:pStyle w:val="Stanoviskotext"/>
        <w:rPr/>
      </w:pPr>
      <w:r>
        <w:rPr/>
        <w:t>K 31. 12. 2012 spole</w:t>
      </w:r>
      <w:r>
        <w:rPr/>
        <w:t>č</w:t>
      </w:r>
      <w:r>
        <w:rPr/>
        <w:t>nost disponovala majetkem v po</w:t>
      </w:r>
      <w:r>
        <w:rPr/>
        <w:t>ř</w:t>
      </w:r>
      <w:r>
        <w:rPr/>
        <w:t>izovací cen</w:t>
      </w:r>
      <w:r>
        <w:rPr/>
        <w:t>ě</w:t>
      </w:r>
      <w:r>
        <w:rPr/>
        <w:t xml:space="preserve"> 1 mld. K</w:t>
      </w:r>
      <w:r>
        <w:rPr/>
        <w:t>č</w:t>
      </w:r>
      <w:r>
        <w:rPr/>
        <w:t xml:space="preserve"> (662 mil. K</w:t>
      </w:r>
      <w:r>
        <w:rPr/>
        <w:t>č</w:t>
      </w:r>
      <w:r>
        <w:rPr/>
        <w:t xml:space="preserve"> v z</w:t>
      </w:r>
      <w:r>
        <w:rPr/>
        <w:t>ů</w:t>
      </w:r>
      <w:r>
        <w:rPr/>
        <w:t>statkových cenách). Jeho strukturu zobrazuje graf níže. Z něj je patrné, že nejvýznamnější položkou je dlouhodobý hmotný majetek a krátkodobý finanční majetek tvořený zejména penězi na bankovních účtech.</w:t>
      </w:r>
    </w:p>
    <w:p>
      <w:pPr>
        <w:pStyle w:val="Stanoviskotext"/>
        <w:spacing w:lineRule="auto" w:line="240" w:before="0" w:after="0"/>
        <w:jc w:val="center"/>
        <w:rPr/>
      </w:pPr>
      <w:r>
        <w:rPr/>
        <w:drawing>
          <wp:inline distT="0" distB="0" distL="0" distR="0">
            <wp:extent cx="4171950" cy="2466975"/>
            <wp:effectExtent l="0" t="0" r="0" b="0"/>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38"/>
                    <a:stretch>
                      <a:fillRect/>
                    </a:stretch>
                  </pic:blipFill>
                  <pic:spPr bwMode="auto">
                    <a:xfrm>
                      <a:off x="0" y="0"/>
                      <a:ext cx="4171950" cy="2466975"/>
                    </a:xfrm>
                    <a:prstGeom prst="rect">
                      <a:avLst/>
                    </a:prstGeom>
                  </pic:spPr>
                </pic:pic>
              </a:graphicData>
            </a:graphic>
          </wp:inline>
        </w:drawing>
      </w:r>
    </w:p>
    <w:p>
      <w:pPr>
        <w:pStyle w:val="Stanoviskotext"/>
        <w:spacing w:lineRule="auto" w:line="240" w:before="0" w:after="240"/>
        <w:jc w:val="center"/>
        <w:rPr/>
      </w:pPr>
      <w:r>
        <w:rPr>
          <w:i/>
          <w:sz w:val="16"/>
          <w:szCs w:val="16"/>
        </w:rPr>
        <w:t>Graf: Struktura aktiv Brněnské komunikace a. s.</w:t>
      </w:r>
    </w:p>
    <w:p>
      <w:pPr>
        <w:pStyle w:val="Stanoviskotext"/>
        <w:rPr/>
      </w:pPr>
      <w:r>
        <w:rPr/>
      </w:r>
    </w:p>
    <w:p>
      <w:pPr>
        <w:pStyle w:val="Stanoviskotext"/>
        <w:rPr/>
      </w:pPr>
      <w:r>
        <w:rPr/>
        <w:t>V roce 2012 spole</w:t>
      </w:r>
      <w:r>
        <w:rPr/>
        <w:t>č</w:t>
      </w:r>
      <w:r>
        <w:rPr/>
        <w:t>nost zaměstnávala 327 zam</w:t>
      </w:r>
      <w:r>
        <w:rPr/>
        <w:t>ě</w:t>
      </w:r>
      <w:r>
        <w:rPr/>
        <w:t>stnanc</w:t>
      </w:r>
      <w:r>
        <w:rPr/>
        <w:t>ů</w:t>
      </w:r>
      <w:r>
        <w:rPr/>
        <w:t xml:space="preserve"> v přepočteném stavu, z toho 203 technickohospodářských pracovníků, 119 dělníků a 5 vedoucích pracovníků (na 1 km spravovaných komunikací připadá 0,41 zaměstnanců).</w:t>
      </w:r>
    </w:p>
    <w:p>
      <w:pPr>
        <w:pStyle w:val="Stanoviskotext"/>
        <w:rPr/>
      </w:pPr>
      <w:r>
        <w:rPr/>
        <w:t>V roce 2012 dosáhla společnost hospodářského výsledku ve výši 25.651 tis. Kč, tj. cca 32 tis. na 1 km spravovaných komunikací.</w:t>
      </w:r>
    </w:p>
    <w:p>
      <w:pPr>
        <w:pStyle w:val="Stanoviskotext"/>
        <w:rPr/>
      </w:pPr>
      <w:r>
        <w:rPr/>
        <w:t>Společnost dosahovala v letech 2008 až 2012 průměrné provozní ziskové marže před odpisy ve výši 14,1 %, po odpisech pak 6,9 %.</w:t>
      </w:r>
    </w:p>
    <w:p>
      <w:pPr>
        <w:pStyle w:val="Stanoviskotext"/>
        <w:rPr/>
      </w:pPr>
      <w:r>
        <w:rPr/>
      </w:r>
    </w:p>
    <w:p>
      <w:pPr>
        <w:pStyle w:val="Stanovisko3"/>
        <w:numPr>
          <w:ilvl w:val="2"/>
          <w:numId w:val="2"/>
        </w:numPr>
        <w:rPr/>
      </w:pPr>
      <w:bookmarkStart w:id="9" w:name="__RefHeading___Toc382588294"/>
      <w:bookmarkEnd w:id="9"/>
      <w:r>
        <w:rPr/>
        <w:t>Ostravské komunikace, a. s.</w:t>
      </w:r>
    </w:p>
    <w:p>
      <w:pPr>
        <w:pStyle w:val="Stanoviskotext"/>
        <w:rPr/>
      </w:pPr>
      <w:r>
        <w:rPr/>
        <w:t xml:space="preserve">Společnost Ostravské komunikace, a. s., vykonává činnosti, které jsou nutné pro správu a celoroční údržbu komunikací v celkové délce cca 370 km, jejich příslušenství a mostů na území města Ostravy, </w:t>
      </w:r>
      <w:r>
        <w:rPr>
          <w:b/>
        </w:rPr>
        <w:t>svěřených Ostravským komunikacím, a. s., do správy</w:t>
      </w:r>
      <w:r>
        <w:rPr/>
        <w:t xml:space="preserve"> statutárním městem Ostrava, Moravskoslezským krajem a ČR.</w:t>
      </w:r>
    </w:p>
    <w:p>
      <w:pPr>
        <w:pStyle w:val="Stanoviskotext"/>
        <w:rPr>
          <w:u w:val="single"/>
        </w:rPr>
      </w:pPr>
      <w:r>
        <w:rPr>
          <w:u w:val="single"/>
        </w:rPr>
        <w:t>Jedná se především o tyto činnosti:</w:t>
      </w:r>
    </w:p>
    <w:p>
      <w:pPr>
        <w:pStyle w:val="Stanoviskotext"/>
        <w:numPr>
          <w:ilvl w:val="0"/>
          <w:numId w:val="20"/>
        </w:numPr>
        <w:tabs>
          <w:tab w:val="left" w:pos="720" w:leader="none"/>
        </w:tabs>
        <w:spacing w:before="0" w:after="0"/>
        <w:ind w:left="720" w:hanging="539"/>
        <w:rPr/>
      </w:pPr>
      <w:r>
        <w:rPr/>
        <w:t>letní údržba komunikací, včetně příslušenství;</w:t>
      </w:r>
    </w:p>
    <w:p>
      <w:pPr>
        <w:pStyle w:val="Stanoviskotext"/>
        <w:numPr>
          <w:ilvl w:val="0"/>
          <w:numId w:val="20"/>
        </w:numPr>
        <w:tabs>
          <w:tab w:val="left" w:pos="720" w:leader="none"/>
        </w:tabs>
        <w:spacing w:before="0" w:after="0"/>
        <w:ind w:left="720" w:hanging="539"/>
        <w:rPr/>
      </w:pPr>
      <w:r>
        <w:rPr/>
        <w:t>zajišťování sjízdnosti v zimním období;</w:t>
      </w:r>
    </w:p>
    <w:p>
      <w:pPr>
        <w:pStyle w:val="Stanoviskotext"/>
        <w:numPr>
          <w:ilvl w:val="0"/>
          <w:numId w:val="20"/>
        </w:numPr>
        <w:tabs>
          <w:tab w:val="left" w:pos="720" w:leader="none"/>
        </w:tabs>
        <w:spacing w:before="0" w:after="0"/>
        <w:ind w:left="720" w:hanging="539"/>
        <w:rPr/>
      </w:pPr>
      <w:r>
        <w:rPr/>
        <w:t>údržba a opravy mostů a lávek;</w:t>
      </w:r>
    </w:p>
    <w:p>
      <w:pPr>
        <w:pStyle w:val="Stanoviskotext"/>
        <w:numPr>
          <w:ilvl w:val="0"/>
          <w:numId w:val="20"/>
        </w:numPr>
        <w:tabs>
          <w:tab w:val="left" w:pos="720" w:leader="none"/>
        </w:tabs>
        <w:spacing w:before="0" w:after="0"/>
        <w:ind w:left="720" w:hanging="539"/>
        <w:rPr/>
      </w:pPr>
      <w:r>
        <w:rPr/>
        <w:t>údržba dopravního značení;</w:t>
      </w:r>
    </w:p>
    <w:p>
      <w:pPr>
        <w:pStyle w:val="Stanoviskotext"/>
        <w:numPr>
          <w:ilvl w:val="0"/>
          <w:numId w:val="20"/>
        </w:numPr>
        <w:tabs>
          <w:tab w:val="left" w:pos="720" w:leader="none"/>
        </w:tabs>
        <w:spacing w:before="0" w:after="0"/>
        <w:ind w:left="720" w:hanging="539"/>
        <w:rPr/>
      </w:pPr>
      <w:r>
        <w:rPr/>
        <w:t>údržba silniční zeleně;</w:t>
      </w:r>
    </w:p>
    <w:p>
      <w:pPr>
        <w:pStyle w:val="Stanoviskotext"/>
        <w:numPr>
          <w:ilvl w:val="0"/>
          <w:numId w:val="20"/>
        </w:numPr>
        <w:tabs>
          <w:tab w:val="left" w:pos="720" w:leader="none"/>
        </w:tabs>
        <w:spacing w:before="0" w:after="0"/>
        <w:ind w:left="720" w:hanging="539"/>
        <w:rPr/>
      </w:pPr>
      <w:r>
        <w:rPr/>
        <w:t>správa místních komunikací a silniční sítě;</w:t>
      </w:r>
    </w:p>
    <w:p>
      <w:pPr>
        <w:pStyle w:val="Stanoviskotext"/>
        <w:numPr>
          <w:ilvl w:val="0"/>
          <w:numId w:val="20"/>
        </w:numPr>
        <w:tabs>
          <w:tab w:val="left" w:pos="720" w:leader="none"/>
        </w:tabs>
        <w:spacing w:before="0" w:after="0"/>
        <w:ind w:left="720" w:hanging="539"/>
        <w:rPr/>
      </w:pPr>
      <w:r>
        <w:rPr/>
        <w:t>údržba sítě kolektorů a jejich pronajímání uživatelům;</w:t>
      </w:r>
    </w:p>
    <w:p>
      <w:pPr>
        <w:pStyle w:val="Stanoviskotext"/>
        <w:numPr>
          <w:ilvl w:val="0"/>
          <w:numId w:val="20"/>
        </w:numPr>
        <w:tabs>
          <w:tab w:val="left" w:pos="720" w:leader="none"/>
        </w:tabs>
        <w:spacing w:before="0" w:after="0"/>
        <w:ind w:left="720" w:hanging="539"/>
        <w:rPr/>
      </w:pPr>
      <w:r>
        <w:rPr/>
        <w:t>správa, údržba a provozování sítě veškerého veřejného osvětlení statutárního města Ostravy;</w:t>
      </w:r>
    </w:p>
    <w:p>
      <w:pPr>
        <w:pStyle w:val="Stanoviskotext"/>
        <w:numPr>
          <w:ilvl w:val="0"/>
          <w:numId w:val="20"/>
        </w:numPr>
        <w:tabs>
          <w:tab w:val="left" w:pos="720" w:leader="none"/>
        </w:tabs>
        <w:spacing w:before="0" w:after="0"/>
        <w:ind w:left="720" w:hanging="539"/>
        <w:rPr/>
      </w:pPr>
      <w:r>
        <w:rPr/>
        <w:t>údržba a provoz veškerého světelného signalizačního zařízení na křižovatkách a přechodech pro chodce;</w:t>
      </w:r>
    </w:p>
    <w:p>
      <w:pPr>
        <w:pStyle w:val="Stanoviskotext"/>
        <w:numPr>
          <w:ilvl w:val="0"/>
          <w:numId w:val="20"/>
        </w:numPr>
        <w:tabs>
          <w:tab w:val="left" w:pos="720" w:leader="none"/>
        </w:tabs>
        <w:spacing w:before="0" w:after="0"/>
        <w:ind w:left="720" w:hanging="539"/>
        <w:rPr/>
      </w:pPr>
      <w:r>
        <w:rPr/>
        <w:t>projekční práce, inženýrská činnost, dopravní průzkumy;</w:t>
      </w:r>
    </w:p>
    <w:p>
      <w:pPr>
        <w:pStyle w:val="Stanoviskotext"/>
        <w:numPr>
          <w:ilvl w:val="0"/>
          <w:numId w:val="20"/>
        </w:numPr>
        <w:tabs>
          <w:tab w:val="left" w:pos="720" w:leader="none"/>
        </w:tabs>
        <w:spacing w:before="0" w:after="0"/>
        <w:ind w:left="720" w:hanging="539"/>
        <w:rPr/>
      </w:pPr>
      <w:r>
        <w:rPr/>
        <w:t>provoz a údržba parkovacích automatů;</w:t>
      </w:r>
    </w:p>
    <w:p>
      <w:pPr>
        <w:pStyle w:val="Stanoviskotext"/>
        <w:numPr>
          <w:ilvl w:val="0"/>
          <w:numId w:val="20"/>
        </w:numPr>
        <w:tabs>
          <w:tab w:val="left" w:pos="720" w:leader="none"/>
        </w:tabs>
        <w:spacing w:before="0" w:after="0"/>
        <w:ind w:left="720" w:hanging="539"/>
        <w:rPr/>
      </w:pPr>
      <w:r>
        <w:rPr/>
        <w:t>provozování patrových garáží v Ostravě.</w:t>
      </w:r>
    </w:p>
    <w:p>
      <w:pPr>
        <w:pStyle w:val="Stanoviskotext"/>
        <w:rPr>
          <w:u w:val="single"/>
        </w:rPr>
      </w:pPr>
      <w:r>
        <w:rPr>
          <w:u w:val="single"/>
        </w:rPr>
      </w:r>
    </w:p>
    <w:p>
      <w:pPr>
        <w:pStyle w:val="Stanoviskotext"/>
        <w:rPr>
          <w:u w:val="single"/>
        </w:rPr>
      </w:pPr>
      <w:r>
        <w:rPr>
          <w:u w:val="single"/>
        </w:rPr>
        <w:t>Kromě těchto hlavních činností akciová společnost realizuje:</w:t>
      </w:r>
    </w:p>
    <w:p>
      <w:pPr>
        <w:pStyle w:val="Stanoviskotext"/>
        <w:numPr>
          <w:ilvl w:val="0"/>
          <w:numId w:val="20"/>
        </w:numPr>
        <w:spacing w:before="0" w:after="0"/>
        <w:ind w:left="538" w:hanging="357"/>
        <w:rPr/>
      </w:pPr>
      <w:r>
        <w:rPr/>
        <w:t>pronájem sloupů veřejného osvětlení pro reklamní účely;</w:t>
      </w:r>
    </w:p>
    <w:p>
      <w:pPr>
        <w:pStyle w:val="Stanoviskotext"/>
        <w:numPr>
          <w:ilvl w:val="0"/>
          <w:numId w:val="20"/>
        </w:numPr>
        <w:spacing w:before="0" w:after="0"/>
        <w:ind w:left="538" w:hanging="357"/>
        <w:rPr/>
      </w:pPr>
      <w:r>
        <w:rPr/>
        <w:t>práce stavebními mechanismy;</w:t>
      </w:r>
    </w:p>
    <w:p>
      <w:pPr>
        <w:pStyle w:val="Stanoviskotext"/>
        <w:numPr>
          <w:ilvl w:val="0"/>
          <w:numId w:val="20"/>
        </w:numPr>
        <w:spacing w:before="0" w:after="0"/>
        <w:ind w:left="538" w:hanging="357"/>
        <w:rPr/>
      </w:pPr>
      <w:r>
        <w:rPr/>
        <w:t>opravy a údržbu vozidel;</w:t>
      </w:r>
    </w:p>
    <w:p>
      <w:pPr>
        <w:pStyle w:val="Stanoviskotext"/>
        <w:numPr>
          <w:ilvl w:val="0"/>
          <w:numId w:val="20"/>
        </w:numPr>
        <w:spacing w:before="0" w:after="0"/>
        <w:ind w:left="538" w:hanging="357"/>
        <w:rPr/>
      </w:pPr>
      <w:r>
        <w:rPr/>
        <w:t>stavební práce;</w:t>
      </w:r>
    </w:p>
    <w:p>
      <w:pPr>
        <w:pStyle w:val="Stanoviskotext"/>
        <w:numPr>
          <w:ilvl w:val="0"/>
          <w:numId w:val="20"/>
        </w:numPr>
        <w:spacing w:before="0" w:after="0"/>
        <w:ind w:left="538" w:hanging="357"/>
        <w:rPr/>
      </w:pPr>
      <w:r>
        <w:rPr/>
        <w:t>instalace dopravního značení a prodej dopravních značek;</w:t>
      </w:r>
    </w:p>
    <w:p>
      <w:pPr>
        <w:pStyle w:val="Stanoviskotext"/>
        <w:numPr>
          <w:ilvl w:val="0"/>
          <w:numId w:val="20"/>
        </w:numPr>
        <w:spacing w:before="0" w:after="0"/>
        <w:ind w:left="538" w:hanging="357"/>
        <w:rPr/>
      </w:pPr>
      <w:r>
        <w:rPr/>
        <w:t>instalace veřejného osvětlení a reklamy na sloupech veřejného osvětlení;</w:t>
      </w:r>
    </w:p>
    <w:p>
      <w:pPr>
        <w:pStyle w:val="Stanoviskotext"/>
        <w:numPr>
          <w:ilvl w:val="0"/>
          <w:numId w:val="20"/>
        </w:numPr>
        <w:spacing w:before="0" w:after="0"/>
        <w:ind w:left="538" w:hanging="357"/>
        <w:rPr/>
      </w:pPr>
      <w:r>
        <w:rPr/>
        <w:t>výkony nákladní dopravy a stavebních mechanismů;</w:t>
      </w:r>
    </w:p>
    <w:p>
      <w:pPr>
        <w:pStyle w:val="Stanoviskotext"/>
        <w:numPr>
          <w:ilvl w:val="0"/>
          <w:numId w:val="20"/>
        </w:numPr>
        <w:spacing w:before="0" w:after="0"/>
        <w:ind w:left="538" w:hanging="357"/>
        <w:rPr/>
      </w:pPr>
      <w:r>
        <w:rPr/>
        <w:t>prodej železného šrotu a technologického odpadu;</w:t>
      </w:r>
    </w:p>
    <w:p>
      <w:pPr>
        <w:pStyle w:val="Stanoviskotext"/>
        <w:numPr>
          <w:ilvl w:val="0"/>
          <w:numId w:val="20"/>
        </w:numPr>
        <w:spacing w:before="0" w:after="0"/>
        <w:ind w:left="538" w:hanging="357"/>
        <w:rPr/>
      </w:pPr>
      <w:r>
        <w:rPr/>
        <w:t>projekční práce, dopravní průzkumy.</w:t>
      </w:r>
    </w:p>
    <w:p>
      <w:pPr>
        <w:pStyle w:val="Normal"/>
        <w:autoSpaceDE w:val="false"/>
        <w:rPr>
          <w:rFonts w:ascii="FrutigerCE-Light" w:hAnsi="FrutigerCE-Light" w:cs="FrutigerCE-Light"/>
        </w:rPr>
      </w:pPr>
      <w:r>
        <w:rPr>
          <w:rFonts w:cs="FrutigerCE-Light" w:ascii="FrutigerCE-Light" w:hAnsi="FrutigerCE-Light"/>
        </w:rPr>
      </w:r>
    </w:p>
    <w:p>
      <w:pPr>
        <w:pStyle w:val="Stanoviskotext"/>
        <w:rPr/>
      </w:pPr>
      <w:r>
        <w:rPr/>
        <w:t>Nejvýznamnější činností v portfoliu služeb poskytovaných Ostravskými komunikacemi, a. s., je zimní údržba vozovek, která v roce 2012 dosáhla 43,2 mil. Kč.</w:t>
      </w:r>
    </w:p>
    <w:p>
      <w:pPr>
        <w:pStyle w:val="Stanoviskotext"/>
        <w:rPr/>
      </w:pPr>
      <w:r>
        <w:rPr/>
        <w:t>Nejvýznamnějšími zákazníky jsou statutární město Ostrava (63 %), Ředitelství silnic a dálnic ČR (11 %) a Správa silnic Moravskoslezského kraje (9 %). Stále významnější jsou také výkony, které byly provedeny pro další zákazníky z 17 %.</w:t>
      </w:r>
    </w:p>
    <w:p>
      <w:pPr>
        <w:pStyle w:val="Stanoviskotext"/>
        <w:rPr/>
      </w:pPr>
      <w:r>
        <w:rPr/>
      </w:r>
    </w:p>
    <w:p>
      <w:pPr>
        <w:pStyle w:val="Stanoviskotext"/>
        <w:spacing w:lineRule="auto" w:line="240" w:before="240" w:after="0"/>
        <w:jc w:val="center"/>
        <w:rPr>
          <w:i/>
          <w:i/>
        </w:rPr>
      </w:pPr>
      <w:r>
        <w:rPr/>
        <w:drawing>
          <wp:inline distT="0" distB="0" distL="0" distR="0">
            <wp:extent cx="4191000" cy="2486025"/>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39"/>
                    <a:stretch>
                      <a:fillRect/>
                    </a:stretch>
                  </pic:blipFill>
                  <pic:spPr bwMode="auto">
                    <a:xfrm>
                      <a:off x="0" y="0"/>
                      <a:ext cx="4191000" cy="2486025"/>
                    </a:xfrm>
                    <a:prstGeom prst="rect">
                      <a:avLst/>
                    </a:prstGeom>
                  </pic:spPr>
                </pic:pic>
              </a:graphicData>
            </a:graphic>
          </wp:inline>
        </w:drawing>
      </w:r>
    </w:p>
    <w:p>
      <w:pPr>
        <w:pStyle w:val="Stanoviskotext"/>
        <w:spacing w:lineRule="auto" w:line="240" w:before="0" w:after="240"/>
        <w:jc w:val="center"/>
        <w:rPr/>
      </w:pPr>
      <w:r>
        <w:rPr>
          <w:i/>
          <w:sz w:val="16"/>
          <w:szCs w:val="16"/>
        </w:rPr>
        <w:t>Graf: Struktura odběratelů Ostravské komunikace, a. s.</w:t>
      </w:r>
    </w:p>
    <w:p>
      <w:pPr>
        <w:pStyle w:val="Stanoviskotext"/>
        <w:rPr/>
      </w:pPr>
      <w:r>
        <w:rPr/>
      </w:r>
    </w:p>
    <w:p>
      <w:pPr>
        <w:pStyle w:val="Stanoviskotext"/>
        <w:rPr/>
      </w:pPr>
      <w:r>
        <w:rPr/>
        <w:t>Výkon činností pro město Ostravu probíhá na základě mandátní smlouvy a smlouvy o dílo.</w:t>
      </w:r>
      <w:r>
        <w:rPr>
          <w:color w:val="000080"/>
        </w:rPr>
        <w:t xml:space="preserve"> </w:t>
      </w:r>
      <w:r>
        <w:rPr/>
        <w:t>Opravy a údržbu, včetně veřejného osvětlení, provádí společnost především vlastními kapacitami.</w:t>
      </w:r>
    </w:p>
    <w:p>
      <w:pPr>
        <w:pStyle w:val="Stanoviskotext"/>
        <w:rPr/>
      </w:pPr>
      <w:r>
        <w:rPr/>
        <w:t>K 31. 12. 2012 spole</w:t>
      </w:r>
      <w:r>
        <w:rPr/>
        <w:t>č</w:t>
      </w:r>
      <w:r>
        <w:rPr/>
        <w:t>nost disponovala majetkem v hodnotě 334 mil. Kč. Jeho strukturu zobrazuje graf níže.</w:t>
      </w:r>
      <w:r>
        <w:rPr>
          <w:color w:val="000080"/>
        </w:rPr>
        <w:t xml:space="preserve"> </w:t>
      </w:r>
      <w:r>
        <w:rPr/>
        <w:t>Z něj je patrné, že nejvýznamnější položkou je dlouhodobý hmotný majetek, který je tvořen pozemky, stavbami a samostatnými movitými věcmi v rovnoměrném poměru.</w:t>
      </w:r>
    </w:p>
    <w:p>
      <w:pPr>
        <w:pStyle w:val="Stanoviskotext"/>
        <w:spacing w:lineRule="auto" w:line="240" w:before="0" w:after="0"/>
        <w:rPr/>
      </w:pPr>
      <w:r>
        <w:rPr/>
        <w:drawing>
          <wp:inline distT="0" distB="0" distL="0" distR="0">
            <wp:extent cx="2805430" cy="1691640"/>
            <wp:effectExtent l="0" t="0" r="0" b="0"/>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40"/>
                    <a:stretch>
                      <a:fillRect/>
                    </a:stretch>
                  </pic:blipFill>
                  <pic:spPr bwMode="auto">
                    <a:xfrm>
                      <a:off x="0" y="0"/>
                      <a:ext cx="2805430" cy="1691640"/>
                    </a:xfrm>
                    <a:prstGeom prst="rect">
                      <a:avLst/>
                    </a:prstGeom>
                  </pic:spPr>
                </pic:pic>
              </a:graphicData>
            </a:graphic>
          </wp:inline>
        </w:drawing>
      </w:r>
      <w:r>
        <w:rPr/>
        <w:drawing>
          <wp:inline distT="0" distB="0" distL="0" distR="0">
            <wp:extent cx="2807970" cy="1692910"/>
            <wp:effectExtent l="0" t="0" r="0" b="0"/>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41"/>
                    <a:stretch>
                      <a:fillRect/>
                    </a:stretch>
                  </pic:blipFill>
                  <pic:spPr bwMode="auto">
                    <a:xfrm>
                      <a:off x="0" y="0"/>
                      <a:ext cx="2807970" cy="1692910"/>
                    </a:xfrm>
                    <a:prstGeom prst="rect">
                      <a:avLst/>
                    </a:prstGeom>
                  </pic:spPr>
                </pic:pic>
              </a:graphicData>
            </a:graphic>
          </wp:inline>
        </w:drawing>
      </w:r>
    </w:p>
    <w:p>
      <w:pPr>
        <w:pStyle w:val="Stanoviskotext"/>
        <w:tabs>
          <w:tab w:val="center" w:pos="6660" w:leader="none"/>
        </w:tabs>
        <w:spacing w:lineRule="auto" w:line="240" w:before="0" w:after="240"/>
        <w:ind w:firstLine="180"/>
        <w:rPr/>
      </w:pPr>
      <w:r>
        <w:rPr>
          <w:i/>
          <w:sz w:val="16"/>
          <w:szCs w:val="16"/>
        </w:rPr>
        <w:t>Graf: Struktura aktiv Ostravské komunikace, a. s.</w:t>
        <w:tab/>
        <w:t>Graf: Struktura DHM Ostravské komunikace, a. s.</w:t>
      </w:r>
    </w:p>
    <w:p>
      <w:pPr>
        <w:pStyle w:val="Stanoviskotext"/>
        <w:rPr>
          <w:color w:val="000080"/>
        </w:rPr>
      </w:pPr>
      <w:r>
        <w:rPr>
          <w:color w:val="000080"/>
        </w:rPr>
      </w:r>
    </w:p>
    <w:p>
      <w:pPr>
        <w:pStyle w:val="Stanoviskotext"/>
        <w:rPr/>
      </w:pPr>
      <w:r>
        <w:rPr/>
        <w:t>V roce 2012 spole</w:t>
      </w:r>
      <w:r>
        <w:rPr/>
        <w:t>č</w:t>
      </w:r>
      <w:r>
        <w:rPr/>
        <w:t>nost zaměstnávala 253 zam</w:t>
      </w:r>
      <w:r>
        <w:rPr/>
        <w:t>ě</w:t>
      </w:r>
      <w:r>
        <w:rPr/>
        <w:t>stnanc</w:t>
      </w:r>
      <w:r>
        <w:rPr/>
        <w:t>ů</w:t>
      </w:r>
      <w:r>
        <w:rPr/>
        <w:t xml:space="preserve"> (na 1 km spravovaných komunikací připadá 0,68 zaměstnanců).</w:t>
      </w:r>
    </w:p>
    <w:p>
      <w:pPr>
        <w:pStyle w:val="Stanoviskotext"/>
        <w:rPr/>
      </w:pPr>
      <w:r>
        <w:rPr/>
        <w:t>V roce 2012 dosáhla společnost hospodářského výsledku ve výši 30.957 tis. Kč, tj. cca 84 tis. na 1 km spravovaných komunikací.</w:t>
      </w:r>
    </w:p>
    <w:p>
      <w:pPr>
        <w:pStyle w:val="Stanoviskotext"/>
        <w:rPr/>
      </w:pPr>
      <w:r>
        <w:rPr/>
        <w:t>Společnost dosahovala v letech 2008 až 2012 průměrné provozní ziskové marže před odpisy ve výši 13,4 %, po odpisech pak 10,5 %.</w:t>
      </w:r>
      <w:r>
        <w:br w:type="page"/>
      </w:r>
    </w:p>
    <w:p>
      <w:pPr>
        <w:pStyle w:val="Stanovisko1"/>
        <w:numPr>
          <w:ilvl w:val="0"/>
          <w:numId w:val="2"/>
        </w:numPr>
        <w:tabs>
          <w:tab w:val="left" w:pos="1080" w:leader="none"/>
        </w:tabs>
        <w:ind w:left="1080" w:hanging="1080"/>
        <w:rPr/>
      </w:pPr>
      <w:bookmarkStart w:id="10" w:name="__RefHeading___Toc382588295"/>
      <w:bookmarkEnd w:id="10"/>
      <w:r>
        <w:rPr/>
        <w:t>Jednorázové náklady spojené s transformací</w:t>
      </w:r>
    </w:p>
    <w:p>
      <w:pPr>
        <w:pStyle w:val="Stanoviskotext"/>
        <w:rPr/>
      </w:pPr>
      <w:r>
        <w:rPr/>
        <w:t xml:space="preserve">Při změně právní formy je nezbytné počítat s náklady spojenými s provedením samotné transformace, které bude transformace z ekonomického hlediska generovat, ať už bude přistoupeno ke kterékoliv z variant transformace uvedené ve třetí části právního stanoviska. Jedná se o </w:t>
      </w:r>
      <w:r>
        <w:rPr>
          <w:b/>
        </w:rPr>
        <w:t>jednorázové náklady</w:t>
      </w:r>
      <w:r>
        <w:rPr/>
        <w:t>, které budou představovat zejména:</w:t>
      </w:r>
    </w:p>
    <w:p>
      <w:pPr>
        <w:pStyle w:val="Stanoviskotext"/>
        <w:numPr>
          <w:ilvl w:val="0"/>
          <w:numId w:val="6"/>
        </w:numPr>
        <w:rPr/>
      </w:pPr>
      <w:r>
        <w:rPr/>
        <w:t>náklady vynaložené na tzv. due diligence smluvních vztahů, na nutnost jehož provedení právní stanovisko upozorňuje a na základě kterého by mělo být definováno, co bude předmětem vkladu do nově vzniklé obchodní společnosti.</w:t>
      </w:r>
      <w:r>
        <w:rPr>
          <w:highlight w:val="yellow"/>
        </w:rPr>
        <w:t xml:space="preserve"> </w:t>
      </w:r>
      <w:r>
        <w:rPr/>
        <w:t>Konkrétní výše těchto nákladů se bude odvíjet od rozsahu prověřovaných skutečností, proto je na základě dostupných informací nelze odhadnout;</w:t>
      </w:r>
    </w:p>
    <w:p>
      <w:pPr>
        <w:pStyle w:val="Stanoviskotext"/>
        <w:numPr>
          <w:ilvl w:val="0"/>
          <w:numId w:val="6"/>
        </w:numPr>
        <w:rPr/>
      </w:pPr>
      <w:r>
        <w:rPr/>
        <w:t>poplatky spojené se zápisem do obchodního rejstříku, sepsáním zakladatelských dokumentů a odměna notáře (ne výše než 100.000,- Kč);</w:t>
      </w:r>
    </w:p>
    <w:p>
      <w:pPr>
        <w:pStyle w:val="Stanoviskotext"/>
        <w:numPr>
          <w:ilvl w:val="0"/>
          <w:numId w:val="6"/>
        </w:numPr>
        <w:rPr/>
      </w:pPr>
      <w:r>
        <w:rPr/>
        <w:t>náklady na ocenění nepeněžitého vkladu do obchodní společnosti. Jejich výše se bude odvíjet od skutečnosti, jaký majetek a v jakém rozsahu bude do nově vznikající společnosti vkládán (cca 50.000,- Kč).</w:t>
      </w:r>
    </w:p>
    <w:p>
      <w:pPr>
        <w:pStyle w:val="Stanoviskotext"/>
        <w:rPr/>
      </w:pPr>
      <w:r>
        <w:rPr/>
        <w:t>Další náklady se budou odvíjet od provedeného auditu smluv navrženého v právním stanovisku a v současnosti je nelze odhadnout.</w:t>
      </w:r>
    </w:p>
    <w:p>
      <w:pPr>
        <w:pStyle w:val="Stanoviskotext"/>
        <w:rPr/>
      </w:pPr>
      <w:r>
        <w:rPr>
          <w:b/>
        </w:rPr>
        <w:t>Náklady na existenci zbytkového podniku</w:t>
      </w:r>
      <w:r>
        <w:rPr/>
        <w:t xml:space="preserve"> budou představovat především navýšené náklady na mzdy pro zaměstnance, kteří zůstanou ve zbytkovém podniku, případně kteří dostanou problematiku zbytkového podniku ve vzniklé obchodní společnosti na starost. Výše těchto nákladů bude záviset na tom, jak se HMP rozhodne ohledně velikosti zbytkového podniku: pokud bude zbytkový podnik sloužit pouze k zajištění nezbytné administrativy a již nebude vykonávat žádnou jinou činnost, dá se předpokládat, že tyto náklady budou zanedbatelné.</w:t>
      </w:r>
    </w:p>
    <w:p>
      <w:pPr>
        <w:pStyle w:val="Stanoviskotext"/>
        <w:rPr/>
      </w:pPr>
      <w:r>
        <w:rPr/>
        <w:t>V návaznosti na zvolenou variantu provedení bude výsledkem transformace existence nové obchodní společnosti s eventualitou existence zbytkového podniku. Právní stanovisko advokátní kanceláře Becker a Poliakoff, s.r.o., ve své osmé části uvádí možnosti naložení se zbytkovým podnikem, a to postoupení smluv a pohledávek ze zbytkového podniku na akciovou společnost, uzavření smlouvy o pachtu závodu mezi zbytkovým podnikem (příspěvkovou organizací) a akciovou společností a konečně smlouvy o koupi závodu.</w:t>
      </w:r>
    </w:p>
    <w:p>
      <w:pPr>
        <w:pStyle w:val="Stanoviskotext"/>
        <w:rPr/>
      </w:pPr>
      <w:r>
        <w:rPr/>
        <w:t xml:space="preserve">Z ekonomického hlediska můžeme konstatovat, že </w:t>
      </w:r>
      <w:r>
        <w:rPr>
          <w:b/>
        </w:rPr>
        <w:t>náklady spojené s pachtem závodu</w:t>
      </w:r>
      <w:r>
        <w:rPr/>
        <w:t xml:space="preserve"> by představovaly zejména náklady na studii transferových cen pro stanovení/posouzení ceny sjednané mezi osobami spojenými za pacht závodu (cca 200.000,- Kč). Pachtovné by mělo být stanoveno na základě rozhodnutí zřizovatele o ziskovosti obchodní společnosti s přihlédnutím k obvyklé marži a efektivnosti, předmětu a struktuře pachtovaného závodu. Smlouva o pachtu závodu dále může generovat dodatečnou daňovou povinnost k dani z přidané hodnoty.</w:t>
      </w:r>
    </w:p>
    <w:p>
      <w:pPr>
        <w:pStyle w:val="Stanoviskotext"/>
        <w:rPr/>
      </w:pPr>
      <w:r>
        <w:rPr>
          <w:b/>
        </w:rPr>
        <w:t>Náklady při prodeji závodu</w:t>
      </w:r>
      <w:r>
        <w:rPr/>
        <w:t xml:space="preserve"> nově vznikající obchodní společnosti by představovaly zejména náklady na ocenění závodu při jeho prodeji nově vznikající obchodní společnosti.</w:t>
      </w:r>
    </w:p>
    <w:p>
      <w:pPr>
        <w:pStyle w:val="Stanoviskotext"/>
        <w:rPr/>
      </w:pPr>
      <w:r>
        <w:rPr/>
        <w:t>Je potřeba připomenout, že některé náklady, které zde uvádíme jako náklady transformační, by TSK měla v návaznosti na změnu legislativy a z ní vyplývajících rizik vynaložit bez ohledu na rozhodnutí, zda transformace proběhne či nikoliv. Jednalo by se především o náklady na audit smluvních vztahů a náklady na provedení analýzy a implementace KPI (viz sedmá část této analýzy).</w:t>
      </w:r>
      <w:r>
        <w:br w:type="page"/>
      </w:r>
    </w:p>
    <w:p>
      <w:pPr>
        <w:pStyle w:val="Stanovisko1"/>
        <w:numPr>
          <w:ilvl w:val="0"/>
          <w:numId w:val="2"/>
        </w:numPr>
        <w:tabs>
          <w:tab w:val="left" w:pos="1080" w:leader="none"/>
        </w:tabs>
        <w:ind w:left="1080" w:hanging="1080"/>
        <w:rPr/>
      </w:pPr>
      <w:bookmarkStart w:id="11" w:name="__RefHeading___Toc382588296"/>
      <w:bookmarkEnd w:id="11"/>
      <w:r>
        <w:rPr/>
        <w:t>Financování zajištění správy komunikací obchodní společností TSK</w:t>
      </w:r>
    </w:p>
    <w:p>
      <w:pPr>
        <w:pStyle w:val="Stanoviskotext"/>
        <w:rPr/>
      </w:pPr>
      <w:r>
        <w:rPr/>
        <w:t>Alternativy zajištění správy komunikací obchodní korporací TSK uvádí právní stanovisko advokátní kanceláře Becker a Poliakoff, s.r.o., ve své šesté části. Z ekonomického hlediska však lze konstatovat, že na financování zajištění správy komunikací obchodní společností TSK nebude mít konkrétní zvolený smluvní typ význam.</w:t>
      </w:r>
    </w:p>
    <w:p>
      <w:pPr>
        <w:pStyle w:val="Stanoviskotext"/>
        <w:rPr/>
      </w:pPr>
      <w:r>
        <w:rPr/>
        <w:t>Vzájemné závazky obchodní společnosti TSK a HMP a z nich vyplývající finanční toky je obecně možno uskutečnit prostřednictvím následujících variant:</w:t>
      </w:r>
    </w:p>
    <w:p>
      <w:pPr>
        <w:pStyle w:val="Stanoviskotext"/>
        <w:numPr>
          <w:ilvl w:val="0"/>
          <w:numId w:val="12"/>
        </w:numPr>
        <w:rPr/>
      </w:pPr>
      <w:r>
        <w:rPr/>
        <w:t>Úhrada za správu majetku ve vlastnictví hl. města Prahy bude sjednána formou paušálního poplatku, který bude hl. město Praha hradit společnosti TSK bez ohledu na objem spravovaného majetku. Ve smlouvě by pak mohla být zakotvena podmínka, že v případě, že se objem spravovaného majetku navýší o určité procento, dojde rovněž k navýšení tohoto poplatku. Tento způsob stanovení odměny by poskytoval nově vzniklé obchodní společnosti prostor pro zefektivnění svých procesů a organizace řízení tak, aby docházelo k maximalizaci zisku.</w:t>
      </w:r>
    </w:p>
    <w:p>
      <w:pPr>
        <w:pStyle w:val="Stanoviskotext"/>
        <w:numPr>
          <w:ilvl w:val="0"/>
          <w:numId w:val="12"/>
        </w:numPr>
        <w:rPr/>
      </w:pPr>
      <w:r>
        <w:rPr/>
        <w:t>Úhrada formou odměny odrážející výši účelně vynaložených nákladů na správu spravovaného majetku a doplněné o přiměřenou ziskovou marži. Nově by se v současnosti poskytovaná neinvestiční dotace HMP stala součástí této odměny tak, aby mohla krýt veškeré náklady spojené s činností TSK. Výhodou této varianty je flexibilita odměny s ohledem na rozsah poptávané činnosti.</w:t>
      </w:r>
    </w:p>
    <w:p>
      <w:pPr>
        <w:pStyle w:val="Stanoviskotext"/>
        <w:numPr>
          <w:ilvl w:val="0"/>
          <w:numId w:val="12"/>
        </w:numPr>
        <w:rPr/>
      </w:pPr>
      <w:r>
        <w:rPr/>
        <w:t>Úhrada formou odměny za dílo se zohledněním nákladů, které obvykle nese zadavatel (např. náklady na zadávání veřejných zakázek).</w:t>
      </w:r>
    </w:p>
    <w:p>
      <w:pPr>
        <w:pStyle w:val="Stanoviskotext"/>
        <w:ind w:left="720" w:hanging="0"/>
        <w:rPr/>
      </w:pPr>
      <w:r>
        <w:rPr/>
        <w:t>Jako problematické vidíme stanovení ziskové marže, neboť TSK aktuálně ve své podstatě zajišťuje pro HMP pouze zprostředkovatelskou činnost, kdy nemá vlastní výrobu a veškeré činnosti zajišťuje dodavatelsky. V případě, že by TSK účtovala ke svým nákladům, tj. mimo jiné k fakturaci externích dodavatelů, jakoukoliv ziskovou marži, jednalo by se o navýšení nákladů pro HMP právě o výši této marže, což by mělo negativní dopad na hospodaření města a povinnosti spravovat majetek s péčí řádného hospodáře. V rámci této varianty pak jednou možností zůstává přefakturovávat veškeré náklady externích dodavatelů HMP bez jakékoliv ziskové marže a ziskovou marži účtovat pouze k vlastním výkonům TSK. Zde se opět nabízí ke zvážení rozšíření předmětu činnosti TSK.</w:t>
      </w:r>
    </w:p>
    <w:p>
      <w:pPr>
        <w:pStyle w:val="Stanoviskotext"/>
        <w:rPr/>
      </w:pPr>
      <w:r>
        <w:rPr/>
        <w:t xml:space="preserve">Na tomto místě je nutné upozornit na skutečnost, že ať už se bude jednat o jakékoliv smluvní ujednání o stanovení odměny za správu komunikací, bude příslušná částka muset být v souladu s § 23 odst. 7 ZDP sjednána ve výši a za podmínek obvyklých v obchodním styku. Respektive pokud bude odměna stanovena v odlišné výši, bude na smluvních stranách, aby byly připraveny danou částku dostatečně odůvodnit správci daně. Stanovení výše odměny proto považujeme za potenciálně problematické. Z tohoto pohledu se přikláníme ke stanovení odměny na základě obvyklé marže dosahované na trhu v daném oboru podnikání. Konkrétní způsob kalkulace a návrh její výše by byl předmětem studie transferových cen zpracované nezávislou organizací tak, aby tato výše byla obhajitelná u příslušného správce daně. Základním předmětem této studie by bylo nalezení shodného či podobného předmětu činnosti, a následně analýza ziskové marže v rámci těchto srovnatelných činností dosahované. </w:t>
      </w:r>
      <w:r>
        <w:rPr>
          <w:b/>
        </w:rPr>
        <w:t>Náklady na studii transferových cen</w:t>
      </w:r>
      <w:r>
        <w:rPr/>
        <w:t xml:space="preserve"> pro stanovení/posouzení cen sjednaných mezi osobami spojenými odhadujeme ve výši cca 200.000,- Kč.</w:t>
      </w:r>
    </w:p>
    <w:p>
      <w:pPr>
        <w:pStyle w:val="Stanoviskotext"/>
        <w:rPr/>
      </w:pPr>
      <w:r>
        <w:rPr/>
        <w:t>Pro přehled byl proveden orientační průzkum výše ziskových marží v činnostech, které jsou podobného charakteru, jako jsou činnosti vykonávané TSK. Data byla čerpána z databáze Bureau van Dijk Amadeus</w:t>
      </w:r>
      <w:r>
        <w:rPr>
          <w:rStyle w:val="FootnoteCharacters"/>
          <w:rStyle w:val="FootnoteAnchor"/>
        </w:rPr>
        <w:footnoteReference w:id="4"/>
      </w:r>
      <w:r>
        <w:rPr/>
        <w:t xml:space="preserve">, byla očištěna o extrémní hodnoty. Z dostupného srovnání se společnostmi, které rovněž vykonávají správu a údržbu komunikací, a správcovskými společnostmi, jejichž činnost je náplní TSK nejbližší, vyplynula orientační výše ziskové marže v průměrné výši 8 %. </w:t>
      </w:r>
      <w:r>
        <w:rPr>
          <w:b/>
        </w:rPr>
        <w:t>Z titulu ziskové marže</w:t>
      </w:r>
      <w:r>
        <w:rPr/>
        <w:t xml:space="preserve"> očekáváme vznik dodatečných nákladů ve výši cca 20 mil. Kč.</w:t>
      </w:r>
    </w:p>
    <w:tbl>
      <w:tblPr>
        <w:tblW w:w="9220"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000"/>
        <w:gridCol w:w="3630"/>
        <w:gridCol w:w="1790"/>
        <w:gridCol w:w="1800"/>
      </w:tblGrid>
      <w:tr>
        <w:trPr>
          <w:trHeight w:val="300" w:hRule="atLeast"/>
        </w:trPr>
        <w:tc>
          <w:tcPr>
            <w:tcW w:w="200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rFonts w:ascii="Verdana" w:hAnsi="Verdana" w:cs="Verdana"/>
                <w:b/>
                <w:b/>
                <w:bCs/>
                <w:color w:val="FFFFFF"/>
                <w:sz w:val="20"/>
                <w:szCs w:val="20"/>
              </w:rPr>
            </w:pPr>
            <w:r>
              <w:rPr>
                <w:rFonts w:cs="Verdana" w:ascii="Verdana" w:hAnsi="Verdana"/>
                <w:b/>
                <w:bCs/>
                <w:color w:val="FFFFFF"/>
                <w:sz w:val="20"/>
                <w:szCs w:val="20"/>
              </w:rPr>
              <w:t>CZ-NACE</w:t>
            </w:r>
          </w:p>
        </w:tc>
        <w:tc>
          <w:tcPr>
            <w:tcW w:w="363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rPr>
                <w:rFonts w:ascii="Verdana" w:hAnsi="Verdana" w:cs="Verdana"/>
                <w:b/>
                <w:b/>
                <w:bCs/>
                <w:color w:val="FFFFFF"/>
                <w:sz w:val="20"/>
                <w:szCs w:val="20"/>
              </w:rPr>
            </w:pPr>
            <w:r>
              <w:rPr>
                <w:rFonts w:cs="Verdana" w:ascii="Verdana" w:hAnsi="Verdana"/>
                <w:b/>
                <w:bCs/>
                <w:color w:val="FFFFFF"/>
                <w:sz w:val="20"/>
                <w:szCs w:val="20"/>
              </w:rPr>
              <w:t>Popis činnosti</w:t>
            </w:r>
          </w:p>
        </w:tc>
        <w:tc>
          <w:tcPr>
            <w:tcW w:w="1790"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Verdana" w:hAnsi="Verdana" w:cs="Verdana"/>
                <w:b/>
                <w:b/>
                <w:bCs/>
                <w:color w:val="FFFFFF"/>
                <w:sz w:val="20"/>
                <w:szCs w:val="20"/>
              </w:rPr>
            </w:pPr>
            <w:r>
              <w:rPr>
                <w:rFonts w:cs="Verdana" w:ascii="Verdana" w:hAnsi="Verdana"/>
                <w:b/>
                <w:bCs/>
                <w:color w:val="FFFFFF"/>
                <w:sz w:val="20"/>
                <w:szCs w:val="20"/>
              </w:rPr>
              <w:t>median</w:t>
            </w:r>
          </w:p>
        </w:tc>
        <w:tc>
          <w:tcPr>
            <w:tcW w:w="18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Verdana" w:hAnsi="Verdana" w:cs="Verdana"/>
                <w:b/>
                <w:b/>
                <w:bCs/>
                <w:color w:val="FFFFFF"/>
                <w:sz w:val="20"/>
                <w:szCs w:val="20"/>
              </w:rPr>
            </w:pPr>
            <w:r>
              <w:rPr>
                <w:rFonts w:cs="Verdana" w:ascii="Verdana" w:hAnsi="Verdana"/>
                <w:b/>
                <w:bCs/>
                <w:color w:val="FFFFFF"/>
                <w:sz w:val="20"/>
                <w:szCs w:val="20"/>
              </w:rPr>
              <w:t>průměr</w:t>
            </w:r>
          </w:p>
        </w:tc>
      </w:tr>
      <w:tr>
        <w:trPr>
          <w:trHeight w:val="525" w:hRule="atLeast"/>
        </w:trPr>
        <w:tc>
          <w:tcPr>
            <w:tcW w:w="20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68.32</w:t>
            </w:r>
          </w:p>
        </w:tc>
        <w:tc>
          <w:tcPr>
            <w:tcW w:w="363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Správa nemovitostí na základě smlouvy</w:t>
            </w:r>
          </w:p>
        </w:tc>
        <w:tc>
          <w:tcPr>
            <w:tcW w:w="179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7,13%</w:t>
            </w:r>
          </w:p>
        </w:tc>
        <w:tc>
          <w:tcPr>
            <w:tcW w:w="18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10,60%</w:t>
            </w:r>
          </w:p>
        </w:tc>
      </w:tr>
      <w:tr>
        <w:trPr>
          <w:trHeight w:val="780" w:hRule="atLeast"/>
        </w:trPr>
        <w:tc>
          <w:tcPr>
            <w:tcW w:w="20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68.20.2</w:t>
            </w:r>
          </w:p>
        </w:tc>
        <w:tc>
          <w:tcPr>
            <w:tcW w:w="363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Pronájem vlastních nebo pronajatých nemovitostí s nebytovými prostory</w:t>
            </w:r>
          </w:p>
        </w:tc>
        <w:tc>
          <w:tcPr>
            <w:tcW w:w="179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13,98%</w:t>
            </w:r>
          </w:p>
        </w:tc>
        <w:tc>
          <w:tcPr>
            <w:tcW w:w="18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14,88%</w:t>
            </w:r>
          </w:p>
        </w:tc>
      </w:tr>
      <w:tr>
        <w:trPr>
          <w:trHeight w:val="780" w:hRule="atLeast"/>
        </w:trPr>
        <w:tc>
          <w:tcPr>
            <w:tcW w:w="20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71.12.9</w:t>
            </w:r>
          </w:p>
        </w:tc>
        <w:tc>
          <w:tcPr>
            <w:tcW w:w="363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Ostatní inženýrské činnosti a související technické poradenství j. n.</w:t>
            </w:r>
          </w:p>
        </w:tc>
        <w:tc>
          <w:tcPr>
            <w:tcW w:w="179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9,94%</w:t>
            </w:r>
          </w:p>
        </w:tc>
        <w:tc>
          <w:tcPr>
            <w:tcW w:w="18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10,54%</w:t>
            </w:r>
          </w:p>
        </w:tc>
      </w:tr>
      <w:tr>
        <w:trPr>
          <w:trHeight w:val="525" w:hRule="atLeast"/>
        </w:trPr>
        <w:tc>
          <w:tcPr>
            <w:tcW w:w="20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 xml:space="preserve">71.20.9 </w:t>
            </w:r>
          </w:p>
        </w:tc>
        <w:tc>
          <w:tcPr>
            <w:tcW w:w="363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Ostatní technické zkoušky a analýzy</w:t>
            </w:r>
          </w:p>
        </w:tc>
        <w:tc>
          <w:tcPr>
            <w:tcW w:w="179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11,84%</w:t>
            </w:r>
          </w:p>
        </w:tc>
        <w:tc>
          <w:tcPr>
            <w:tcW w:w="18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12,65%</w:t>
            </w:r>
          </w:p>
        </w:tc>
      </w:tr>
      <w:tr>
        <w:trPr>
          <w:trHeight w:val="525" w:hRule="atLeast"/>
        </w:trPr>
        <w:tc>
          <w:tcPr>
            <w:tcW w:w="20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80.20</w:t>
            </w:r>
          </w:p>
        </w:tc>
        <w:tc>
          <w:tcPr>
            <w:tcW w:w="3630"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Verdana" w:hAnsi="Verdana" w:cs="Verdana"/>
                <w:color w:val="000000"/>
                <w:sz w:val="20"/>
                <w:szCs w:val="20"/>
              </w:rPr>
            </w:pPr>
            <w:r>
              <w:rPr>
                <w:rFonts w:cs="Verdana" w:ascii="Verdana" w:hAnsi="Verdana"/>
                <w:color w:val="000000"/>
                <w:sz w:val="20"/>
                <w:szCs w:val="20"/>
              </w:rPr>
              <w:t>Činnosti související s provozem bezpečnostních systémů</w:t>
            </w:r>
          </w:p>
        </w:tc>
        <w:tc>
          <w:tcPr>
            <w:tcW w:w="179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5,32%</w:t>
            </w:r>
          </w:p>
        </w:tc>
        <w:tc>
          <w:tcPr>
            <w:tcW w:w="18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Verdana" w:hAnsi="Verdana" w:cs="Verdana"/>
                <w:color w:val="000000"/>
                <w:sz w:val="20"/>
                <w:szCs w:val="20"/>
              </w:rPr>
            </w:pPr>
            <w:r>
              <w:rPr>
                <w:rFonts w:cs="Verdana" w:ascii="Verdana" w:hAnsi="Verdana"/>
                <w:color w:val="000000"/>
                <w:sz w:val="20"/>
                <w:szCs w:val="20"/>
              </w:rPr>
              <w:t>5,18%</w:t>
            </w:r>
          </w:p>
        </w:tc>
      </w:tr>
    </w:tbl>
    <w:p>
      <w:pPr>
        <w:pStyle w:val="Stanovisko1"/>
        <w:numPr>
          <w:ilvl w:val="0"/>
          <w:numId w:val="2"/>
        </w:numPr>
        <w:tabs>
          <w:tab w:val="left" w:pos="1080" w:leader="none"/>
        </w:tabs>
        <w:ind w:left="1080" w:hanging="1080"/>
        <w:rPr/>
      </w:pPr>
      <w:r>
        <w:br w:type="page"/>
      </w:r>
      <w:bookmarkStart w:id="12" w:name="__RefHeading___Toc382588297"/>
      <w:bookmarkEnd w:id="12"/>
      <w:r>
        <w:rPr/>
        <w:t>Zhodnocení daňových dopadů transformace</w:t>
      </w:r>
    </w:p>
    <w:p>
      <w:pPr>
        <w:pStyle w:val="Stanoviskotext"/>
        <w:rPr/>
      </w:pPr>
      <w:r>
        <w:rPr/>
        <w:t>Transformace TSK, ať už provedená jakoukoliv formou, bude mít v zásadě dopady především do čtyřech oblastí daňových povinností nově vzniklé obchodní společnosti:</w:t>
      </w:r>
    </w:p>
    <w:p>
      <w:pPr>
        <w:pStyle w:val="Stanoviskotext"/>
        <w:rPr/>
      </w:pPr>
      <w:r>
        <w:rPr/>
      </w:r>
    </w:p>
    <w:p>
      <w:pPr>
        <w:pStyle w:val="Stanoviskotext"/>
        <w:numPr>
          <w:ilvl w:val="0"/>
          <w:numId w:val="3"/>
        </w:numPr>
        <w:rPr/>
      </w:pPr>
      <w:r>
        <w:rPr/>
        <w:t>DPH;</w:t>
      </w:r>
    </w:p>
    <w:p>
      <w:pPr>
        <w:pStyle w:val="Stanoviskotext"/>
        <w:numPr>
          <w:ilvl w:val="0"/>
          <w:numId w:val="3"/>
        </w:numPr>
        <w:rPr/>
      </w:pPr>
      <w:r>
        <w:rPr/>
        <w:t>daň z příjmu právnických osob;</w:t>
      </w:r>
    </w:p>
    <w:p>
      <w:pPr>
        <w:pStyle w:val="Stanoviskotext"/>
        <w:numPr>
          <w:ilvl w:val="0"/>
          <w:numId w:val="3"/>
        </w:numPr>
        <w:rPr/>
      </w:pPr>
      <w:r>
        <w:rPr/>
        <w:t>daň z nabytí nemovitých věcí;</w:t>
      </w:r>
    </w:p>
    <w:p>
      <w:pPr>
        <w:pStyle w:val="Stanoviskotext"/>
        <w:numPr>
          <w:ilvl w:val="0"/>
          <w:numId w:val="3"/>
        </w:numPr>
        <w:rPr/>
      </w:pPr>
      <w:r>
        <w:rPr/>
        <w:t>daň z nemovitých věcí.</w:t>
      </w:r>
    </w:p>
    <w:p>
      <w:pPr>
        <w:pStyle w:val="Stanovisko1"/>
        <w:numPr>
          <w:ilvl w:val="0"/>
          <w:numId w:val="0"/>
        </w:numPr>
        <w:ind w:left="0" w:hanging="0"/>
        <w:rPr>
          <w:rFonts w:cs="Times New Roman"/>
          <w:b w:val="false"/>
          <w:b w:val="false"/>
          <w:color w:val="000000"/>
          <w:sz w:val="20"/>
          <w:szCs w:val="20"/>
        </w:rPr>
      </w:pPr>
      <w:r>
        <w:rPr>
          <w:rFonts w:cs="Times New Roman"/>
          <w:b w:val="false"/>
          <w:color w:val="000000"/>
          <w:sz w:val="20"/>
          <w:szCs w:val="20"/>
        </w:rPr>
      </w:r>
    </w:p>
    <w:p>
      <w:pPr>
        <w:pStyle w:val="Stanovisko2"/>
        <w:numPr>
          <w:ilvl w:val="1"/>
          <w:numId w:val="2"/>
        </w:numPr>
        <w:tabs>
          <w:tab w:val="left" w:pos="1080" w:leader="none"/>
        </w:tabs>
        <w:ind w:left="1080" w:hanging="1080"/>
        <w:rPr/>
      </w:pPr>
      <w:bookmarkStart w:id="13" w:name="__RefHeading___Toc382588298"/>
      <w:bookmarkEnd w:id="13"/>
      <w:r>
        <w:rPr/>
        <w:t>DPH</w:t>
      </w:r>
    </w:p>
    <w:p>
      <w:pPr>
        <w:pStyle w:val="Stanoviskotext"/>
        <w:rPr>
          <w:highlight w:val="yellow"/>
        </w:rPr>
      </w:pPr>
      <w:r>
        <w:rPr>
          <w:highlight w:val="yellow"/>
        </w:rPr>
        <w:t>Dopady transformace TSK do daňové povinnosti k dani z přidané hodnoty při zvolení marže ve výši 8 % jsou vyčísleny v následující tabulce:</w:t>
      </w:r>
    </w:p>
    <w:tbl>
      <w:tblPr>
        <w:tblW w:w="6360" w:type="dxa"/>
        <w:jc w:val="center"/>
        <w:tblInd w:w="0" w:type="dxa"/>
        <w:tblBorders>
          <w:top w:val="single" w:sz="8" w:space="0" w:color="000000"/>
          <w:left w:val="single" w:sz="8" w:space="0" w:color="000000"/>
          <w:bottom w:val="single" w:sz="4" w:space="0" w:color="000000"/>
          <w:insideH w:val="single" w:sz="4" w:space="0" w:color="000000"/>
        </w:tblBorders>
        <w:tblCellMar>
          <w:top w:w="0" w:type="dxa"/>
          <w:left w:w="60" w:type="dxa"/>
          <w:bottom w:w="0" w:type="dxa"/>
          <w:right w:w="70" w:type="dxa"/>
        </w:tblCellMar>
      </w:tblPr>
      <w:tblGrid>
        <w:gridCol w:w="4840"/>
        <w:gridCol w:w="1520"/>
      </w:tblGrid>
      <w:tr>
        <w:trPr>
          <w:trHeight w:val="300" w:hRule="atLeast"/>
          <w:cantSplit w:val="true"/>
        </w:trPr>
        <w:tc>
          <w:tcPr>
            <w:tcW w:w="4840" w:type="dxa"/>
            <w:vMerge w:val="restart"/>
            <w:tcBorders>
              <w:top w:val="single" w:sz="8" w:space="0" w:color="000000"/>
              <w:left w:val="single" w:sz="8" w:space="0" w:color="000000"/>
              <w:bottom w:val="single" w:sz="4" w:space="0" w:color="000000"/>
              <w:insideH w:val="single" w:sz="4" w:space="0" w:color="000000"/>
            </w:tcBorders>
            <w:shd w:fill="666699" w:val="clear"/>
            <w:tcMar>
              <w:left w:w="60"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Zohlednění DPH a marže</w:t>
            </w:r>
          </w:p>
        </w:tc>
        <w:tc>
          <w:tcPr>
            <w:tcW w:w="1520" w:type="dxa"/>
            <w:tcBorders>
              <w:top w:val="single" w:sz="8" w:space="0" w:color="000000"/>
              <w:left w:val="single" w:sz="4" w:space="0" w:color="000000"/>
              <w:bottom w:val="single" w:sz="4" w:space="0" w:color="000000"/>
              <w:right w:val="single" w:sz="8" w:space="0" w:color="000000"/>
              <w:insideH w:val="single" w:sz="4" w:space="0" w:color="000000"/>
              <w:insideV w:val="single" w:sz="8"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HLAVNÍ ČINNOST</w:t>
            </w:r>
          </w:p>
        </w:tc>
      </w:tr>
      <w:tr>
        <w:trPr>
          <w:trHeight w:val="315" w:hRule="atLeast"/>
          <w:cantSplit w:val="true"/>
        </w:trPr>
        <w:tc>
          <w:tcPr>
            <w:tcW w:w="4840" w:type="dxa"/>
            <w:vMerge w:val="continue"/>
            <w:tcBorders>
              <w:top w:val="single" w:sz="8" w:space="0" w:color="000000"/>
              <w:left w:val="single" w:sz="8" w:space="0" w:color="000000"/>
              <w:bottom w:val="single" w:sz="4" w:space="0" w:color="000000"/>
              <w:insideH w:val="single" w:sz="4" w:space="0" w:color="000000"/>
            </w:tcBorders>
            <w:shd w:fill="auto" w:val="clear"/>
            <w:tcMar>
              <w:left w:w="60" w:type="dxa"/>
            </w:tcMar>
            <w:vAlign w:val="center"/>
          </w:tcPr>
          <w:p>
            <w:pPr>
              <w:pStyle w:val="Normal"/>
              <w:snapToGrid w:val="false"/>
              <w:rPr>
                <w:rFonts w:ascii="Arial" w:hAnsi="Arial" w:cs="Arial"/>
                <w:b/>
                <w:b/>
                <w:bCs/>
                <w:color w:val="FFFFFF"/>
                <w:sz w:val="20"/>
                <w:szCs w:val="20"/>
              </w:rPr>
            </w:pPr>
            <w:r>
              <w:rPr>
                <w:rFonts w:cs="Arial" w:ascii="Arial" w:hAnsi="Arial"/>
                <w:b/>
                <w:bCs/>
                <w:color w:val="FFFFFF"/>
                <w:sz w:val="20"/>
                <w:szCs w:val="20"/>
              </w:rPr>
            </w:r>
          </w:p>
        </w:tc>
        <w:tc>
          <w:tcPr>
            <w:tcW w:w="1520" w:type="dxa"/>
            <w:tcBorders>
              <w:left w:val="single" w:sz="4" w:space="0" w:color="000000"/>
              <w:right w:val="single" w:sz="8" w:space="0" w:color="000000"/>
              <w:insideV w:val="single" w:sz="8" w:space="0" w:color="000000"/>
            </w:tcBorders>
            <w:shd w:fill="666699" w:val="clear"/>
            <w:tcMar>
              <w:left w:w="65" w:type="dxa"/>
            </w:tcMar>
            <w:vAlign w:val="bottom"/>
          </w:tcPr>
          <w:p>
            <w:pPr>
              <w:pStyle w:val="Normal"/>
              <w:jc w:val="center"/>
              <w:rPr>
                <w:rFonts w:ascii="Arial" w:hAnsi="Arial" w:cs="Arial"/>
                <w:b/>
                <w:b/>
                <w:bCs/>
                <w:color w:val="FFFFFF"/>
                <w:sz w:val="16"/>
                <w:szCs w:val="16"/>
              </w:rPr>
            </w:pPr>
            <w:r>
              <w:rPr>
                <w:rFonts w:cs="Arial" w:ascii="Arial" w:hAnsi="Arial"/>
                <w:b/>
                <w:bCs/>
                <w:color w:val="FFFFFF"/>
                <w:sz w:val="16"/>
                <w:szCs w:val="16"/>
              </w:rPr>
              <w:t>V tis. Kč</w:t>
            </w:r>
          </w:p>
        </w:tc>
      </w:tr>
      <w:tr>
        <w:trPr>
          <w:trHeight w:val="300" w:hRule="atLeast"/>
        </w:trPr>
        <w:tc>
          <w:tcPr>
            <w:tcW w:w="4840" w:type="dxa"/>
            <w:tcBorders>
              <w:top w:val="single" w:sz="4" w:space="0" w:color="000000"/>
              <w:left w:val="single" w:sz="8" w:space="0" w:color="000000"/>
              <w:bottom w:val="single" w:sz="4" w:space="0" w:color="000000"/>
              <w:insideH w:val="single" w:sz="4" w:space="0" w:color="000000"/>
            </w:tcBorders>
            <w:shd w:fill="CCFFFF" w:val="clear"/>
            <w:tcMar>
              <w:left w:w="60" w:type="dxa"/>
            </w:tcMar>
            <w:vAlign w:val="bottom"/>
          </w:tcPr>
          <w:p>
            <w:pPr>
              <w:pStyle w:val="Normal"/>
              <w:rPr>
                <w:rFonts w:ascii="Arial" w:hAnsi="Arial" w:cs="Arial"/>
                <w:sz w:val="16"/>
                <w:szCs w:val="16"/>
              </w:rPr>
            </w:pPr>
            <w:r>
              <w:rPr>
                <w:rFonts w:cs="Arial" w:ascii="Arial" w:hAnsi="Arial"/>
                <w:sz w:val="16"/>
                <w:szCs w:val="16"/>
              </w:rPr>
              <w:t>Náklady TSK na hlavní činnost před transformací</w:t>
            </w:r>
          </w:p>
        </w:tc>
        <w:tc>
          <w:tcPr>
            <w:tcW w:w="1520" w:type="dxa"/>
            <w:tcBorders>
              <w:top w:val="single" w:sz="8" w:space="0" w:color="000000"/>
              <w:left w:val="single" w:sz="4" w:space="0" w:color="000000"/>
              <w:bottom w:val="single" w:sz="4" w:space="0" w:color="000000"/>
              <w:right w:val="single" w:sz="8" w:space="0" w:color="000000"/>
              <w:insideH w:val="single" w:sz="4" w:space="0" w:color="000000"/>
              <w:insideV w:val="single" w:sz="8" w:space="0" w:color="000000"/>
            </w:tcBorders>
            <w:shd w:fill="CCFFFF" w:val="clear"/>
            <w:tcMar>
              <w:left w:w="65" w:type="dxa"/>
            </w:tcMar>
            <w:vAlign w:val="bottom"/>
          </w:tcPr>
          <w:p>
            <w:pPr>
              <w:pStyle w:val="Normal"/>
              <w:jc w:val="right"/>
              <w:rPr>
                <w:rFonts w:ascii="Arial" w:hAnsi="Arial" w:cs="Arial"/>
                <w:sz w:val="16"/>
                <w:szCs w:val="16"/>
              </w:rPr>
            </w:pPr>
            <w:r>
              <w:rPr>
                <w:rFonts w:cs="Arial" w:ascii="Arial" w:hAnsi="Arial"/>
                <w:sz w:val="16"/>
                <w:szCs w:val="16"/>
              </w:rPr>
              <w:t>232 768,30</w:t>
            </w:r>
          </w:p>
        </w:tc>
      </w:tr>
      <w:tr>
        <w:trPr>
          <w:trHeight w:val="300" w:hRule="atLeast"/>
        </w:trPr>
        <w:tc>
          <w:tcPr>
            <w:tcW w:w="4840" w:type="dxa"/>
            <w:tcBorders>
              <w:left w:val="single" w:sz="8" w:space="0" w:color="000000"/>
              <w:bottom w:val="single" w:sz="4" w:space="0" w:color="000000"/>
              <w:insideH w:val="single" w:sz="4" w:space="0" w:color="000000"/>
            </w:tcBorders>
            <w:shd w:fill="auto" w:val="clear"/>
            <w:tcMar>
              <w:left w:w="60" w:type="dxa"/>
            </w:tcMar>
            <w:vAlign w:val="bottom"/>
          </w:tcPr>
          <w:p>
            <w:pPr>
              <w:pStyle w:val="Normal"/>
              <w:rPr>
                <w:rFonts w:ascii="Arial" w:hAnsi="Arial" w:cs="Arial"/>
                <w:sz w:val="16"/>
                <w:szCs w:val="16"/>
              </w:rPr>
            </w:pPr>
            <w:r>
              <w:rPr>
                <w:rFonts w:cs="Arial" w:ascii="Arial" w:hAnsi="Arial"/>
                <w:sz w:val="16"/>
                <w:szCs w:val="16"/>
              </w:rPr>
              <w:t>Stávající DPH z činností pro HMP</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27 141,87</w:t>
            </w:r>
          </w:p>
        </w:tc>
      </w:tr>
      <w:tr>
        <w:trPr>
          <w:trHeight w:val="300" w:hRule="atLeast"/>
        </w:trPr>
        <w:tc>
          <w:tcPr>
            <w:tcW w:w="4840" w:type="dxa"/>
            <w:tcBorders>
              <w:left w:val="single" w:sz="8" w:space="0" w:color="000000"/>
              <w:bottom w:val="single" w:sz="4" w:space="0" w:color="000000"/>
              <w:insideH w:val="single" w:sz="4" w:space="0" w:color="000000"/>
            </w:tcBorders>
            <w:shd w:fill="CCFFFF" w:val="clear"/>
            <w:tcMar>
              <w:left w:w="60" w:type="dxa"/>
            </w:tcMar>
            <w:vAlign w:val="bottom"/>
          </w:tcPr>
          <w:p>
            <w:pPr>
              <w:pStyle w:val="Normal"/>
              <w:rPr>
                <w:rFonts w:ascii="Arial" w:hAnsi="Arial" w:cs="Arial"/>
                <w:sz w:val="16"/>
                <w:szCs w:val="16"/>
              </w:rPr>
            </w:pPr>
            <w:r>
              <w:rPr>
                <w:rFonts w:cs="Arial" w:ascii="Arial" w:hAnsi="Arial"/>
                <w:sz w:val="16"/>
                <w:szCs w:val="16"/>
              </w:rPr>
              <w:t>Skutečné výdaje HMP před transformací</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CCFFFF" w:val="clear"/>
            <w:tcMar>
              <w:left w:w="65" w:type="dxa"/>
            </w:tcMar>
            <w:vAlign w:val="bottom"/>
          </w:tcPr>
          <w:p>
            <w:pPr>
              <w:pStyle w:val="Normal"/>
              <w:jc w:val="right"/>
              <w:rPr>
                <w:rFonts w:ascii="Arial" w:hAnsi="Arial" w:cs="Arial"/>
                <w:sz w:val="16"/>
                <w:szCs w:val="16"/>
              </w:rPr>
            </w:pPr>
            <w:r>
              <w:rPr>
                <w:rFonts w:cs="Arial" w:ascii="Arial" w:hAnsi="Arial"/>
                <w:sz w:val="16"/>
                <w:szCs w:val="16"/>
              </w:rPr>
              <w:t>234 107,87</w:t>
            </w:r>
          </w:p>
        </w:tc>
      </w:tr>
      <w:tr>
        <w:trPr>
          <w:trHeight w:val="300" w:hRule="atLeast"/>
        </w:trPr>
        <w:tc>
          <w:tcPr>
            <w:tcW w:w="4840" w:type="dxa"/>
            <w:tcBorders>
              <w:left w:val="single" w:sz="8" w:space="0" w:color="000000"/>
              <w:bottom w:val="single" w:sz="4" w:space="0" w:color="000000"/>
              <w:insideH w:val="single" w:sz="4" w:space="0" w:color="000000"/>
            </w:tcBorders>
            <w:shd w:fill="CCFFFF" w:val="clear"/>
            <w:tcMar>
              <w:left w:w="60" w:type="dxa"/>
            </w:tcMar>
            <w:vAlign w:val="bottom"/>
          </w:tcPr>
          <w:p>
            <w:pPr>
              <w:pStyle w:val="Normal"/>
              <w:rPr>
                <w:rFonts w:ascii="Arial" w:hAnsi="Arial" w:cs="Arial"/>
                <w:sz w:val="16"/>
                <w:szCs w:val="16"/>
              </w:rPr>
            </w:pPr>
            <w:r>
              <w:rPr>
                <w:rFonts w:cs="Arial" w:ascii="Arial" w:hAnsi="Arial"/>
                <w:sz w:val="16"/>
                <w:szCs w:val="16"/>
              </w:rPr>
              <w:t>Náklady HMP před transformací bez zohlednění jiných zdrojů TSK</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CCFFFF" w:val="clear"/>
            <w:tcMar>
              <w:left w:w="65" w:type="dxa"/>
            </w:tcMar>
            <w:vAlign w:val="bottom"/>
          </w:tcPr>
          <w:p>
            <w:pPr>
              <w:pStyle w:val="Normal"/>
              <w:jc w:val="right"/>
              <w:rPr>
                <w:rFonts w:ascii="Arial" w:hAnsi="Arial" w:cs="Arial"/>
                <w:sz w:val="16"/>
                <w:szCs w:val="16"/>
              </w:rPr>
            </w:pPr>
            <w:r>
              <w:rPr>
                <w:rFonts w:cs="Arial" w:ascii="Arial" w:hAnsi="Arial"/>
                <w:sz w:val="16"/>
                <w:szCs w:val="16"/>
              </w:rPr>
              <w:t>259 910,17</w:t>
            </w:r>
          </w:p>
        </w:tc>
      </w:tr>
      <w:tr>
        <w:trPr>
          <w:trHeight w:val="538" w:hRule="atLeast"/>
        </w:trPr>
        <w:tc>
          <w:tcPr>
            <w:tcW w:w="4840" w:type="dxa"/>
            <w:tcBorders>
              <w:left w:val="single" w:sz="8" w:space="0" w:color="000000"/>
              <w:bottom w:val="single" w:sz="4" w:space="0" w:color="000000"/>
              <w:insideH w:val="single" w:sz="4" w:space="0" w:color="000000"/>
            </w:tcBorders>
            <w:shd w:fill="CCFFFF" w:val="clear"/>
            <w:tcMar>
              <w:left w:w="60" w:type="dxa"/>
            </w:tcMar>
            <w:vAlign w:val="bottom"/>
          </w:tcPr>
          <w:p>
            <w:pPr>
              <w:pStyle w:val="Normal"/>
              <w:rPr>
                <w:rFonts w:ascii="Arial" w:hAnsi="Arial" w:cs="Arial"/>
                <w:sz w:val="16"/>
                <w:szCs w:val="16"/>
              </w:rPr>
            </w:pPr>
            <w:r>
              <w:rPr>
                <w:rFonts w:cs="Arial" w:ascii="Arial" w:hAnsi="Arial"/>
                <w:sz w:val="16"/>
                <w:szCs w:val="16"/>
              </w:rPr>
              <w:t>Náklady HMP před transformací kryté z jiných zdrojů TSK</w:t>
            </w:r>
          </w:p>
          <w:p>
            <w:pPr>
              <w:pStyle w:val="Normal"/>
              <w:rPr>
                <w:rFonts w:ascii="Arial" w:hAnsi="Arial" w:cs="Arial"/>
                <w:sz w:val="16"/>
                <w:szCs w:val="16"/>
              </w:rPr>
            </w:pPr>
            <w:r>
              <w:rPr>
                <w:rFonts w:cs="Arial" w:ascii="Arial" w:hAnsi="Arial"/>
                <w:sz w:val="16"/>
                <w:szCs w:val="16"/>
              </w:rPr>
              <w:t>(např. zisk z doplňkové činnosti)</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CCFFFF" w:val="clear"/>
            <w:tcMar>
              <w:left w:w="65" w:type="dxa"/>
            </w:tcMar>
            <w:vAlign w:val="bottom"/>
          </w:tcPr>
          <w:p>
            <w:pPr>
              <w:pStyle w:val="Normal"/>
              <w:jc w:val="right"/>
              <w:rPr>
                <w:rFonts w:ascii="Arial" w:hAnsi="Arial" w:cs="Arial"/>
                <w:sz w:val="16"/>
                <w:szCs w:val="16"/>
              </w:rPr>
            </w:pPr>
            <w:r>
              <w:rPr>
                <w:rFonts w:cs="Arial" w:ascii="Arial" w:hAnsi="Arial"/>
                <w:sz w:val="16"/>
                <w:szCs w:val="16"/>
              </w:rPr>
              <w:t>25 802,30</w:t>
            </w:r>
          </w:p>
        </w:tc>
      </w:tr>
      <w:tr>
        <w:trPr>
          <w:trHeight w:val="300" w:hRule="atLeast"/>
        </w:trPr>
        <w:tc>
          <w:tcPr>
            <w:tcW w:w="4840" w:type="dxa"/>
            <w:tcBorders>
              <w:left w:val="single" w:sz="8" w:space="0" w:color="000000"/>
              <w:bottom w:val="single" w:sz="4" w:space="0" w:color="000000"/>
              <w:insideH w:val="single" w:sz="4" w:space="0" w:color="000000"/>
            </w:tcBorders>
            <w:shd w:fill="auto" w:val="clear"/>
            <w:tcMar>
              <w:left w:w="60" w:type="dxa"/>
            </w:tcMar>
            <w:vAlign w:val="bottom"/>
          </w:tcPr>
          <w:p>
            <w:pPr>
              <w:pStyle w:val="Normal"/>
              <w:rPr>
                <w:rFonts w:ascii="Arial" w:hAnsi="Arial" w:cs="Arial"/>
                <w:sz w:val="16"/>
                <w:szCs w:val="16"/>
              </w:rPr>
            </w:pPr>
            <w:r>
              <w:rPr>
                <w:rFonts w:cs="Arial" w:ascii="Arial" w:hAnsi="Arial"/>
                <w:sz w:val="16"/>
                <w:szCs w:val="16"/>
              </w:rPr>
              <w:t>Sazba marže</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8%</w:t>
            </w:r>
          </w:p>
        </w:tc>
      </w:tr>
      <w:tr>
        <w:trPr>
          <w:trHeight w:val="300" w:hRule="atLeast"/>
        </w:trPr>
        <w:tc>
          <w:tcPr>
            <w:tcW w:w="4840" w:type="dxa"/>
            <w:tcBorders>
              <w:left w:val="single" w:sz="8" w:space="0" w:color="000000"/>
              <w:bottom w:val="single" w:sz="4" w:space="0" w:color="000000"/>
              <w:insideH w:val="single" w:sz="4" w:space="0" w:color="000000"/>
            </w:tcBorders>
            <w:shd w:fill="auto" w:val="clear"/>
            <w:tcMar>
              <w:left w:w="60" w:type="dxa"/>
            </w:tcMar>
            <w:vAlign w:val="bottom"/>
          </w:tcPr>
          <w:p>
            <w:pPr>
              <w:pStyle w:val="Normal"/>
              <w:rPr>
                <w:rFonts w:ascii="Arial" w:hAnsi="Arial" w:cs="Arial"/>
                <w:sz w:val="16"/>
                <w:szCs w:val="16"/>
              </w:rPr>
            </w:pPr>
            <w:r>
              <w:rPr>
                <w:rFonts w:cs="Arial" w:ascii="Arial" w:hAnsi="Arial"/>
                <w:sz w:val="16"/>
                <w:szCs w:val="16"/>
              </w:rPr>
              <w:t>Absolutní výše marže</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18 621,46</w:t>
            </w:r>
          </w:p>
        </w:tc>
      </w:tr>
      <w:tr>
        <w:trPr>
          <w:trHeight w:val="300" w:hRule="atLeast"/>
        </w:trPr>
        <w:tc>
          <w:tcPr>
            <w:tcW w:w="4840" w:type="dxa"/>
            <w:tcBorders>
              <w:left w:val="single" w:sz="8" w:space="0" w:color="000000"/>
              <w:bottom w:val="single" w:sz="4" w:space="0" w:color="000000"/>
              <w:insideH w:val="single" w:sz="4" w:space="0" w:color="000000"/>
            </w:tcBorders>
            <w:shd w:fill="auto" w:val="clear"/>
            <w:tcMar>
              <w:left w:w="60" w:type="dxa"/>
            </w:tcMar>
            <w:vAlign w:val="bottom"/>
          </w:tcPr>
          <w:p>
            <w:pPr>
              <w:pStyle w:val="Normal"/>
              <w:rPr>
                <w:rFonts w:ascii="Arial" w:hAnsi="Arial" w:cs="Arial"/>
                <w:sz w:val="16"/>
                <w:szCs w:val="16"/>
              </w:rPr>
            </w:pPr>
            <w:r>
              <w:rPr>
                <w:rFonts w:cs="Arial" w:ascii="Arial" w:hAnsi="Arial"/>
                <w:sz w:val="16"/>
                <w:szCs w:val="16"/>
              </w:rPr>
              <w:t>Náklady s marží</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251 389,76</w:t>
            </w:r>
          </w:p>
        </w:tc>
      </w:tr>
      <w:tr>
        <w:trPr>
          <w:trHeight w:val="300" w:hRule="atLeast"/>
        </w:trPr>
        <w:tc>
          <w:tcPr>
            <w:tcW w:w="4840" w:type="dxa"/>
            <w:tcBorders>
              <w:left w:val="single" w:sz="8" w:space="0" w:color="000000"/>
              <w:bottom w:val="single" w:sz="4" w:space="0" w:color="000000"/>
              <w:insideH w:val="single" w:sz="4" w:space="0" w:color="000000"/>
            </w:tcBorders>
            <w:shd w:fill="auto" w:val="clear"/>
            <w:tcMar>
              <w:left w:w="60" w:type="dxa"/>
            </w:tcMar>
            <w:vAlign w:val="bottom"/>
          </w:tcPr>
          <w:p>
            <w:pPr>
              <w:pStyle w:val="Normal"/>
              <w:rPr>
                <w:rFonts w:ascii="Arial" w:hAnsi="Arial" w:cs="Arial"/>
                <w:sz w:val="16"/>
                <w:szCs w:val="16"/>
              </w:rPr>
            </w:pPr>
            <w:r>
              <w:rPr>
                <w:rFonts w:cs="Arial" w:ascii="Arial" w:hAnsi="Arial"/>
                <w:sz w:val="16"/>
                <w:szCs w:val="16"/>
              </w:rPr>
              <w:t>Sazba DPH</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21%</w:t>
            </w:r>
          </w:p>
        </w:tc>
      </w:tr>
      <w:tr>
        <w:trPr>
          <w:trHeight w:val="300" w:hRule="atLeast"/>
        </w:trPr>
        <w:tc>
          <w:tcPr>
            <w:tcW w:w="4840" w:type="dxa"/>
            <w:tcBorders>
              <w:left w:val="single" w:sz="8" w:space="0" w:color="000000"/>
              <w:bottom w:val="single" w:sz="4" w:space="0" w:color="000000"/>
              <w:insideH w:val="single" w:sz="4" w:space="0" w:color="000000"/>
            </w:tcBorders>
            <w:shd w:fill="auto" w:val="clear"/>
            <w:tcMar>
              <w:left w:w="60" w:type="dxa"/>
            </w:tcMar>
            <w:vAlign w:val="bottom"/>
          </w:tcPr>
          <w:p>
            <w:pPr>
              <w:pStyle w:val="Normal"/>
              <w:rPr>
                <w:rFonts w:ascii="Arial" w:hAnsi="Arial" w:cs="Arial"/>
                <w:sz w:val="16"/>
                <w:szCs w:val="16"/>
              </w:rPr>
            </w:pPr>
            <w:r>
              <w:rPr>
                <w:rFonts w:cs="Arial" w:ascii="Arial" w:hAnsi="Arial"/>
                <w:sz w:val="16"/>
                <w:szCs w:val="16"/>
              </w:rPr>
              <w:t xml:space="preserve">Absolutní výše DPH po transformaci </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52 791,85</w:t>
            </w:r>
          </w:p>
        </w:tc>
      </w:tr>
      <w:tr>
        <w:trPr>
          <w:trHeight w:val="300" w:hRule="atLeast"/>
        </w:trPr>
        <w:tc>
          <w:tcPr>
            <w:tcW w:w="4840" w:type="dxa"/>
            <w:tcBorders>
              <w:left w:val="single" w:sz="8" w:space="0" w:color="000000"/>
              <w:bottom w:val="single" w:sz="4" w:space="0" w:color="000000"/>
              <w:insideH w:val="single" w:sz="4" w:space="0" w:color="000000"/>
            </w:tcBorders>
            <w:shd w:fill="CCFFFF" w:val="clear"/>
            <w:tcMar>
              <w:left w:w="60" w:type="dxa"/>
            </w:tcMar>
            <w:vAlign w:val="bottom"/>
          </w:tcPr>
          <w:p>
            <w:pPr>
              <w:pStyle w:val="Normal"/>
              <w:rPr>
                <w:rFonts w:ascii="Arial" w:hAnsi="Arial" w:cs="Arial"/>
                <w:sz w:val="16"/>
                <w:szCs w:val="16"/>
              </w:rPr>
            </w:pPr>
            <w:r>
              <w:rPr>
                <w:rFonts w:cs="Arial" w:ascii="Arial" w:hAnsi="Arial"/>
                <w:sz w:val="16"/>
                <w:szCs w:val="16"/>
              </w:rPr>
              <w:t>Náklady s marží a DPH po transformaci</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CCFFFF" w:val="clear"/>
            <w:tcMar>
              <w:left w:w="65" w:type="dxa"/>
            </w:tcMar>
            <w:vAlign w:val="bottom"/>
          </w:tcPr>
          <w:p>
            <w:pPr>
              <w:pStyle w:val="Normal"/>
              <w:jc w:val="right"/>
              <w:rPr>
                <w:rFonts w:ascii="Arial" w:hAnsi="Arial" w:cs="Arial"/>
                <w:sz w:val="16"/>
                <w:szCs w:val="16"/>
              </w:rPr>
            </w:pPr>
            <w:r>
              <w:rPr>
                <w:rFonts w:cs="Arial" w:ascii="Arial" w:hAnsi="Arial"/>
                <w:sz w:val="16"/>
                <w:szCs w:val="16"/>
              </w:rPr>
              <w:t>304 181,61</w:t>
            </w:r>
          </w:p>
        </w:tc>
      </w:tr>
      <w:tr>
        <w:trPr>
          <w:trHeight w:val="300" w:hRule="atLeast"/>
        </w:trPr>
        <w:tc>
          <w:tcPr>
            <w:tcW w:w="4840" w:type="dxa"/>
            <w:tcBorders>
              <w:left w:val="single" w:sz="8" w:space="0" w:color="000000"/>
              <w:bottom w:val="single" w:sz="4" w:space="0" w:color="000000"/>
              <w:insideH w:val="single" w:sz="4" w:space="0" w:color="000000"/>
            </w:tcBorders>
            <w:shd w:fill="CCFFFF" w:val="clear"/>
            <w:tcMar>
              <w:left w:w="60" w:type="dxa"/>
            </w:tcMar>
            <w:vAlign w:val="bottom"/>
          </w:tcPr>
          <w:p>
            <w:pPr>
              <w:pStyle w:val="Normal"/>
              <w:rPr>
                <w:rFonts w:ascii="Arial" w:hAnsi="Arial" w:cs="Arial"/>
                <w:b/>
                <w:b/>
                <w:bCs/>
                <w:sz w:val="16"/>
                <w:szCs w:val="16"/>
              </w:rPr>
            </w:pPr>
            <w:r>
              <w:rPr>
                <w:rFonts w:cs="Arial" w:ascii="Arial" w:hAnsi="Arial"/>
                <w:b/>
                <w:bCs/>
                <w:sz w:val="16"/>
                <w:szCs w:val="16"/>
              </w:rPr>
              <w:t>Náklady po transformaci po zohlednění jiných zdrojů TSK</w:t>
            </w:r>
          </w:p>
        </w:tc>
        <w:tc>
          <w:tcPr>
            <w:tcW w:w="152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CCFFFF"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278 379,31</w:t>
            </w:r>
          </w:p>
        </w:tc>
      </w:tr>
      <w:tr>
        <w:trPr>
          <w:trHeight w:val="300" w:hRule="atLeast"/>
        </w:trPr>
        <w:tc>
          <w:tcPr>
            <w:tcW w:w="4840" w:type="dxa"/>
            <w:tcBorders>
              <w:left w:val="single" w:sz="8" w:space="0" w:color="000000"/>
              <w:bottom w:val="single" w:sz="4" w:space="0" w:color="000000"/>
              <w:insideH w:val="single" w:sz="4" w:space="0" w:color="000000"/>
            </w:tcBorders>
            <w:shd w:fill="auto" w:val="clear"/>
            <w:tcMar>
              <w:left w:w="60" w:type="dxa"/>
            </w:tcMar>
            <w:vAlign w:val="bottom"/>
          </w:tcPr>
          <w:p>
            <w:pPr>
              <w:pStyle w:val="Normal"/>
              <w:rPr>
                <w:rFonts w:ascii="Arial" w:hAnsi="Arial" w:cs="Arial"/>
                <w:sz w:val="16"/>
                <w:szCs w:val="16"/>
              </w:rPr>
            </w:pPr>
            <w:r>
              <w:rPr>
                <w:rFonts w:cs="Arial" w:ascii="Arial" w:hAnsi="Arial"/>
                <w:sz w:val="16"/>
                <w:szCs w:val="16"/>
              </w:rPr>
              <w:t>Rozdíl v nákladech</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44 271,44</w:t>
            </w:r>
          </w:p>
        </w:tc>
      </w:tr>
      <w:tr>
        <w:trPr>
          <w:trHeight w:val="300" w:hRule="atLeast"/>
        </w:trPr>
        <w:tc>
          <w:tcPr>
            <w:tcW w:w="4840" w:type="dxa"/>
            <w:tcBorders>
              <w:left w:val="single" w:sz="8" w:space="0" w:color="000000"/>
              <w:bottom w:val="single" w:sz="4" w:space="0" w:color="000000"/>
              <w:insideH w:val="single" w:sz="4" w:space="0" w:color="000000"/>
            </w:tcBorders>
            <w:shd w:fill="auto" w:val="clear"/>
            <w:tcMar>
              <w:left w:w="60" w:type="dxa"/>
            </w:tcMar>
            <w:vAlign w:val="bottom"/>
          </w:tcPr>
          <w:p>
            <w:pPr>
              <w:pStyle w:val="Normal"/>
              <w:rPr>
                <w:rFonts w:ascii="Arial" w:hAnsi="Arial" w:cs="Arial"/>
                <w:sz w:val="16"/>
                <w:szCs w:val="16"/>
              </w:rPr>
            </w:pPr>
            <w:r>
              <w:rPr>
                <w:rFonts w:cs="Arial" w:ascii="Arial" w:hAnsi="Arial"/>
                <w:sz w:val="16"/>
                <w:szCs w:val="16"/>
              </w:rPr>
              <w:t>Uplatnitelný odpočet DPH - odhad navýšení</w:t>
            </w:r>
          </w:p>
        </w:tc>
        <w:tc>
          <w:tcPr>
            <w:tcW w:w="15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65" w:type="dxa"/>
            </w:tcMar>
            <w:vAlign w:val="bottom"/>
          </w:tcPr>
          <w:p>
            <w:pPr>
              <w:pStyle w:val="Normal"/>
              <w:jc w:val="right"/>
              <w:rPr>
                <w:rFonts w:ascii="Arial" w:hAnsi="Arial" w:cs="Arial"/>
                <w:sz w:val="16"/>
                <w:szCs w:val="16"/>
              </w:rPr>
            </w:pPr>
            <w:r>
              <w:rPr>
                <w:rFonts w:cs="Arial" w:ascii="Arial" w:hAnsi="Arial"/>
                <w:sz w:val="16"/>
                <w:szCs w:val="16"/>
              </w:rPr>
              <w:t>3 343,89</w:t>
            </w:r>
          </w:p>
        </w:tc>
      </w:tr>
      <w:tr>
        <w:trPr>
          <w:trHeight w:val="315" w:hRule="atLeast"/>
        </w:trPr>
        <w:tc>
          <w:tcPr>
            <w:tcW w:w="4840" w:type="dxa"/>
            <w:tcBorders>
              <w:left w:val="single" w:sz="8" w:space="0" w:color="000000"/>
              <w:bottom w:val="single" w:sz="8" w:space="0" w:color="000000"/>
              <w:insideH w:val="single" w:sz="8" w:space="0" w:color="000000"/>
            </w:tcBorders>
            <w:shd w:fill="33CCCC" w:val="clear"/>
            <w:tcMar>
              <w:left w:w="60" w:type="dxa"/>
            </w:tcMar>
            <w:vAlign w:val="bottom"/>
          </w:tcPr>
          <w:p>
            <w:pPr>
              <w:pStyle w:val="Normal"/>
              <w:rPr>
                <w:rFonts w:ascii="Arial" w:hAnsi="Arial" w:cs="Arial"/>
                <w:b/>
                <w:b/>
                <w:bCs/>
                <w:sz w:val="16"/>
                <w:szCs w:val="16"/>
              </w:rPr>
            </w:pPr>
            <w:r>
              <w:rPr>
                <w:rFonts w:cs="Arial" w:ascii="Arial" w:hAnsi="Arial"/>
                <w:b/>
                <w:bCs/>
                <w:sz w:val="16"/>
                <w:szCs w:val="16"/>
              </w:rPr>
              <w:t>Celkový rozdíl nákladovosti</w:t>
            </w:r>
          </w:p>
        </w:tc>
        <w:tc>
          <w:tcPr>
            <w:tcW w:w="1520" w:type="dxa"/>
            <w:tcBorders>
              <w:left w:val="single" w:sz="4" w:space="0" w:color="000000"/>
              <w:bottom w:val="single" w:sz="8" w:space="0" w:color="000000"/>
              <w:right w:val="single" w:sz="8" w:space="0" w:color="000000"/>
              <w:insideH w:val="single" w:sz="8" w:space="0" w:color="000000"/>
              <w:insideV w:val="single" w:sz="8" w:space="0" w:color="000000"/>
            </w:tcBorders>
            <w:shd w:fill="33CCCC" w:val="clear"/>
            <w:tcMar>
              <w:left w:w="65" w:type="dxa"/>
            </w:tcMar>
            <w:vAlign w:val="bottom"/>
          </w:tcPr>
          <w:p>
            <w:pPr>
              <w:pStyle w:val="Normal"/>
              <w:jc w:val="right"/>
              <w:rPr>
                <w:rFonts w:ascii="Arial" w:hAnsi="Arial" w:cs="Arial"/>
                <w:b/>
                <w:b/>
                <w:bCs/>
                <w:sz w:val="16"/>
                <w:szCs w:val="16"/>
              </w:rPr>
            </w:pPr>
            <w:r>
              <w:rPr>
                <w:rFonts w:cs="Arial" w:ascii="Arial" w:hAnsi="Arial"/>
                <w:b/>
                <w:bCs/>
                <w:sz w:val="16"/>
                <w:szCs w:val="16"/>
              </w:rPr>
              <w:t>40 927,56</w:t>
            </w:r>
          </w:p>
        </w:tc>
      </w:tr>
    </w:tbl>
    <w:p>
      <w:pPr>
        <w:pStyle w:val="Stanoviskotext"/>
        <w:rPr/>
      </w:pPr>
      <w:r>
        <w:rPr/>
        <w:t>Porovnáme-li náklady HMP, které vyplývají ze stávajícího právního rámce (zejména úplata za služby dle smlouvy o zajištění správy majetku a přípěvky HMP), se skutečnými výdaji, které musí HMP na činnost TSK vynakládat, zjistíme, že TSK je aktuálně schopná tyto náklady ve výši cca 25,8 mil. Kč pokrýt z „vlastních zdrojů“.</w:t>
      </w:r>
    </w:p>
    <w:p>
      <w:pPr>
        <w:pStyle w:val="Stanoviskotext"/>
        <w:rPr/>
      </w:pPr>
      <w:r>
        <w:rPr/>
        <w:t>Nově vzniklá obchodní společnost bude uplatňovat DPH na veškerá plnění poskytovaná pro HMP. Protože poskytovaná plnění využívá HMP zejména pro jinou než ekonomickou činnost, nepřiznává mu zákon o dani z přidané hodnoty nárok na odpočet daně. Dopady transformace TSK by tak pro rozpočet HMP mohly dle naší analýzy představovat dodatečné zatížení ve výši až 41 mil. Kč. Toto navýšení pro rozpočet HMP by mohlo být na druhou stranu zmírněno, pokud by bylo možné aplikovat nižší než uvažovanou marži (na základě provedení studie transferových cen zohledňující specifické postavení TSK na trhu) nebo v případě, pokud by HMP přistoupilo k tržnímu ohodnocení využívání svého majetku v rámci dnešní doplňkové činnosti TSK, čímž by došlo k dodatečnému navýšení příjmů HMP, které by kompenzovalo toto dodatečné navýšení výdajů (zisk TSK z vedlejší činnosti činí cca 17 mil. Kč po zdanění).</w:t>
      </w:r>
    </w:p>
    <w:p>
      <w:pPr>
        <w:pStyle w:val="Stanoviskotext"/>
        <w:rPr/>
      </w:pPr>
      <w:r>
        <w:rPr/>
        <w:t>Nově založená akciová společnost by se stala plátcem DPH buď na základě dobrovolné registrace, nebo ze zákona, pokud by vstoupila do obchodních vztahů, které vedou ke vzniku plátcovství na základě příslušného právního úkonu. Příkladem může být např. nabytí obchodního závodu od plátce.</w:t>
      </w:r>
    </w:p>
    <w:p>
      <w:pPr>
        <w:pStyle w:val="Stanoviskotext"/>
        <w:rPr/>
      </w:pPr>
      <w:r>
        <w:rPr/>
        <w:t>V případě, že by se HMP rozhodlo nerealizovat transformaci na akciovou společnost, doporučujeme znovu posoudit, zda by TSK mělo realizovat správu nemovitostí HMP na základě stávající smlouvy s aplikací DPH, nebo zda by tak nemělo být činěno výhradně na základě pověření obsaženého ve statutu. Lze předpokládat, že by tato změna znamenala pro HMP úsporu cca 20.000.000,- Kč oproti stávajícímu stavu.</w:t>
      </w:r>
    </w:p>
    <w:p>
      <w:pPr>
        <w:pStyle w:val="Stanoviskotext"/>
        <w:rPr>
          <w:highlight w:val="yellow"/>
        </w:rPr>
      </w:pPr>
      <w:r>
        <w:rPr>
          <w:highlight w:val="yellow"/>
        </w:rPr>
      </w:r>
    </w:p>
    <w:p>
      <w:pPr>
        <w:pStyle w:val="Stanovisko2"/>
        <w:numPr>
          <w:ilvl w:val="1"/>
          <w:numId w:val="2"/>
        </w:numPr>
        <w:tabs>
          <w:tab w:val="left" w:pos="1080" w:leader="none"/>
        </w:tabs>
        <w:ind w:left="1080" w:hanging="1080"/>
        <w:rPr/>
      </w:pPr>
      <w:bookmarkStart w:id="14" w:name="__RefHeading___Toc382588299"/>
      <w:bookmarkEnd w:id="14"/>
      <w:r>
        <w:rPr/>
        <w:t>Daň z příjmů právnických osob</w:t>
      </w:r>
    </w:p>
    <w:p>
      <w:pPr>
        <w:pStyle w:val="Stanoviskotext"/>
        <w:rPr/>
      </w:pPr>
      <w:r>
        <w:rPr/>
        <w:t>Daň ze zisku TSK bude po transformaci na obchodní společnost příjmem státního rozpočtu. Zisk by však měl být nově generován i z dnešní hlavní činnosti TSK, tj. výnosy z dosavadní hlavní i vedlejší činnosti budou zahrnuty do základu daně, stejně jako tam budou zahrnuty náklady z těchto činností. Součástí základu daně tak bude celkový hospodářský výsledek a posuzování daňově relevantních nákladů bude shodné jako u jiných obchodních společností.</w:t>
      </w:r>
    </w:p>
    <w:p>
      <w:pPr>
        <w:pStyle w:val="Stanoviskotext"/>
        <w:rPr/>
      </w:pPr>
      <w:r>
        <w:rPr/>
        <w:t>Je třeba konstatovat, že v případě transformace TSK na akciovou společnost sice do rozpočtu hlavního města Prahy budou ve formě dividend proudit výnosy z majetkové účasti, které budou tvořit součást příjmů rozpočtu hlavního města Prahy v podobě víceméně pravidelných příjmů, tyto výnosy však budou nejprve zdaněny daní z příjmů.</w:t>
      </w:r>
    </w:p>
    <w:p>
      <w:pPr>
        <w:pStyle w:val="Stanoviskotext"/>
        <w:rPr/>
      </w:pPr>
      <w:r>
        <w:rPr/>
        <w:t>Výše základu daně a vlastní daňové povinnosti se bude a priori odvíjet od výše dosahovaného hospodářského výsledku. Vliv na hospodářský výsledek budou mít jak opatření na straně nákladů, tak případně opatření na straně výnosů.</w:t>
      </w:r>
    </w:p>
    <w:p>
      <w:pPr>
        <w:pStyle w:val="Stanoviskotext"/>
        <w:rPr/>
      </w:pPr>
      <w:r>
        <w:rPr/>
        <w:t xml:space="preserve">Jako nejvýznamnější vlivy na straně výnosů lze uvažovat zvyšování rozsahu stávající doplňkové činnosti a volbu cenové politiky HMP pro oblast stávající hlavní činnosti, resp. rozpočtové možnosti HMP a jejich dopad na rozsah činností zadávaných TSK. </w:t>
      </w:r>
    </w:p>
    <w:p>
      <w:pPr>
        <w:pStyle w:val="Stanoviskotext"/>
        <w:rPr/>
      </w:pPr>
      <w:r>
        <w:rPr/>
        <w:t>Výsledný základ daně bude nejprve zdaněn daní ze zisku – aktuálně daní z příjmů právnických osob ve výši 19 % ze základu daně. Následně dojde ke zdanění vypláceného zisku srážkovou daní - aktuálně rovněž daní z příjmů právnických osob ve výši 15 % z rozdělovaného a vypláceného zisku. Tyto daně budou příjmem státního rozpočtu a do rozpočtu HMP se dostanou v poměrné výši v souladu rozpočtovým určením.</w:t>
      </w:r>
    </w:p>
    <w:p>
      <w:pPr>
        <w:pStyle w:val="Stanoviskotext"/>
        <w:rPr/>
      </w:pPr>
      <w:r>
        <w:rPr/>
        <w:t>Zákon o daních z příjmů v § 28 odst. 1 stanoví, kdo je odpisovatelem, tedy kdo je oprávněn odpisovat hmotný majetek. Na základě znění zákona je nutno konstatovat, že TSK jako příspěvková organizace hl. m. Prahy u majetku předaného jí do správy nemůže uplatňovat daňové odpisy. (Ve sféře obcí je to podle platného právního stavu vždy jen zřizovatel (obec), který jako vlastník může uplatnit odpisy majetku, ať už má tento majetek bezprostředně ve své moci, anebo zda jej svěřil do správy někomu jinému.)</w:t>
      </w:r>
    </w:p>
    <w:p>
      <w:pPr>
        <w:pStyle w:val="Stanoviskotext"/>
        <w:rPr/>
      </w:pPr>
      <w:r>
        <w:rPr/>
        <w:t>U majetku, jehož by byla TSK jako obchodní společnost vlastníkem, tomu právní předpis obecně nebrání a TSK by mohla daňové odpisy začít uplatňovat.</w:t>
      </w:r>
    </w:p>
    <w:p>
      <w:pPr>
        <w:pStyle w:val="Stanoviskotext"/>
        <w:rPr/>
      </w:pPr>
      <w:r>
        <w:rPr/>
      </w:r>
    </w:p>
    <w:p>
      <w:pPr>
        <w:pStyle w:val="Stanovisko2"/>
        <w:numPr>
          <w:ilvl w:val="1"/>
          <w:numId w:val="2"/>
        </w:numPr>
        <w:tabs>
          <w:tab w:val="left" w:pos="1080" w:leader="none"/>
        </w:tabs>
        <w:ind w:left="1080" w:hanging="1080"/>
        <w:rPr/>
      </w:pPr>
      <w:bookmarkStart w:id="15" w:name="__RefHeading___Toc382588300"/>
      <w:bookmarkEnd w:id="15"/>
      <w:r>
        <w:rPr/>
        <w:t>Daň z nabytí nemovitých věcí</w:t>
      </w:r>
    </w:p>
    <w:p>
      <w:pPr>
        <w:pStyle w:val="Stanoviskotext"/>
        <w:rPr/>
      </w:pPr>
      <w:r>
        <w:rPr/>
        <w:t>Při posuzování možných daňových dopadů v oblasti daně z nabytí nemovitých věcí (za předpokladu, že nemovité věci budou předmětem převodu) je nutné vzít v úvahu novou daňovou legislativu, zejména dopady přijetí zákonného opatření Senátu a zákonného opatření Senátu o DNN. Tyto právní předpisy s účinností od 1. 1. 2014 zrušily stávající ZDDDN, přičemž daň z převodu nemovitosti byla od tohoto okamžiku nahrazena tzv. daní z nabytí nemovitých věcí. Právním základem je zmiňované zákonné opatření Senátu o DNN.</w:t>
      </w:r>
    </w:p>
    <w:p>
      <w:pPr>
        <w:pStyle w:val="Stanoviskotext"/>
        <w:rPr/>
      </w:pPr>
      <w:r>
        <w:rPr/>
        <w:t>S účinností od 1. 1. 2014 nadále zůstávají předmětem daně úplatné převody nemovitých věcí. Oproti předchozí úpravě však nová právní úprava neobsahuje ustanovení osvobozující vklady nemovitého majetku do základního kapitálu akciové společnosti ve smyslu § 20 odst. 6 písm. d) ZDDDN. Vklad nemovitostí do základního kapitálu akciové společnosti tak podle našeho názoru obecně bude podléhat dani z nabytí nemovitých věcí.</w:t>
      </w:r>
    </w:p>
    <w:p>
      <w:pPr>
        <w:pStyle w:val="Stanoviskotext"/>
        <w:rPr/>
      </w:pPr>
      <w:r>
        <w:rPr/>
        <w:t>Základem daně z nabytí nemovitých věcí by byla nabývací hodnota snížená o uznatelný výdaj (viz § 10 zákonného opatření Senátu o DNN). Při vkladu nemovité věci do kapitálové společnosti by se za nabývací cenu považovala tzv. zvláštní cena, kterou se rozumí cena nemovité věci určená (1) znalcem při ocenění nepeněžitého vkladu, případně (2) cena nemovité věci určená pro účely zvyšování základního kapitálu kapitálové společnosti podle zákona o obchodních korporacích (viz § 18 odst. 1 písm. c) zákonného opatření Senátu o DNN). Pro úplnost uvádíme, že pokud by byly při vkladu nemovité věci do obchodní korporace do ceny nemovitého věci započteny dluhy převzaté obchodní korporací, zvláštní cenou ve výše uvedeném smyslu by se považovala cena nemovité věci bez započtení těchto dluhů (viz § 18 odst. 2 zákonného opatření Senátu o DNN).</w:t>
      </w:r>
    </w:p>
    <w:p>
      <w:pPr>
        <w:pStyle w:val="Stanoviskotext"/>
        <w:rPr/>
      </w:pPr>
      <w:r>
        <w:rPr/>
        <w:t>Výše uvedené by nepochybně představovalo daňový dopad na transformaci TSK na akciovou společnost.</w:t>
      </w:r>
    </w:p>
    <w:p>
      <w:pPr>
        <w:pStyle w:val="Stanoviskotext"/>
        <w:rPr/>
      </w:pPr>
      <w:r>
        <w:rPr/>
        <w:t xml:space="preserve">Zákonné opatření Senátu o DNN nicméně stanoví v § 6 věcná osvobození ve veřejnoprávní oblasti, podle kterých bude </w:t>
      </w:r>
      <w:r>
        <w:rPr>
          <w:b/>
        </w:rPr>
        <w:t>od daně z nabytí nemovitých věcí osvobozeno</w:t>
      </w:r>
      <w:r>
        <w:rPr/>
        <w:t xml:space="preserve">, mimo jiné, </w:t>
      </w:r>
      <w:r>
        <w:rPr>
          <w:b/>
        </w:rPr>
        <w:t>nabytí vlastnického práva k nemovité věci právnickou osobou, nabývá-li vlastnické právo k nemovité věci z majetku územního samosprávného celku a územní samosprávný celek je jediným členem této právnické osoby, za podmínky, že nejde o veřejnou podporu neslučitelnou s vnitřním trhem</w:t>
      </w:r>
      <w:r>
        <w:rPr/>
        <w:t xml:space="preserve"> podle přímo použitelného předpisu Evropské unie (viz § 6 odst. 2 písm. b) bod 2. zákonného opatření Senátu o DNN). Domníváme se, že tuto výjimku by mělo být možné aplikovat i na vklad nemovitého majetku hlavního města Prahy, který TSK užívá, do základního kapitálu nově zakládané akciové společnosti tak, jak je uvažováno v případě transformace. Samozřejmě s výhradou, že tím nesmí dojít k poskytnutí nedovolené veřejné podpory této akciové společnosti, k čemuž by podle našeho názoru ve světle závěrů právní analýzy dojít nemělo.</w:t>
      </w:r>
    </w:p>
    <w:p>
      <w:pPr>
        <w:pStyle w:val="Stanoviskotext"/>
        <w:rPr/>
      </w:pPr>
      <w:r>
        <w:rPr/>
      </w:r>
    </w:p>
    <w:p>
      <w:pPr>
        <w:pStyle w:val="Stanovisko2"/>
        <w:numPr>
          <w:ilvl w:val="1"/>
          <w:numId w:val="2"/>
        </w:numPr>
        <w:tabs>
          <w:tab w:val="left" w:pos="1080" w:leader="none"/>
        </w:tabs>
        <w:ind w:left="1080" w:hanging="1080"/>
        <w:rPr/>
      </w:pPr>
      <w:bookmarkStart w:id="16" w:name="__RefHeading___Toc382588301"/>
      <w:bookmarkEnd w:id="16"/>
      <w:r>
        <w:rPr/>
        <w:t>Daň z nemovitých věcí</w:t>
      </w:r>
    </w:p>
    <w:p>
      <w:pPr>
        <w:pStyle w:val="Stanoviskotext"/>
        <w:rPr/>
      </w:pPr>
      <w:r>
        <w:rPr/>
        <w:t xml:space="preserve">S ohledem na skutečnost, že v rámci zvažované transformace by pravděpodobně mělo dojít i k vložení některých nemovitých věcí do základního kapitálu akciové společnosti, vznikne akciové společnosti povinnost podat </w:t>
      </w:r>
      <w:r>
        <w:rPr>
          <w:b/>
        </w:rPr>
        <w:t>daňová přiznání k dani z nemovitých věcí</w:t>
      </w:r>
      <w:r>
        <w:rPr/>
        <w:t>. Jelikož se daňové přiznání obecně podává do 31. 1. příslušného kalendářního roku, přičemž platí, že ke změnám skutečností rozhodných pro daň, které nastanou v průběhu zdaňovacího období, se nepřihlíží, lze očekávat, že tato povinnost akciové společnosti vznikne až k 31. 1. roku následujícího po realizaci transformace.</w:t>
      </w:r>
    </w:p>
    <w:p>
      <w:pPr>
        <w:pStyle w:val="Stanoviskotext"/>
        <w:rPr/>
      </w:pPr>
      <w:r>
        <w:rPr/>
        <w:t>Akciové společnosti TSK případně vznikne povinnost přiznat a platit daň z nemovitého majetku v návaznosti na rozhodnutí, zda a v jakém rozsahu na ni bude nemovitý majetek převeden z HMP. Daň z nemovitých věcí je u akciové společnosti daňovým nákladem a je zároveň rozpočtovým příjmem HMP. Výše daně z nemovitých věcí však zřejmě nebude zásadním způsobem ovlivňovat hospodaření organizace a lze očekávat, že se bude pohybovat nejvýše v desítkách tisíc Kč.</w:t>
      </w:r>
    </w:p>
    <w:p>
      <w:pPr>
        <w:pStyle w:val="Stanoviskotext"/>
        <w:rPr/>
      </w:pPr>
      <w:r>
        <w:rPr/>
        <w:t>Pro vytvoření bližší představy o výši daňové povinnosti byla zhotovitelem vypočtena daňová povinnost k dani z nemovitých věcí vztahující se k nemovitým objektům v Praze 1 – Řásnovka a Praze 9 – Poděbradská.</w:t>
      </w:r>
    </w:p>
    <w:p>
      <w:pPr>
        <w:pStyle w:val="Stanoviskotext"/>
        <w:rPr/>
      </w:pPr>
      <w:r>
        <w:rPr/>
        <w:t>Při zařazení objektů byly pro daň z nemovitých věcí shora uvedené nemovité věci označeny jako objekty O - ostatní druhy podnikání se základní sazbou 10 Kč m</w:t>
      </w:r>
      <w:r>
        <w:rPr>
          <w:vertAlign w:val="superscript"/>
        </w:rPr>
        <w:t>2</w:t>
      </w:r>
      <w:r>
        <w:rPr/>
        <w:t xml:space="preserve"> dle § 11 odst. 3 ZDN.</w:t>
      </w:r>
    </w:p>
    <w:p>
      <w:pPr>
        <w:pStyle w:val="Stanoviskotext"/>
        <w:numPr>
          <w:ilvl w:val="0"/>
          <w:numId w:val="5"/>
        </w:numPr>
        <w:tabs>
          <w:tab w:val="left" w:pos="540" w:leader="none"/>
          <w:tab w:val="left" w:pos="3960" w:leader="none"/>
          <w:tab w:val="left" w:pos="5400" w:leader="none"/>
          <w:tab w:val="left" w:pos="7740" w:leader="none"/>
        </w:tabs>
        <w:ind w:left="0" w:hanging="0"/>
        <w:rPr/>
      </w:pPr>
      <w:r>
        <w:rPr/>
        <w:t>Praha 1 – Řásnovka 770/8</w:t>
        <w:tab/>
        <w:t>1016 m</w:t>
      </w:r>
      <w:r>
        <w:rPr>
          <w:vertAlign w:val="superscript"/>
        </w:rPr>
        <w:t>2</w:t>
      </w:r>
      <w:r>
        <w:rPr/>
        <w:tab/>
        <w:t>daň z nemovité věci</w:t>
        <w:tab/>
        <w:t>14 732 Kč</w:t>
      </w:r>
    </w:p>
    <w:p>
      <w:pPr>
        <w:pStyle w:val="Stanoviskotext"/>
        <w:numPr>
          <w:ilvl w:val="0"/>
          <w:numId w:val="5"/>
        </w:numPr>
        <w:tabs>
          <w:tab w:val="left" w:pos="540" w:leader="none"/>
          <w:tab w:val="left" w:pos="3960" w:leader="none"/>
          <w:tab w:val="left" w:pos="5400" w:leader="none"/>
          <w:tab w:val="left" w:pos="7740" w:leader="none"/>
        </w:tabs>
        <w:ind w:left="0" w:hanging="0"/>
        <w:rPr/>
      </w:pPr>
      <w:r>
        <w:rPr/>
        <w:t>Praha 9 – Poděbradská 218/185</w:t>
        <w:tab/>
        <w:t>1003 m2</w:t>
        <w:tab/>
        <w:t>daň z nemovité věci</w:t>
        <w:tab/>
        <w:t>12 278 Kč</w:t>
      </w:r>
    </w:p>
    <w:p>
      <w:pPr>
        <w:pStyle w:val="Stanoviskotext"/>
        <w:rPr/>
      </w:pPr>
      <w:r>
        <w:rPr/>
        <w:t>Na základě informací z webových stránek příspěvkové organizace</w:t>
      </w:r>
      <w:r>
        <w:rPr>
          <w:rStyle w:val="FootnoteCharacters"/>
          <w:rStyle w:val="FootnoteAnchor"/>
        </w:rPr>
        <w:footnoteReference w:id="5"/>
      </w:r>
      <w:r>
        <w:rPr/>
        <w:t xml:space="preserve"> má však TSK v užívání ještě další objekty:</w:t>
      </w:r>
    </w:p>
    <w:p>
      <w:pPr>
        <w:pStyle w:val="Stanoviskotext"/>
        <w:numPr>
          <w:ilvl w:val="1"/>
          <w:numId w:val="5"/>
        </w:numPr>
        <w:tabs>
          <w:tab w:val="left" w:pos="1620" w:leader="none"/>
        </w:tabs>
        <w:spacing w:before="240" w:after="0"/>
        <w:ind w:left="0" w:firstLine="1077"/>
        <w:rPr/>
      </w:pPr>
      <w:r>
        <w:rPr/>
        <w:t>Školská 13/687</w:t>
      </w:r>
    </w:p>
    <w:p>
      <w:pPr>
        <w:pStyle w:val="Stanoviskotext"/>
        <w:numPr>
          <w:ilvl w:val="1"/>
          <w:numId w:val="5"/>
        </w:numPr>
        <w:tabs>
          <w:tab w:val="left" w:pos="1620" w:leader="none"/>
        </w:tabs>
        <w:spacing w:before="0" w:after="240"/>
        <w:ind w:left="0" w:firstLine="1077"/>
        <w:rPr/>
      </w:pPr>
      <w:r>
        <w:rPr/>
        <w:t>Bezová 1658</w:t>
      </w:r>
    </w:p>
    <w:p>
      <w:pPr>
        <w:pStyle w:val="Stanoviskotext"/>
        <w:numPr>
          <w:ilvl w:val="1"/>
          <w:numId w:val="5"/>
        </w:numPr>
        <w:tabs>
          <w:tab w:val="left" w:pos="1620" w:leader="none"/>
        </w:tabs>
        <w:spacing w:before="0" w:after="240"/>
        <w:ind w:left="0" w:firstLine="1077"/>
        <w:rPr/>
      </w:pPr>
      <w:r>
        <w:rPr/>
        <w:t>Bubenečská 15/309</w:t>
      </w:r>
    </w:p>
    <w:p>
      <w:pPr>
        <w:pStyle w:val="Stanoviskotext"/>
        <w:numPr>
          <w:ilvl w:val="1"/>
          <w:numId w:val="5"/>
        </w:numPr>
        <w:tabs>
          <w:tab w:val="left" w:pos="1620" w:leader="none"/>
        </w:tabs>
        <w:spacing w:before="0" w:after="240"/>
        <w:ind w:left="0" w:firstLine="1077"/>
        <w:rPr/>
      </w:pPr>
      <w:r>
        <w:rPr/>
        <w:t>Krupská 1978/28</w:t>
      </w:r>
    </w:p>
    <w:p>
      <w:pPr>
        <w:pStyle w:val="Stanoviskotext"/>
        <w:numPr>
          <w:ilvl w:val="1"/>
          <w:numId w:val="5"/>
        </w:numPr>
        <w:tabs>
          <w:tab w:val="left" w:pos="1620" w:leader="none"/>
        </w:tabs>
        <w:spacing w:before="0" w:after="240"/>
        <w:ind w:left="0" w:firstLine="1077"/>
        <w:rPr/>
      </w:pPr>
      <w:r>
        <w:rPr/>
        <w:t>Milíčova 24/173</w:t>
      </w:r>
    </w:p>
    <w:p>
      <w:pPr>
        <w:pStyle w:val="Stanoviskotext"/>
        <w:numPr>
          <w:ilvl w:val="1"/>
          <w:numId w:val="5"/>
        </w:numPr>
        <w:tabs>
          <w:tab w:val="left" w:pos="1620" w:leader="none"/>
        </w:tabs>
        <w:spacing w:before="0" w:after="240"/>
        <w:ind w:left="0" w:firstLine="1077"/>
        <w:rPr/>
      </w:pPr>
      <w:r>
        <w:rPr/>
        <w:t>Na Bojišti 5</w:t>
      </w:r>
    </w:p>
    <w:p>
      <w:pPr>
        <w:pStyle w:val="Stanoviskotext"/>
        <w:numPr>
          <w:ilvl w:val="1"/>
          <w:numId w:val="5"/>
        </w:numPr>
        <w:tabs>
          <w:tab w:val="left" w:pos="1620" w:leader="none"/>
        </w:tabs>
        <w:spacing w:before="0" w:after="240"/>
        <w:ind w:left="0" w:firstLine="1077"/>
        <w:rPr/>
      </w:pPr>
      <w:r>
        <w:rPr/>
        <w:t>Podlipného 942</w:t>
      </w:r>
    </w:p>
    <w:p>
      <w:pPr>
        <w:pStyle w:val="Stanoviskotext"/>
        <w:numPr>
          <w:ilvl w:val="1"/>
          <w:numId w:val="5"/>
        </w:numPr>
        <w:tabs>
          <w:tab w:val="left" w:pos="1620" w:leader="none"/>
        </w:tabs>
        <w:spacing w:before="0" w:after="240"/>
        <w:ind w:left="0" w:firstLine="1077"/>
        <w:rPr/>
      </w:pPr>
      <w:r>
        <w:rPr/>
        <w:t>Rejskova 1/1052</w:t>
      </w:r>
    </w:p>
    <w:p>
      <w:pPr>
        <w:pStyle w:val="Stanoviskotext"/>
        <w:numPr>
          <w:ilvl w:val="1"/>
          <w:numId w:val="5"/>
        </w:numPr>
        <w:tabs>
          <w:tab w:val="left" w:pos="1620" w:leader="none"/>
        </w:tabs>
        <w:spacing w:before="0" w:after="240"/>
        <w:ind w:left="0" w:firstLine="1077"/>
        <w:rPr/>
      </w:pPr>
      <w:r>
        <w:rPr/>
        <w:t>Šermířská 11</w:t>
      </w:r>
    </w:p>
    <w:p>
      <w:pPr>
        <w:pStyle w:val="Stanoviskotext"/>
        <w:numPr>
          <w:ilvl w:val="1"/>
          <w:numId w:val="5"/>
        </w:numPr>
        <w:tabs>
          <w:tab w:val="left" w:pos="1620" w:leader="none"/>
        </w:tabs>
        <w:spacing w:before="0" w:after="240"/>
        <w:ind w:left="0" w:firstLine="1077"/>
        <w:rPr/>
      </w:pPr>
      <w:r>
        <w:rPr/>
        <w:t>Ostrovského 253</w:t>
      </w:r>
      <w:r>
        <w:br w:type="page"/>
      </w:r>
    </w:p>
    <w:p>
      <w:pPr>
        <w:pStyle w:val="Stanovisko1"/>
        <w:numPr>
          <w:ilvl w:val="0"/>
          <w:numId w:val="2"/>
        </w:numPr>
        <w:tabs>
          <w:tab w:val="left" w:pos="1080" w:leader="none"/>
        </w:tabs>
        <w:ind w:left="1080" w:hanging="1080"/>
        <w:rPr/>
      </w:pPr>
      <w:bookmarkStart w:id="17" w:name="__RefHeading___Toc382588302"/>
      <w:bookmarkEnd w:id="17"/>
      <w:r>
        <w:rPr/>
        <w:t>Dopady transformace do personální a mzdové oblasti</w:t>
      </w:r>
    </w:p>
    <w:p>
      <w:pPr>
        <w:pStyle w:val="Stanovisko2"/>
        <w:numPr>
          <w:ilvl w:val="1"/>
          <w:numId w:val="2"/>
        </w:numPr>
        <w:tabs>
          <w:tab w:val="left" w:pos="1080" w:leader="none"/>
        </w:tabs>
        <w:ind w:left="1080" w:hanging="1080"/>
        <w:rPr/>
      </w:pPr>
      <w:bookmarkStart w:id="18" w:name="__RefHeading___Toc382588303"/>
      <w:bookmarkEnd w:id="18"/>
      <w:r>
        <w:rPr/>
        <w:t>Obecné zásady</w:t>
      </w:r>
    </w:p>
    <w:p>
      <w:pPr>
        <w:pStyle w:val="Stanoviskotext"/>
        <w:rPr/>
      </w:pPr>
      <w:r>
        <w:rPr/>
        <w:t>Při procesu transformace dochází k převodu úkolů a činností původního zaměstnavatele – příspěvkové organizace k jinému zaměstnavateli - akciové společnosti. Pro úplnost uvádíme, že zákoník práce k tomu v ustanoveních § 338 odst. 2 a 3 uvádí:</w:t>
      </w:r>
    </w:p>
    <w:p>
      <w:pPr>
        <w:pStyle w:val="Stanoviskotext"/>
        <w:rPr/>
      </w:pPr>
      <w:r>
        <w:rPr>
          <w:rFonts w:eastAsia="Verdana"/>
          <w:i/>
        </w:rPr>
        <w:t>„</w:t>
      </w:r>
      <w:r>
        <w:rPr>
          <w:i/>
          <w:iCs/>
        </w:rPr>
        <w:t xml:space="preserve">(2) </w:t>
      </w:r>
      <w:r>
        <w:rPr>
          <w:i/>
        </w:rPr>
        <w:t>Dochází-li k převodu činnosti zaměstnavatele nebo části činnosti zaměstnavatele nebo k převodu úkolů zaměstnavatele anebo jejich části k jinému zaměstnavateli, přecházejí práva a povinnosti z pracovněprávních vztahů v plném rozsahu na přejímajícího zaměstnavatele; práva a povinnosti z kolektivní smlouvy přecházejí na přejímajícího zaměstnavatele na dobu účinnosti kolektivní smlouvy, nejdéle však do konce následujícího kalendářního roku.</w:t>
      </w:r>
    </w:p>
    <w:p>
      <w:pPr>
        <w:pStyle w:val="Stanoviskotext"/>
        <w:rPr>
          <w:i/>
          <w:i/>
        </w:rPr>
      </w:pPr>
      <w:r>
        <w:rPr>
          <w:i/>
        </w:rPr>
        <w:t>(3) Za úkoly nebo činnost zaměstnavatele se pro tyto účely považují zejména úkoly související se zajištěním výroby nebo poskytováním služeb a obdobná činnost podle zvláštních právních předpisů, které právnická nebo fyzická osoba provádí v zařízeních určených pro tyto činnosti nebo na místech obvyklých pro jejich výkon pod vlastním jménem a na vlastní odpovědnost. Za přejímajícího zaměstnavatele se bez ohledu na právní důvod převodu a na to, zda dochází k převodu vlastnických práv, považuje právnická nebo fyzická osoba, která je způsobilá jako zaměstnavatel pokračovat v plnění úkolů nebo činností dosavadního zaměstnavatele nebo v činnosti obdobného druhu.“</w:t>
      </w:r>
    </w:p>
    <w:p>
      <w:pPr>
        <w:pStyle w:val="Stanoviskotext"/>
        <w:rPr/>
      </w:pPr>
      <w:r>
        <w:rPr>
          <w:bCs/>
        </w:rPr>
        <w:t>Z uvedeného tedy vyplývá, že při transformaci nedojde k ukončení jednoho pracovního poměru a navázání pracovního poměru nového, ale k pokračování existujícího pracovněprávního vztahu, a tedy na straně zaměstnance nevzniká nárok na odstupné.</w:t>
      </w:r>
    </w:p>
    <w:p>
      <w:pPr>
        <w:pStyle w:val="Stanoviskotext"/>
        <w:rPr/>
      </w:pPr>
      <w:r>
        <w:rPr/>
        <w:t xml:space="preserve">Podle ustanovení </w:t>
      </w:r>
      <w:hyperlink r:id="rId42">
        <w:r>
          <w:rPr>
            <w:rStyle w:val="InternetLink"/>
          </w:rPr>
          <w:t>§ 339 ZP</w:t>
        </w:r>
      </w:hyperlink>
      <w:r>
        <w:rPr/>
        <w:t>r jsou dosavadní zaměstnavatel a přejímající zaměstnavatel před přechodem práv a povinností z pracovněprávních vztahů k jinému zaměstnavateli povinni informovat odborovou organizaci nebo radu zaměstnanců o této skutečnosti a projednat s nimi za účelem dosažení shody:</w:t>
      </w:r>
    </w:p>
    <w:p>
      <w:pPr>
        <w:pStyle w:val="Stanoviskotext"/>
        <w:numPr>
          <w:ilvl w:val="0"/>
          <w:numId w:val="21"/>
        </w:numPr>
        <w:rPr/>
      </w:pPr>
      <w:r>
        <w:rPr/>
        <w:t>stanovené nebo navrhované datum převodu,</w:t>
      </w:r>
    </w:p>
    <w:p>
      <w:pPr>
        <w:pStyle w:val="Stanoviskotext"/>
        <w:numPr>
          <w:ilvl w:val="0"/>
          <w:numId w:val="21"/>
        </w:numPr>
        <w:rPr/>
      </w:pPr>
      <w:r>
        <w:rPr/>
        <w:t>důvody převodu,</w:t>
      </w:r>
    </w:p>
    <w:p>
      <w:pPr>
        <w:pStyle w:val="Stanoviskotext"/>
        <w:numPr>
          <w:ilvl w:val="0"/>
          <w:numId w:val="21"/>
        </w:numPr>
        <w:rPr/>
      </w:pPr>
      <w:r>
        <w:rPr/>
        <w:t>právní, ekonomické a sociální důsledky převodu pro zaměstnance,</w:t>
      </w:r>
    </w:p>
    <w:p>
      <w:pPr>
        <w:pStyle w:val="Stanoviskotext"/>
        <w:numPr>
          <w:ilvl w:val="0"/>
          <w:numId w:val="21"/>
        </w:numPr>
        <w:rPr/>
      </w:pPr>
      <w:r>
        <w:rPr/>
        <w:t>připravovaná opatření ve vztahu k zaměstnancům.</w:t>
      </w:r>
    </w:p>
    <w:p>
      <w:pPr>
        <w:pStyle w:val="Normal"/>
        <w:spacing w:before="120" w:after="120"/>
        <w:jc w:val="both"/>
        <w:rPr>
          <w:rFonts w:ascii="Verdana" w:hAnsi="Verdana" w:cs="Verdana"/>
        </w:rPr>
      </w:pPr>
      <w:r>
        <w:rPr>
          <w:rFonts w:cs="Verdana" w:ascii="Verdana" w:hAnsi="Verdana"/>
        </w:rPr>
      </w:r>
    </w:p>
    <w:p>
      <w:pPr>
        <w:pStyle w:val="Stanovisko2"/>
        <w:numPr>
          <w:ilvl w:val="1"/>
          <w:numId w:val="2"/>
        </w:numPr>
        <w:tabs>
          <w:tab w:val="left" w:pos="1080" w:leader="none"/>
        </w:tabs>
        <w:ind w:left="1080" w:hanging="1080"/>
        <w:rPr/>
      </w:pPr>
      <w:bookmarkStart w:id="19" w:name="__RefHeading___Toc382588304"/>
      <w:bookmarkEnd w:id="19"/>
      <w:r>
        <w:rPr/>
        <w:t>Problematika odměňování zaměstnanců</w:t>
      </w:r>
    </w:p>
    <w:p>
      <w:pPr>
        <w:pStyle w:val="Stanoviskotext"/>
        <w:rPr/>
      </w:pPr>
      <w:r>
        <w:rPr/>
        <w:t>Odměňování je jedním ze základních nástrojů motivace zaměstnanců. Při transformaci příspěvkové organizace na akciovou společnost dojde k možnosti motivace zaměstnanců pomocí tohoto nástroje za účelem zajištění efektivního řízení společnosti. Pro nastavení motivující výše odměny nejen u vrcholových manažerů je možné využít:</w:t>
      </w:r>
    </w:p>
    <w:p>
      <w:pPr>
        <w:pStyle w:val="Stanoviskotext"/>
        <w:numPr>
          <w:ilvl w:val="0"/>
          <w:numId w:val="19"/>
        </w:numPr>
        <w:rPr/>
      </w:pPr>
      <w:r>
        <w:rPr/>
        <w:t>výši mzdy srovnatelnou s průměrnými hodnotami v rámci ČR v podnikatelské sféře;</w:t>
      </w:r>
    </w:p>
    <w:p>
      <w:pPr>
        <w:pStyle w:val="Stanoviskotext"/>
        <w:numPr>
          <w:ilvl w:val="0"/>
          <w:numId w:val="19"/>
        </w:numPr>
        <w:rPr/>
      </w:pPr>
      <w:r>
        <w:rPr/>
        <w:t>klíčové ukazatele výkonnosti (KPI).</w:t>
      </w:r>
    </w:p>
    <w:p>
      <w:pPr>
        <w:pStyle w:val="Stanoviskotext"/>
        <w:ind w:left="360" w:hanging="0"/>
        <w:rPr/>
      </w:pPr>
      <w:r>
        <w:rPr/>
      </w:r>
    </w:p>
    <w:p>
      <w:pPr>
        <w:pStyle w:val="Stanovisko4"/>
        <w:rPr/>
      </w:pPr>
      <w:r>
        <w:rPr/>
        <w:t>Srovnatelná výše mzdy</w:t>
      </w:r>
    </w:p>
    <w:p>
      <w:pPr>
        <w:pStyle w:val="Stanoviskotext"/>
        <w:rPr/>
      </w:pPr>
      <w:r>
        <w:rPr/>
        <w:t>Pro zjištění výše odměny u jednotlivých pracovních pozic lze standardně využít data zveřejněná v ISPV (Informační systém o průměrném výdělku). ISPV je systém pravidelného monitorování výdělkové úrovně zaměstnanců v České republice a obsahuje údaje z pravidelného statistického šetření, které je zařazeno do programu statistických zjišťování vyhlášených Českým statistickým úřadem (ČSÚ). Jednotlivé výdělkové úrovně zaměstnanců ČR jsou v systému vedeny v členění podle katalogu pracovních pozic dle CZ-ISCO</w:t>
      </w:r>
      <w:r>
        <w:rPr>
          <w:rStyle w:val="FootnoteAnchor"/>
          <w:vertAlign w:val="superscript"/>
        </w:rPr>
        <w:footnoteReference w:id="6"/>
      </w:r>
      <w:r>
        <w:rPr/>
        <w:t>. Gestorem šetření o průměrném výdělku je Ministerstvo práce a sociálních věcí.</w:t>
      </w:r>
    </w:p>
    <w:p>
      <w:pPr>
        <w:sectPr>
          <w:headerReference w:type="default" r:id="rId43"/>
          <w:headerReference w:type="first" r:id="rId44"/>
          <w:footerReference w:type="default" r:id="rId45"/>
          <w:footerReference w:type="first" r:id="rId46"/>
          <w:footnotePr>
            <w:numFmt w:val="decimal"/>
          </w:footnotePr>
          <w:type w:val="nextPage"/>
          <w:pgSz w:w="11906" w:h="16838"/>
          <w:pgMar w:left="1418" w:right="1418" w:header="709" w:top="1418" w:footer="567" w:bottom="1418" w:gutter="0"/>
          <w:pgNumType w:fmt="decimal"/>
          <w:formProt w:val="false"/>
          <w:titlePg/>
          <w:textDirection w:val="lrTb"/>
          <w:docGrid w:type="default" w:linePitch="360" w:charSpace="0"/>
        </w:sectPr>
        <w:pStyle w:val="Stanoviskotext"/>
        <w:rPr/>
      </w:pPr>
      <w:r>
        <w:rPr/>
        <w:t>Na základě informací poskytnutých objednatelem v tabulce níže uvádíme srovnání průměrné mzdy dosahované v TSK za rok 2012 s celorepublikovým průměrem. Vzhledem ke skutečnosti, že organizace TSK nemá pracovní pozice vedeny podle katalogu CZ-ISCO a zhotovitel ani neměl k dispozici podrobný popis náplně pracovní činnosti jednotlivých pozic, je nutné přistupovat k výsledkům tohoto srovnání jako k výsledkům orientačním. Obecně však lze konstatovat, že průměrná měsíční mzda v podnikatelské sféře dosahuje zpravidla vyšších hodnot, než mzda (plat) vyplácená ve státních organizacích, či organizacích zřizovaných ÚSC.</w:t>
      </w:r>
    </w:p>
    <w:p>
      <w:pPr>
        <w:pStyle w:val="Stanoviskotext"/>
        <w:rPr/>
      </w:pPr>
      <w:r>
        <w:rPr/>
      </w:r>
    </w:p>
    <w:tbl>
      <w:tblPr>
        <w:tblW w:w="13525" w:type="dxa"/>
        <w:jc w:val="left"/>
        <w:tblInd w:w="5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1455"/>
        <w:gridCol w:w="1120"/>
        <w:gridCol w:w="1120"/>
        <w:gridCol w:w="4775"/>
        <w:gridCol w:w="1300"/>
        <w:gridCol w:w="1220"/>
        <w:gridCol w:w="1265"/>
        <w:gridCol w:w="1270"/>
      </w:tblGrid>
      <w:tr>
        <w:trPr>
          <w:trHeight w:val="255" w:hRule="atLeast"/>
          <w:cantSplit w:val="true"/>
        </w:trPr>
        <w:tc>
          <w:tcPr>
            <w:tcW w:w="3695" w:type="dxa"/>
            <w:gridSpan w:val="3"/>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TSK</w:t>
            </w:r>
          </w:p>
        </w:tc>
        <w:tc>
          <w:tcPr>
            <w:tcW w:w="6075" w:type="dxa"/>
            <w:gridSpan w:val="2"/>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CZ-ISCO</w:t>
            </w:r>
          </w:p>
        </w:tc>
        <w:tc>
          <w:tcPr>
            <w:tcW w:w="1220"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Rozdíl TSK oproti průměru ČR</w:t>
            </w:r>
          </w:p>
        </w:tc>
        <w:tc>
          <w:tcPr>
            <w:tcW w:w="1265" w:type="dxa"/>
            <w:vMerge w:val="restart"/>
            <w:tcBorders>
              <w:top w:val="single" w:sz="4" w:space="0" w:color="000000"/>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Rozdíl TSK oproti průměru ČR/měsíc CELKEM</w:t>
            </w:r>
          </w:p>
        </w:tc>
        <w:tc>
          <w:tcPr>
            <w:tcW w:w="127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Rozdíl TSK oproti průměru ČR/rok CELKEM</w:t>
            </w:r>
          </w:p>
        </w:tc>
      </w:tr>
      <w:tr>
        <w:trPr>
          <w:trHeight w:val="780" w:hRule="atLeast"/>
          <w:cantSplit w:val="true"/>
        </w:trPr>
        <w:tc>
          <w:tcPr>
            <w:tcW w:w="1455"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Pracovní pozice TSK</w:t>
            </w:r>
          </w:p>
        </w:tc>
        <w:tc>
          <w:tcPr>
            <w:tcW w:w="112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 xml:space="preserve">Průměrná měsíční hrubá mzda </w:t>
            </w:r>
          </w:p>
        </w:tc>
        <w:tc>
          <w:tcPr>
            <w:tcW w:w="112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Počet pracovníků ve skupině</w:t>
            </w:r>
          </w:p>
        </w:tc>
        <w:tc>
          <w:tcPr>
            <w:tcW w:w="4775"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Pracovní pozice dle CZ-ISCO</w:t>
            </w:r>
          </w:p>
        </w:tc>
        <w:tc>
          <w:tcPr>
            <w:tcW w:w="1300" w:type="dxa"/>
            <w:tcBorders>
              <w:left w:val="single" w:sz="4" w:space="0" w:color="000000"/>
              <w:bottom w:val="single" w:sz="4" w:space="0" w:color="000000"/>
              <w:insideH w:val="single" w:sz="4" w:space="0" w:color="000000"/>
            </w:tcBorders>
            <w:shd w:fill="666699" w:val="clear"/>
            <w:tcMar>
              <w:left w:w="65" w:type="dxa"/>
            </w:tcMar>
            <w:vAlign w:val="bottom"/>
          </w:tcPr>
          <w:p>
            <w:pPr>
              <w:pStyle w:val="Normal"/>
              <w:jc w:val="center"/>
              <w:rPr>
                <w:rFonts w:ascii="Arial" w:hAnsi="Arial" w:cs="Arial"/>
                <w:b/>
                <w:b/>
                <w:bCs/>
                <w:color w:val="FFFFFF"/>
                <w:sz w:val="18"/>
                <w:szCs w:val="18"/>
              </w:rPr>
            </w:pPr>
            <w:r>
              <w:rPr>
                <w:rFonts w:cs="Arial" w:ascii="Arial" w:hAnsi="Arial"/>
                <w:b/>
                <w:bCs/>
                <w:color w:val="FFFFFF"/>
                <w:sz w:val="18"/>
                <w:szCs w:val="18"/>
              </w:rPr>
              <w:t xml:space="preserve">Průměrná měsíční hrubá mzda </w:t>
            </w:r>
          </w:p>
        </w:tc>
        <w:tc>
          <w:tcPr>
            <w:tcW w:w="1220"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18"/>
                <w:szCs w:val="18"/>
              </w:rPr>
            </w:pPr>
            <w:r>
              <w:rPr>
                <w:rFonts w:cs="Arial" w:ascii="Arial" w:hAnsi="Arial"/>
                <w:b/>
                <w:bCs/>
                <w:color w:val="FFFFFF"/>
                <w:sz w:val="18"/>
                <w:szCs w:val="18"/>
              </w:rPr>
            </w:r>
          </w:p>
        </w:tc>
        <w:tc>
          <w:tcPr>
            <w:tcW w:w="1265" w:type="dxa"/>
            <w:vMerge w:val="continue"/>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FFFF"/>
                <w:sz w:val="18"/>
                <w:szCs w:val="18"/>
              </w:rPr>
            </w:pPr>
            <w:r>
              <w:rPr>
                <w:rFonts w:cs="Arial" w:ascii="Arial" w:hAnsi="Arial"/>
                <w:b/>
                <w:bCs/>
                <w:color w:val="FFFFFF"/>
                <w:sz w:val="18"/>
                <w:szCs w:val="18"/>
              </w:rPr>
            </w:r>
          </w:p>
        </w:tc>
        <w:tc>
          <w:tcPr>
            <w:tcW w:w="127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color w:val="FFFFFF"/>
                <w:sz w:val="18"/>
                <w:szCs w:val="18"/>
              </w:rPr>
            </w:pPr>
            <w:r>
              <w:rPr>
                <w:rFonts w:cs="Arial" w:ascii="Arial" w:hAnsi="Arial"/>
                <w:b/>
                <w:bCs/>
                <w:color w:val="FFFFFF"/>
                <w:sz w:val="18"/>
                <w:szCs w:val="18"/>
              </w:rPr>
            </w:r>
          </w:p>
        </w:tc>
      </w:tr>
      <w:tr>
        <w:trPr>
          <w:trHeight w:val="240" w:hRule="atLeast"/>
        </w:trPr>
        <w:tc>
          <w:tcPr>
            <w:tcW w:w="145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cs="Arial" w:ascii="Arial" w:hAnsi="Arial"/>
                <w:sz w:val="18"/>
                <w:szCs w:val="18"/>
              </w:rPr>
              <w:t>ředitel organizace</w:t>
            </w:r>
          </w:p>
        </w:tc>
        <w:tc>
          <w:tcPr>
            <w:tcW w:w="112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56 290</w:t>
            </w:r>
          </w:p>
        </w:tc>
        <w:tc>
          <w:tcPr>
            <w:tcW w:w="112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1</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8"/>
                <w:szCs w:val="18"/>
              </w:rPr>
            </w:pPr>
            <w:r>
              <w:rPr>
                <w:rFonts w:eastAsia="Arial" w:cs="Arial" w:ascii="Arial" w:hAnsi="Arial"/>
                <w:b/>
                <w:bCs/>
                <w:sz w:val="18"/>
                <w:szCs w:val="18"/>
              </w:rPr>
              <w:t xml:space="preserve"> </w:t>
            </w:r>
            <w:r>
              <w:rPr>
                <w:rFonts w:cs="Arial" w:ascii="Arial" w:hAnsi="Arial"/>
                <w:b/>
                <w:bCs/>
                <w:sz w:val="18"/>
                <w:szCs w:val="18"/>
              </w:rPr>
              <w:t>11201 Nejvyšší představitelé velkých společností a institucí</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100 900</w:t>
            </w:r>
          </w:p>
        </w:tc>
        <w:tc>
          <w:tcPr>
            <w:tcW w:w="122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FF0000"/>
                <w:sz w:val="18"/>
                <w:szCs w:val="18"/>
              </w:rPr>
            </w:pPr>
            <w:r>
              <w:rPr>
                <w:rFonts w:cs="Arial" w:ascii="Arial" w:hAnsi="Arial"/>
                <w:b/>
                <w:bCs/>
                <w:color w:val="FF0000"/>
                <w:sz w:val="18"/>
                <w:szCs w:val="18"/>
              </w:rPr>
              <w:t>-44 610</w:t>
            </w:r>
          </w:p>
        </w:tc>
        <w:tc>
          <w:tcPr>
            <w:tcW w:w="126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FF0000"/>
                <w:sz w:val="18"/>
                <w:szCs w:val="18"/>
              </w:rPr>
            </w:pPr>
            <w:r>
              <w:rPr>
                <w:rFonts w:cs="Arial" w:ascii="Arial" w:hAnsi="Arial"/>
                <w:b/>
                <w:bCs/>
                <w:color w:val="FF0000"/>
                <w:sz w:val="18"/>
                <w:szCs w:val="18"/>
              </w:rPr>
              <w:t>-44 610</w:t>
            </w:r>
          </w:p>
        </w:tc>
        <w:tc>
          <w:tcPr>
            <w:tcW w:w="1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color w:val="FF0000"/>
                <w:sz w:val="18"/>
                <w:szCs w:val="18"/>
              </w:rPr>
            </w:pPr>
            <w:r>
              <w:rPr>
                <w:rFonts w:cs="Arial" w:ascii="Arial" w:hAnsi="Arial"/>
                <w:b/>
                <w:bCs/>
                <w:color w:val="FF0000"/>
                <w:sz w:val="18"/>
                <w:szCs w:val="18"/>
              </w:rPr>
              <w:t>-535 323</w:t>
            </w:r>
          </w:p>
        </w:tc>
      </w:tr>
      <w:tr>
        <w:trPr>
          <w:trHeight w:val="240" w:hRule="atLeast"/>
          <w:cantSplit w:val="true"/>
        </w:trPr>
        <w:tc>
          <w:tcPr>
            <w:tcW w:w="1455" w:type="dxa"/>
            <w:vMerge w:val="restart"/>
            <w:tcBorders>
              <w:left w:val="single" w:sz="4" w:space="0" w:color="000000"/>
              <w:bottom w:val="single" w:sz="4" w:space="0" w:color="000000"/>
              <w:insideH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xml:space="preserve">náměstek </w:t>
            </w:r>
          </w:p>
        </w:tc>
        <w:tc>
          <w:tcPr>
            <w:tcW w:w="1120" w:type="dxa"/>
            <w:vMerge w:val="restart"/>
            <w:tcBorders>
              <w:left w:val="single" w:sz="4" w:space="0" w:color="000000"/>
              <w:bottom w:val="single" w:sz="4" w:space="0" w:color="000000"/>
              <w:insideH w:val="single" w:sz="4" w:space="0" w:color="000000"/>
            </w:tcBorders>
            <w:shd w:fill="auto" w:val="clear"/>
            <w:tcMar>
              <w:left w:w="65" w:type="dxa"/>
            </w:tcMar>
            <w:vAlign w:val="center"/>
          </w:tcPr>
          <w:p>
            <w:pPr>
              <w:pStyle w:val="Normal"/>
              <w:jc w:val="right"/>
              <w:rPr>
                <w:rFonts w:ascii="Arial" w:hAnsi="Arial" w:cs="Arial"/>
                <w:sz w:val="18"/>
                <w:szCs w:val="18"/>
              </w:rPr>
            </w:pPr>
            <w:r>
              <w:rPr>
                <w:rFonts w:cs="Arial" w:ascii="Arial" w:hAnsi="Arial"/>
                <w:sz w:val="18"/>
                <w:szCs w:val="18"/>
              </w:rPr>
              <w:t>56 290</w:t>
            </w:r>
          </w:p>
        </w:tc>
        <w:tc>
          <w:tcPr>
            <w:tcW w:w="1120" w:type="dxa"/>
            <w:tcBorders>
              <w:left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eastAsia="Arial" w:cs="Arial" w:ascii="Arial" w:hAnsi="Arial"/>
                <w:sz w:val="18"/>
                <w:szCs w:val="18"/>
              </w:rPr>
              <w:t xml:space="preserve"> </w:t>
            </w:r>
            <w:r>
              <w:rPr>
                <w:rFonts w:cs="Arial" w:ascii="Arial" w:hAnsi="Arial"/>
                <w:sz w:val="18"/>
                <w:szCs w:val="18"/>
              </w:rPr>
              <w:t>12111 Ekonomičtí a finanční náměstci (ředitelé)</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62 100</w:t>
            </w:r>
          </w:p>
        </w:tc>
        <w:tc>
          <w:tcPr>
            <w:tcW w:w="1220" w:type="dxa"/>
            <w:vMerge w:val="restart"/>
            <w:tcBorders>
              <w:left w:val="single" w:sz="4" w:space="0" w:color="000000"/>
              <w:bottom w:val="single" w:sz="4" w:space="0" w:color="000000"/>
              <w:insideH w:val="single" w:sz="4" w:space="0" w:color="000000"/>
            </w:tcBorders>
            <w:shd w:fill="auto" w:val="clear"/>
            <w:tcMar>
              <w:left w:w="65" w:type="dxa"/>
            </w:tcMar>
            <w:vAlign w:val="center"/>
          </w:tcPr>
          <w:p>
            <w:pPr>
              <w:pStyle w:val="Normal"/>
              <w:jc w:val="right"/>
              <w:rPr>
                <w:rFonts w:ascii="Arial" w:hAnsi="Arial" w:cs="Arial"/>
                <w:b/>
                <w:b/>
                <w:bCs/>
                <w:color w:val="FF0000"/>
                <w:sz w:val="18"/>
                <w:szCs w:val="18"/>
              </w:rPr>
            </w:pPr>
            <w:r>
              <w:rPr>
                <w:rFonts w:cs="Arial" w:ascii="Arial" w:hAnsi="Arial"/>
                <w:b/>
                <w:bCs/>
                <w:color w:val="FF0000"/>
                <w:sz w:val="18"/>
                <w:szCs w:val="18"/>
              </w:rPr>
              <w:t>-1 548</w:t>
            </w:r>
          </w:p>
        </w:tc>
        <w:tc>
          <w:tcPr>
            <w:tcW w:w="1265" w:type="dxa"/>
            <w:vMerge w:val="restart"/>
            <w:tcBorders>
              <w:left w:val="single" w:sz="4" w:space="0" w:color="000000"/>
              <w:bottom w:val="single" w:sz="4" w:space="0" w:color="000000"/>
              <w:insideH w:val="single" w:sz="4" w:space="0" w:color="000000"/>
            </w:tcBorders>
            <w:shd w:fill="auto" w:val="clear"/>
            <w:tcMar>
              <w:left w:w="65" w:type="dxa"/>
            </w:tcMar>
            <w:vAlign w:val="center"/>
          </w:tcPr>
          <w:p>
            <w:pPr>
              <w:pStyle w:val="Normal"/>
              <w:jc w:val="right"/>
              <w:rPr>
                <w:rFonts w:ascii="Arial" w:hAnsi="Arial" w:cs="Arial"/>
                <w:b/>
                <w:b/>
                <w:bCs/>
                <w:color w:val="FF0000"/>
                <w:sz w:val="18"/>
                <w:szCs w:val="18"/>
              </w:rPr>
            </w:pPr>
            <w:r>
              <w:rPr>
                <w:rFonts w:cs="Arial" w:ascii="Arial" w:hAnsi="Arial"/>
                <w:b/>
                <w:bCs/>
                <w:color w:val="FF0000"/>
                <w:sz w:val="18"/>
                <w:szCs w:val="18"/>
              </w:rPr>
              <w:t>-10 836</w:t>
            </w:r>
          </w:p>
        </w:tc>
        <w:tc>
          <w:tcPr>
            <w:tcW w:w="1270" w:type="dxa"/>
            <w:vMerge w:val="restart"/>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jc w:val="right"/>
              <w:rPr>
                <w:rFonts w:ascii="Arial" w:hAnsi="Arial" w:cs="Arial"/>
                <w:b/>
                <w:b/>
                <w:bCs/>
                <w:color w:val="FF0000"/>
                <w:sz w:val="18"/>
                <w:szCs w:val="18"/>
              </w:rPr>
            </w:pPr>
            <w:r>
              <w:rPr>
                <w:rFonts w:cs="Arial" w:ascii="Arial" w:hAnsi="Arial"/>
                <w:b/>
                <w:bCs/>
                <w:color w:val="FF0000"/>
                <w:sz w:val="18"/>
                <w:szCs w:val="18"/>
              </w:rPr>
              <w:t>-130 029</w:t>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eastAsia="Arial" w:cs="Arial" w:ascii="Arial" w:hAnsi="Arial"/>
                <w:sz w:val="18"/>
                <w:szCs w:val="18"/>
              </w:rPr>
              <w:t xml:space="preserve"> </w:t>
            </w:r>
            <w:r>
              <w:rPr>
                <w:rFonts w:cs="Arial" w:ascii="Arial" w:hAnsi="Arial"/>
                <w:sz w:val="18"/>
                <w:szCs w:val="18"/>
              </w:rPr>
              <w:t>13233 Řídící pracovníci stavebního provozu</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35 810</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eastAsia="Arial" w:cs="Arial" w:ascii="Arial" w:hAnsi="Arial"/>
                <w:sz w:val="18"/>
                <w:szCs w:val="18"/>
              </w:rPr>
              <w:t xml:space="preserve"> </w:t>
            </w:r>
            <w:r>
              <w:rPr>
                <w:rFonts w:cs="Arial" w:ascii="Arial" w:hAnsi="Arial"/>
                <w:sz w:val="18"/>
                <w:szCs w:val="18"/>
              </w:rPr>
              <w:t>12111 Ekonomičtí a finanční náměstci (ředitelé)</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62 100</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tcBorders>
            <w:shd w:fill="auto" w:val="clear"/>
            <w:tcMar>
              <w:left w:w="65" w:type="dxa"/>
            </w:tcMar>
            <w:vAlign w:val="center"/>
          </w:tcPr>
          <w:p>
            <w:pPr>
              <w:pStyle w:val="Normal"/>
              <w:jc w:val="right"/>
              <w:rPr>
                <w:rFonts w:ascii="Arial" w:hAnsi="Arial" w:cs="Arial"/>
                <w:sz w:val="18"/>
                <w:szCs w:val="18"/>
              </w:rPr>
            </w:pPr>
            <w:r>
              <w:rPr>
                <w:rFonts w:cs="Arial" w:ascii="Arial" w:hAnsi="Arial"/>
                <w:sz w:val="18"/>
                <w:szCs w:val="18"/>
              </w:rPr>
              <w:t>7</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eastAsia="Arial" w:cs="Arial" w:ascii="Arial" w:hAnsi="Arial"/>
                <w:sz w:val="18"/>
                <w:szCs w:val="18"/>
              </w:rPr>
              <w:t xml:space="preserve"> </w:t>
            </w:r>
            <w:r>
              <w:rPr>
                <w:rFonts w:cs="Arial" w:ascii="Arial" w:hAnsi="Arial"/>
                <w:sz w:val="18"/>
                <w:szCs w:val="18"/>
              </w:rPr>
              <w:t>13302 Řídící pracovníci v oblasti inf. technolog. a činností</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65 042</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cs="Arial" w:ascii="Arial" w:hAnsi="Arial"/>
                <w:sz w:val="18"/>
                <w:szCs w:val="18"/>
              </w:rPr>
              <w:t>1323 Řídící pracovníci ve stavebnictví a zeměměřictví</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36 325</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cs="Arial" w:ascii="Arial" w:hAnsi="Arial"/>
                <w:sz w:val="18"/>
                <w:szCs w:val="18"/>
              </w:rPr>
              <w:t>1219 Ostatní řídící pracovníci správy podniku a pod. činností</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42 587</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bottom w:val="single" w:sz="4" w:space="0" w:color="000000"/>
              <w:insideH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8"/>
                <w:szCs w:val="18"/>
              </w:rPr>
            </w:pPr>
            <w:r>
              <w:rPr>
                <w:rFonts w:cs="Arial" w:ascii="Arial" w:hAnsi="Arial"/>
                <w:b/>
                <w:bCs/>
                <w:sz w:val="18"/>
                <w:szCs w:val="18"/>
              </w:rPr>
              <w:t>Průměr</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57 838</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color w:val="FF0000"/>
                <w:sz w:val="18"/>
                <w:szCs w:val="18"/>
              </w:rPr>
            </w:pPr>
            <w:r>
              <w:rPr>
                <w:rFonts w:cs="Arial" w:ascii="Arial" w:hAnsi="Arial"/>
                <w:b/>
                <w:bCs/>
                <w:color w:val="FF0000"/>
                <w:sz w:val="18"/>
                <w:szCs w:val="18"/>
              </w:rPr>
            </w:r>
          </w:p>
        </w:tc>
      </w:tr>
      <w:tr>
        <w:trPr>
          <w:trHeight w:val="240" w:hRule="atLeast"/>
          <w:cantSplit w:val="true"/>
        </w:trPr>
        <w:tc>
          <w:tcPr>
            <w:tcW w:w="1455" w:type="dxa"/>
            <w:vMerge w:val="restart"/>
            <w:tcBorders>
              <w:left w:val="single" w:sz="4" w:space="0" w:color="000000"/>
              <w:bottom w:val="single" w:sz="4" w:space="0" w:color="000000"/>
              <w:insideH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vedoucí oddělení</w:t>
            </w:r>
          </w:p>
        </w:tc>
        <w:tc>
          <w:tcPr>
            <w:tcW w:w="1120" w:type="dxa"/>
            <w:vMerge w:val="restart"/>
            <w:tcBorders>
              <w:left w:val="single" w:sz="4" w:space="0" w:color="000000"/>
              <w:bottom w:val="single" w:sz="4" w:space="0" w:color="000000"/>
              <w:insideH w:val="single" w:sz="4" w:space="0" w:color="000000"/>
            </w:tcBorders>
            <w:shd w:fill="auto" w:val="clear"/>
            <w:tcMar>
              <w:left w:w="65" w:type="dxa"/>
            </w:tcMar>
            <w:vAlign w:val="center"/>
          </w:tcPr>
          <w:p>
            <w:pPr>
              <w:pStyle w:val="Normal"/>
              <w:jc w:val="right"/>
              <w:rPr>
                <w:rFonts w:ascii="Arial" w:hAnsi="Arial" w:cs="Arial"/>
                <w:sz w:val="18"/>
                <w:szCs w:val="18"/>
              </w:rPr>
            </w:pPr>
            <w:r>
              <w:rPr>
                <w:rFonts w:cs="Arial" w:ascii="Arial" w:hAnsi="Arial"/>
                <w:sz w:val="18"/>
                <w:szCs w:val="18"/>
              </w:rPr>
              <w:t>40 372</w:t>
            </w:r>
          </w:p>
        </w:tc>
        <w:tc>
          <w:tcPr>
            <w:tcW w:w="1120" w:type="dxa"/>
            <w:tcBorders>
              <w:left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eastAsia="Arial" w:cs="Arial" w:ascii="Arial" w:hAnsi="Arial"/>
                <w:sz w:val="18"/>
                <w:szCs w:val="18"/>
              </w:rPr>
              <w:t xml:space="preserve"> </w:t>
            </w:r>
            <w:r>
              <w:rPr>
                <w:rFonts w:cs="Arial" w:ascii="Arial" w:hAnsi="Arial"/>
                <w:sz w:val="18"/>
                <w:szCs w:val="18"/>
              </w:rPr>
              <w:t>12192 Řídící pracovníci hospodaření s majetkem státu a organizací</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35 792</w:t>
            </w:r>
          </w:p>
        </w:tc>
        <w:tc>
          <w:tcPr>
            <w:tcW w:w="1220" w:type="dxa"/>
            <w:vMerge w:val="restart"/>
            <w:tcBorders>
              <w:left w:val="single" w:sz="4" w:space="0" w:color="000000"/>
              <w:bottom w:val="single" w:sz="4" w:space="0" w:color="000000"/>
              <w:insideH w:val="single" w:sz="4" w:space="0" w:color="000000"/>
            </w:tcBorders>
            <w:shd w:fill="auto" w:val="clear"/>
            <w:tcMar>
              <w:left w:w="65" w:type="dxa"/>
            </w:tcMar>
            <w:vAlign w:val="center"/>
          </w:tcPr>
          <w:p>
            <w:pPr>
              <w:pStyle w:val="Normal"/>
              <w:jc w:val="right"/>
              <w:rPr>
                <w:rFonts w:ascii="Arial" w:hAnsi="Arial" w:cs="Arial"/>
                <w:b/>
                <w:b/>
                <w:bCs/>
                <w:sz w:val="18"/>
                <w:szCs w:val="18"/>
              </w:rPr>
            </w:pPr>
            <w:r>
              <w:rPr>
                <w:rFonts w:cs="Arial" w:ascii="Arial" w:hAnsi="Arial"/>
                <w:b/>
                <w:bCs/>
                <w:sz w:val="18"/>
                <w:szCs w:val="18"/>
              </w:rPr>
              <w:t>5 814</w:t>
            </w:r>
          </w:p>
        </w:tc>
        <w:tc>
          <w:tcPr>
            <w:tcW w:w="1265" w:type="dxa"/>
            <w:vMerge w:val="restart"/>
            <w:tcBorders>
              <w:left w:val="single" w:sz="4" w:space="0" w:color="000000"/>
              <w:bottom w:val="single" w:sz="4" w:space="0" w:color="000000"/>
              <w:insideH w:val="single" w:sz="4" w:space="0" w:color="000000"/>
            </w:tcBorders>
            <w:shd w:fill="auto" w:val="clear"/>
            <w:tcMar>
              <w:left w:w="65" w:type="dxa"/>
            </w:tcMar>
            <w:vAlign w:val="center"/>
          </w:tcPr>
          <w:p>
            <w:pPr>
              <w:pStyle w:val="Normal"/>
              <w:jc w:val="right"/>
              <w:rPr>
                <w:rFonts w:ascii="Arial" w:hAnsi="Arial" w:cs="Arial"/>
                <w:b/>
                <w:b/>
                <w:bCs/>
                <w:sz w:val="18"/>
                <w:szCs w:val="18"/>
              </w:rPr>
            </w:pPr>
            <w:r>
              <w:rPr>
                <w:rFonts w:cs="Arial" w:ascii="Arial" w:hAnsi="Arial"/>
                <w:b/>
                <w:bCs/>
                <w:sz w:val="18"/>
                <w:szCs w:val="18"/>
              </w:rPr>
              <w:t>180 222</w:t>
            </w:r>
          </w:p>
        </w:tc>
        <w:tc>
          <w:tcPr>
            <w:tcW w:w="1270" w:type="dxa"/>
            <w:vMerge w:val="restart"/>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jc w:val="right"/>
              <w:rPr>
                <w:rFonts w:ascii="Arial" w:hAnsi="Arial" w:cs="Arial"/>
                <w:b/>
                <w:b/>
                <w:bCs/>
                <w:sz w:val="18"/>
                <w:szCs w:val="18"/>
              </w:rPr>
            </w:pPr>
            <w:r>
              <w:rPr>
                <w:rFonts w:cs="Arial" w:ascii="Arial" w:hAnsi="Arial"/>
                <w:b/>
                <w:bCs/>
                <w:sz w:val="18"/>
                <w:szCs w:val="18"/>
              </w:rPr>
              <w:t>x</w:t>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cs="Arial" w:ascii="Arial" w:hAnsi="Arial"/>
                <w:sz w:val="18"/>
                <w:szCs w:val="18"/>
              </w:rPr>
              <w:t>2142 Stavební inženýři</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32 015</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tcBorders>
            <w:shd w:fill="auto" w:val="clear"/>
            <w:tcMar>
              <w:left w:w="65" w:type="dxa"/>
            </w:tcMar>
            <w:vAlign w:val="center"/>
          </w:tcPr>
          <w:p>
            <w:pPr>
              <w:pStyle w:val="Normal"/>
              <w:jc w:val="right"/>
              <w:rPr>
                <w:rFonts w:ascii="Arial" w:hAnsi="Arial" w:cs="Arial"/>
                <w:sz w:val="18"/>
                <w:szCs w:val="18"/>
              </w:rPr>
            </w:pPr>
            <w:r>
              <w:rPr>
                <w:rFonts w:cs="Arial" w:ascii="Arial" w:hAnsi="Arial"/>
                <w:sz w:val="18"/>
                <w:szCs w:val="18"/>
              </w:rPr>
              <w:t>31</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cs="Arial" w:ascii="Arial" w:hAnsi="Arial"/>
                <w:sz w:val="18"/>
                <w:szCs w:val="18"/>
              </w:rPr>
              <w:t>2631 Specialisté v oblasti ekonomie</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40 221</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cs="Arial" w:ascii="Arial" w:hAnsi="Arial"/>
                <w:sz w:val="18"/>
                <w:szCs w:val="18"/>
              </w:rPr>
              <w:t>3341 Vedoucí v oblasti administrativních agend</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30 207</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r>
      <w:tr>
        <w:trPr>
          <w:trHeight w:val="240" w:hRule="atLeast"/>
          <w:cantSplit w:val="true"/>
        </w:trPr>
        <w:tc>
          <w:tcPr>
            <w:tcW w:w="145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1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sz w:val="18"/>
                <w:szCs w:val="18"/>
              </w:rPr>
            </w:pPr>
            <w:r>
              <w:rPr>
                <w:rFonts w:cs="Arial" w:ascii="Arial" w:hAnsi="Arial"/>
                <w:sz w:val="18"/>
                <w:szCs w:val="18"/>
              </w:rPr>
            </w:r>
          </w:p>
        </w:tc>
        <w:tc>
          <w:tcPr>
            <w:tcW w:w="1120" w:type="dxa"/>
            <w:tcBorders>
              <w:left w:val="single" w:sz="4" w:space="0" w:color="000000"/>
              <w:bottom w:val="single" w:sz="4" w:space="0" w:color="000000"/>
              <w:insideH w:val="single" w:sz="4" w:space="0" w:color="000000"/>
            </w:tcBorders>
            <w:shd w:fill="auto" w:val="clear"/>
            <w:tcMar>
              <w:left w:w="65" w:type="dxa"/>
            </w:tcMar>
            <w:vAlign w:val="center"/>
          </w:tcPr>
          <w:p>
            <w:pPr>
              <w:pStyle w:val="Normal"/>
              <w:rPr>
                <w:rFonts w:ascii="Arial" w:hAnsi="Arial" w:cs="Arial"/>
                <w:sz w:val="18"/>
                <w:szCs w:val="18"/>
              </w:rPr>
            </w:pPr>
            <w:r>
              <w:rPr>
                <w:rFonts w:cs="Arial" w:ascii="Arial" w:hAnsi="Arial"/>
                <w:sz w:val="18"/>
                <w:szCs w:val="18"/>
              </w:rPr>
              <w:t> </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8"/>
                <w:szCs w:val="18"/>
              </w:rPr>
            </w:pPr>
            <w:r>
              <w:rPr>
                <w:rFonts w:cs="Arial" w:ascii="Arial" w:hAnsi="Arial"/>
                <w:b/>
                <w:bCs/>
                <w:sz w:val="18"/>
                <w:szCs w:val="18"/>
              </w:rPr>
              <w:t>Průměr</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34 558</w:t>
            </w:r>
          </w:p>
        </w:tc>
        <w:tc>
          <w:tcPr>
            <w:tcW w:w="1220"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265" w:type="dxa"/>
            <w:vMerge w:val="continue"/>
            <w:tcBorders>
              <w:left w:val="single" w:sz="4" w:space="0" w:color="000000"/>
              <w:bottom w:val="single" w:sz="4" w:space="0" w:color="000000"/>
              <w:insideH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c>
          <w:tcPr>
            <w:tcW w:w="1270" w:type="dxa"/>
            <w:vMerge w:val="continue"/>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center"/>
          </w:tcPr>
          <w:p>
            <w:pPr>
              <w:pStyle w:val="Normal"/>
              <w:snapToGrid w:val="false"/>
              <w:rPr>
                <w:rFonts w:ascii="Arial" w:hAnsi="Arial" w:cs="Arial"/>
                <w:b/>
                <w:b/>
                <w:bCs/>
                <w:sz w:val="18"/>
                <w:szCs w:val="18"/>
              </w:rPr>
            </w:pPr>
            <w:r>
              <w:rPr>
                <w:rFonts w:cs="Arial" w:ascii="Arial" w:hAnsi="Arial"/>
                <w:b/>
                <w:bCs/>
                <w:sz w:val="18"/>
                <w:szCs w:val="18"/>
              </w:rPr>
            </w:r>
          </w:p>
        </w:tc>
      </w:tr>
      <w:tr>
        <w:trPr>
          <w:trHeight w:val="240" w:hRule="atLeast"/>
        </w:trPr>
        <w:tc>
          <w:tcPr>
            <w:tcW w:w="145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sz w:val="18"/>
                <w:szCs w:val="18"/>
              </w:rPr>
              <w:t>ost. pracovní pozice</w:t>
            </w:r>
          </w:p>
        </w:tc>
        <w:tc>
          <w:tcPr>
            <w:tcW w:w="112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26 552</w:t>
            </w:r>
          </w:p>
        </w:tc>
        <w:tc>
          <w:tcPr>
            <w:tcW w:w="112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271</w:t>
            </w:r>
          </w:p>
        </w:tc>
        <w:tc>
          <w:tcPr>
            <w:tcW w:w="4775"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b/>
                <w:b/>
                <w:bCs/>
                <w:sz w:val="18"/>
                <w:szCs w:val="18"/>
              </w:rPr>
            </w:pPr>
            <w:r>
              <w:rPr>
                <w:rFonts w:cs="Arial" w:ascii="Arial" w:hAnsi="Arial"/>
                <w:b/>
                <w:bCs/>
                <w:sz w:val="18"/>
                <w:szCs w:val="18"/>
              </w:rPr>
              <w:t>ostatní pracovní pozice</w:t>
            </w:r>
          </w:p>
        </w:tc>
        <w:tc>
          <w:tcPr>
            <w:tcW w:w="1300" w:type="dxa"/>
            <w:tcBorders>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34 778</w:t>
            </w:r>
          </w:p>
        </w:tc>
        <w:tc>
          <w:tcPr>
            <w:tcW w:w="122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FF0000"/>
                <w:sz w:val="18"/>
                <w:szCs w:val="18"/>
              </w:rPr>
            </w:pPr>
            <w:r>
              <w:rPr>
                <w:rFonts w:cs="Arial" w:ascii="Arial" w:hAnsi="Arial"/>
                <w:b/>
                <w:bCs/>
                <w:color w:val="FF0000"/>
                <w:sz w:val="18"/>
                <w:szCs w:val="18"/>
              </w:rPr>
              <w:t>-8 226</w:t>
            </w:r>
          </w:p>
        </w:tc>
        <w:tc>
          <w:tcPr>
            <w:tcW w:w="126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right"/>
              <w:rPr>
                <w:rFonts w:ascii="Arial" w:hAnsi="Arial" w:cs="Arial"/>
                <w:b/>
                <w:b/>
                <w:bCs/>
                <w:color w:val="FF0000"/>
                <w:sz w:val="18"/>
                <w:szCs w:val="18"/>
              </w:rPr>
            </w:pPr>
            <w:r>
              <w:rPr>
                <w:rFonts w:cs="Arial" w:ascii="Arial" w:hAnsi="Arial"/>
                <w:b/>
                <w:bCs/>
                <w:color w:val="FF0000"/>
                <w:sz w:val="18"/>
                <w:szCs w:val="18"/>
              </w:rPr>
              <w:t>-2 229 243</w:t>
            </w:r>
          </w:p>
        </w:tc>
        <w:tc>
          <w:tcPr>
            <w:tcW w:w="1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b/>
                <w:b/>
                <w:bCs/>
                <w:color w:val="FF0000"/>
                <w:sz w:val="18"/>
                <w:szCs w:val="18"/>
              </w:rPr>
            </w:pPr>
            <w:r>
              <w:rPr>
                <w:rFonts w:cs="Arial" w:ascii="Arial" w:hAnsi="Arial"/>
                <w:b/>
                <w:bCs/>
                <w:color w:val="FF0000"/>
                <w:sz w:val="18"/>
                <w:szCs w:val="18"/>
              </w:rPr>
              <w:t>-26 750 912</w:t>
            </w:r>
          </w:p>
        </w:tc>
      </w:tr>
      <w:tr>
        <w:trPr>
          <w:trHeight w:val="240" w:hRule="atLeast"/>
        </w:trPr>
        <w:tc>
          <w:tcPr>
            <w:tcW w:w="12255" w:type="dxa"/>
            <w:gridSpan w:val="7"/>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18"/>
                <w:szCs w:val="18"/>
              </w:rPr>
            </w:pPr>
            <w:r>
              <w:rPr>
                <w:rFonts w:cs="Arial" w:ascii="Arial" w:hAnsi="Arial"/>
                <w:sz w:val="18"/>
                <w:szCs w:val="18"/>
              </w:rPr>
              <w:t>Celkový rozdíl TSK oproti podnikatelské sféře v ČR v Kč</w:t>
            </w:r>
          </w:p>
        </w:tc>
        <w:tc>
          <w:tcPr>
            <w:tcW w:w="127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jc w:val="right"/>
              <w:rPr>
                <w:rFonts w:ascii="Arial" w:hAnsi="Arial" w:cs="Arial"/>
                <w:sz w:val="18"/>
                <w:szCs w:val="18"/>
              </w:rPr>
            </w:pPr>
            <w:r>
              <w:rPr>
                <w:rFonts w:cs="Arial" w:ascii="Arial" w:hAnsi="Arial"/>
                <w:sz w:val="18"/>
                <w:szCs w:val="18"/>
              </w:rPr>
              <w:t>-27 416 264</w:t>
            </w:r>
          </w:p>
        </w:tc>
      </w:tr>
      <w:tr>
        <w:trPr>
          <w:trHeight w:val="240" w:hRule="atLeast"/>
        </w:trPr>
        <w:tc>
          <w:tcPr>
            <w:tcW w:w="12255" w:type="dxa"/>
            <w:gridSpan w:val="7"/>
            <w:tcBorders>
              <w:top w:val="single" w:sz="4" w:space="0" w:color="000000"/>
              <w:left w:val="single" w:sz="4" w:space="0" w:color="000000"/>
              <w:bottom w:val="single" w:sz="4" w:space="0" w:color="000000"/>
              <w:insideH w:val="single" w:sz="4" w:space="0" w:color="000000"/>
            </w:tcBorders>
            <w:shd w:fill="99CC00" w:val="clear"/>
            <w:tcMar>
              <w:left w:w="65" w:type="dxa"/>
            </w:tcMar>
            <w:vAlign w:val="bottom"/>
          </w:tcPr>
          <w:p>
            <w:pPr>
              <w:pStyle w:val="Normal"/>
              <w:rPr>
                <w:rFonts w:ascii="Arial" w:hAnsi="Arial" w:cs="Arial"/>
                <w:b/>
                <w:b/>
                <w:bCs/>
                <w:sz w:val="18"/>
                <w:szCs w:val="18"/>
              </w:rPr>
            </w:pPr>
            <w:r>
              <w:rPr>
                <w:rFonts w:cs="Arial" w:ascii="Arial" w:hAnsi="Arial"/>
                <w:b/>
                <w:bCs/>
                <w:sz w:val="18"/>
                <w:szCs w:val="18"/>
              </w:rPr>
              <w:t>Celkový rozdíl TSK oproti podnikatelské sféře v ČR v tis. Kč</w:t>
            </w:r>
          </w:p>
        </w:tc>
        <w:tc>
          <w:tcPr>
            <w:tcW w:w="1270" w:type="dxa"/>
            <w:tcBorders>
              <w:left w:val="single" w:sz="4" w:space="0" w:color="000000"/>
              <w:bottom w:val="single" w:sz="4" w:space="0" w:color="000000"/>
              <w:right w:val="single" w:sz="4" w:space="0" w:color="000000"/>
              <w:insideH w:val="single" w:sz="4" w:space="0" w:color="000000"/>
              <w:insideV w:val="single" w:sz="4" w:space="0" w:color="000000"/>
            </w:tcBorders>
            <w:shd w:fill="99CC00" w:val="clear"/>
            <w:tcMar>
              <w:left w:w="65" w:type="dxa"/>
            </w:tcMar>
            <w:vAlign w:val="bottom"/>
          </w:tcPr>
          <w:p>
            <w:pPr>
              <w:pStyle w:val="Normal"/>
              <w:jc w:val="right"/>
              <w:rPr>
                <w:rFonts w:ascii="Arial" w:hAnsi="Arial" w:cs="Arial"/>
                <w:b/>
                <w:b/>
                <w:bCs/>
                <w:sz w:val="18"/>
                <w:szCs w:val="18"/>
              </w:rPr>
            </w:pPr>
            <w:r>
              <w:rPr>
                <w:rFonts w:cs="Arial" w:ascii="Arial" w:hAnsi="Arial"/>
                <w:b/>
                <w:bCs/>
                <w:sz w:val="18"/>
                <w:szCs w:val="18"/>
              </w:rPr>
              <w:t>-27 416</w:t>
            </w:r>
          </w:p>
        </w:tc>
      </w:tr>
    </w:tbl>
    <w:p>
      <w:pPr>
        <w:sectPr>
          <w:headerReference w:type="default" r:id="rId47"/>
          <w:headerReference w:type="first" r:id="rId48"/>
          <w:footerReference w:type="default" r:id="rId49"/>
          <w:footerReference w:type="first" r:id="rId50"/>
          <w:footnotePr>
            <w:numFmt w:val="decimal"/>
          </w:footnotePr>
          <w:type w:val="nextPage"/>
          <w:pgSz w:orient="landscape" w:w="16838" w:h="11906"/>
          <w:pgMar w:left="1418" w:right="1418" w:header="709" w:top="1418" w:footer="567" w:bottom="1418" w:gutter="0"/>
          <w:pgNumType w:fmt="decimal"/>
          <w:formProt w:val="false"/>
          <w:titlePg/>
          <w:textDirection w:val="lrTb"/>
          <w:docGrid w:type="default" w:linePitch="360" w:charSpace="0"/>
        </w:sectPr>
      </w:pPr>
    </w:p>
    <w:p>
      <w:pPr>
        <w:pStyle w:val="Stanoviskotext"/>
        <w:rPr/>
      </w:pPr>
      <w:r>
        <w:rPr/>
        <w:t xml:space="preserve">Mzdové náklady organizace TSK činily v roce 2012 celkem za hlavní a doplňkovou činnost (včetně zákonného sociálního pojištění) 144.644 tis. Kč. Vezmeme-li v úvahu výše uvedenou tabulku srovnání mezd v podnikatelské sféře, můžeme po transformaci TSK na akciovou společnost očekávat navýšení těchto nákladů cca o 27 mil Kč ročně tak, aby se odměňování dostalo na průměrné hodnoty dosahované v podnikatelské sféře ČR. Dále je také nezbytné počítat s navýšením nákladů na odměny členům orgánů akciové společnosti, tzn. představenstvo, dozorčí rada, výbor pro audit. </w:t>
      </w:r>
    </w:p>
    <w:p>
      <w:pPr>
        <w:pStyle w:val="Stanoviskotext"/>
        <w:rPr/>
      </w:pPr>
      <w:r>
        <w:rPr/>
      </w:r>
    </w:p>
    <w:p>
      <w:pPr>
        <w:pStyle w:val="Stanovisko4"/>
        <w:rPr/>
      </w:pPr>
      <w:r>
        <w:rPr/>
        <w:t>Klíčové ukazatele výkonnosti (KPI)</w:t>
      </w:r>
    </w:p>
    <w:p>
      <w:pPr>
        <w:pStyle w:val="Stanoviskotext"/>
        <w:rPr/>
      </w:pPr>
      <w:r>
        <w:rPr/>
        <w:t>Se změnou systému odměňování rovněž souvisí možnost implementovat do tohoto systému Klíčové ukazatele výkonnosti (KPI – Key Performance Indicators) jako variabilní složku mzdy. V tomto případě je však nutné vzít v úvahu, že problematika hodnocení výkonnosti začíná již na úrovni strategického řízení společnosti a přímo z ní vychází. Cílem měření výkonnosti firmy je především snaha zlepšovat její výkonnost, prokázat shodu s definovanými strategickými cíli a řízení a monitoring výkonu pracovníků.</w:t>
      </w:r>
    </w:p>
    <w:p>
      <w:pPr>
        <w:pStyle w:val="Stanoviskotext"/>
        <w:rPr/>
      </w:pPr>
      <w:r>
        <w:rPr/>
        <w:t>Klíčové ukazatele nám souhrnně vypovídají o směru, kterým se strategie firmy ubírá, nebo nám říkají, co máme udělat, abychom významným způsobem ovlivnili výkonnost firmy.</w:t>
      </w:r>
    </w:p>
    <w:p>
      <w:pPr>
        <w:pStyle w:val="Stanoviskotext"/>
        <w:rPr/>
      </w:pPr>
      <w:r>
        <w:rPr/>
        <w:t>Smyslem měření a hodnocení je pak nejen identifikovat případné odchylky, ale také je vzít jako podnět k přijetí potřebných opatření.</w:t>
      </w:r>
    </w:p>
    <w:p>
      <w:pPr>
        <w:pStyle w:val="Stanoviskotext"/>
        <w:rPr/>
      </w:pPr>
      <w:r>
        <w:rPr/>
        <w:t>KPI může mít cíl stanovený jako absolutní hodnotu nebo jako interval hodnot. Intervaly mohou být určeny procentní částí cílové hodnoty nebo absolutní hodnotou.</w:t>
      </w:r>
    </w:p>
    <w:p>
      <w:pPr>
        <w:pStyle w:val="Stanoviskotext"/>
        <w:rPr/>
      </w:pPr>
      <w:r>
        <w:rPr/>
        <w:t>Při definici KPI je vždy nezbytné postupovat shora dolů, tzn. od strategických cílů společnosti k operativním cílům jednotlivých procesů (organizačních útvarů), za něž nesou odpovědnost konkrétní pracovníci.</w:t>
      </w:r>
    </w:p>
    <w:p>
      <w:pPr>
        <w:pStyle w:val="Stanoviskotext"/>
        <w:rPr/>
      </w:pPr>
      <w:r>
        <w:rPr/>
        <w:t>Níže uvádíme modelový příklad toho, jak by stanovení kritérií pro hodnocení výkonnosti mohlo v praxi vypadat. Konkrétní návrh KPI je procesem vyžadujícím hlubší poznání interních procesů ve společnosti, jejích cílů a vizí.</w:t>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lang w:val="en-US" w:eastAsia="en-US"/>
        </w:rPr>
      </w:pPr>
      <w:r>
        <w:rPr>
          <w:lang w:val="en-US" w:eastAsia="en-US"/>
        </w:rPr>
        <mc:AlternateContent>
          <mc:Choice Requires="wpg">
            <w:drawing>
              <wp:anchor behindDoc="0" distT="0" distB="0" distL="114935" distR="114935" simplePos="0" locked="0" layoutInCell="1" allowOverlap="1" relativeHeight="39">
                <wp:simplePos x="0" y="0"/>
                <wp:positionH relativeFrom="column">
                  <wp:posOffset>0</wp:posOffset>
                </wp:positionH>
                <wp:positionV relativeFrom="paragraph">
                  <wp:posOffset>1270</wp:posOffset>
                </wp:positionV>
                <wp:extent cx="5715635" cy="5716270"/>
                <wp:effectExtent l="0" t="0" r="0" b="0"/>
                <wp:wrapNone/>
                <wp:docPr id="31" name=""/>
                <a:graphic xmlns:a="http://schemas.openxmlformats.org/drawingml/2006/main">
                  <a:graphicData uri="http://schemas.microsoft.com/office/word/2010/wordprocessingGroup">
                    <wpg:wgp>
                      <wpg:cNvGrpSpPr/>
                      <wpg:grpSpPr>
                        <a:xfrm>
                          <a:off x="0" y="0"/>
                          <a:ext cx="5715000" cy="5715720"/>
                        </a:xfrm>
                      </wpg:grpSpPr>
                      <wps:wsp>
                        <wps:cNvSpPr txBox="1"/>
                        <wps:spPr>
                          <a:xfrm>
                            <a:off x="1943280" y="0"/>
                            <a:ext cx="2057400" cy="1257480"/>
                          </a:xfrm>
                          <a:prstGeom prst="rect">
                            <a:avLst/>
                          </a:prstGeom>
                          <a:solidFill>
                            <a:srgbClr val="005dab"/>
                          </a:solidFill>
                          <a:ln w="9360">
                            <a:solidFill>
                              <a:srgbClr val="005dab"/>
                            </a:solidFill>
                            <a:miter/>
                          </a:ln>
                        </wps:spPr>
                        <wps:txbx>
                          <w:txbxContent>
                            <w:p>
                              <w:pPr>
                                <w:overflowPunct w:val="false"/>
                                <w:bidi w:val="0"/>
                                <w:jc w:val="center"/>
                                <w:rPr/>
                              </w:pPr>
                              <w:r>
                                <w:rPr>
                                  <w:sz w:val="20"/>
                                  <w:szCs w:val="20"/>
                                  <w:rFonts w:ascii="Verdana" w:hAnsi="Verdana" w:eastAsia="Times New Roman" w:cs="Verdana"/>
                                  <w:color w:val="FFFFFF"/>
                                  <w:lang w:val="cs-CZ" w:bidi="ar-SA"/>
                                </w:rPr>
                                <w:t>Strategické cíle společnosti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 xml:space="preserve">Růst tržeb </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Zvyšování dobrého jména společnosti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 xml:space="preserve">Zvyšování hodnoty společnosti </w:t>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wps:txbx>
                        <wps:bodyPr wrap="square">
                          <a:noAutofit/>
                        </wps:bodyPr>
                      </wps:wsp>
                      <wps:wsp>
                        <wps:cNvSpPr txBox="1"/>
                        <wps:spPr>
                          <a:xfrm>
                            <a:off x="0" y="1715040"/>
                            <a:ext cx="2629080" cy="1714680"/>
                          </a:xfrm>
                          <a:prstGeom prst="rect">
                            <a:avLst/>
                          </a:prstGeom>
                          <a:solidFill>
                            <a:srgbClr val="005dab"/>
                          </a:solidFill>
                          <a:ln w="9360">
                            <a:solidFill>
                              <a:srgbClr val="005dab"/>
                            </a:solidFill>
                            <a:miter/>
                          </a:ln>
                        </wps:spPr>
                        <wps:txbx>
                          <w:txbxContent>
                            <w:p>
                              <w:pPr>
                                <w:overflowPunct w:val="false"/>
                                <w:bidi w:val="0"/>
                                <w:rPr/>
                              </w:pPr>
                              <w:r>
                                <w:rPr>
                                  <w:sz w:val="20"/>
                                  <w:szCs w:val="20"/>
                                  <w:rFonts w:ascii="Verdana" w:hAnsi="Verdana" w:eastAsia="Times New Roman" w:cs="Verdana"/>
                                  <w:color w:val="FFFFFF"/>
                                  <w:lang w:val="cs-CZ" w:bidi="ar-SA"/>
                                </w:rPr>
                                <w:t>Finanční cíle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Ukazatele rentability (ROCE, ROA)</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cash flow</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likvidita</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solventnost</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daňová optimalizace</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fixní náklady</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personální náklady</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režijní náklady</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produktivita práce</w:t>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wps:txbx>
                        <wps:bodyPr wrap="square">
                          <a:noAutofit/>
                        </wps:bodyPr>
                      </wps:wsp>
                      <wps:wsp>
                        <wps:cNvSpPr txBox="1"/>
                        <wps:spPr>
                          <a:xfrm>
                            <a:off x="3200400" y="1715040"/>
                            <a:ext cx="2514600" cy="1257480"/>
                          </a:xfrm>
                          <a:prstGeom prst="rect">
                            <a:avLst/>
                          </a:prstGeom>
                          <a:solidFill>
                            <a:srgbClr val="005dab"/>
                          </a:solidFill>
                          <a:ln w="9360">
                            <a:solidFill>
                              <a:srgbClr val="005dab"/>
                            </a:solidFill>
                            <a:miter/>
                          </a:ln>
                        </wps:spPr>
                        <wps:txbx>
                          <w:txbxContent>
                            <w:p>
                              <w:pPr>
                                <w:overflowPunct w:val="false"/>
                                <w:bidi w:val="0"/>
                                <w:rPr/>
                              </w:pPr>
                              <w:r>
                                <w:rPr>
                                  <w:sz w:val="20"/>
                                  <w:szCs w:val="20"/>
                                  <w:rFonts w:ascii="Verdana" w:hAnsi="Verdana" w:eastAsia="Times New Roman" w:cs="Verdana"/>
                                  <w:color w:val="FFFFFF"/>
                                  <w:lang w:val="cs-CZ" w:bidi="ar-SA"/>
                                </w:rPr>
                                <w:t>Personální cíle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fluktuace</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absence</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neobsazené pozice (doba)</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index spokojenosti zaměstnanců</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kompetenční deficity</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 xml:space="preserve">kvalitní vzdělávání </w:t>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wps:txbx>
                        <wps:bodyPr wrap="square">
                          <a:noAutofit/>
                        </wps:bodyPr>
                      </wps:wsp>
                      <wps:wsp>
                        <wps:cNvSpPr txBox="1"/>
                        <wps:spPr>
                          <a:xfrm>
                            <a:off x="3200400" y="3086280"/>
                            <a:ext cx="2514600" cy="1257480"/>
                          </a:xfrm>
                          <a:prstGeom prst="rect">
                            <a:avLst/>
                          </a:prstGeom>
                          <a:solidFill>
                            <a:srgbClr val="005dab"/>
                          </a:solidFill>
                          <a:ln w="9360">
                            <a:solidFill>
                              <a:srgbClr val="005dab"/>
                            </a:solidFill>
                            <a:miter/>
                          </a:ln>
                        </wps:spPr>
                        <wps:txbx>
                          <w:txbxContent>
                            <w:p>
                              <w:pPr>
                                <w:overflowPunct w:val="false"/>
                                <w:bidi w:val="0"/>
                                <w:rPr/>
                              </w:pPr>
                              <w:r>
                                <w:rPr>
                                  <w:sz w:val="20"/>
                                  <w:szCs w:val="20"/>
                                  <w:rFonts w:ascii="Verdana" w:hAnsi="Verdana" w:eastAsia="Times New Roman" w:cs="Verdana"/>
                                  <w:color w:val="FFFFFF"/>
                                  <w:lang w:val="cs-CZ" w:bidi="ar-SA"/>
                                </w:rPr>
                                <w:t>Obchodní cíle - prodej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plnění prodejního plánu</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náklady na prodej</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zisk na zákazníka</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podíl dlouhodobých zákazníků</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 xml:space="preserve">objem úspěšných nabídek </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solventnost zákazníků</w:t>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wps:txbx>
                        <wps:bodyPr wrap="square">
                          <a:noAutofit/>
                        </wps:bodyPr>
                      </wps:wsp>
                      <wps:wsp>
                        <wps:cNvSpPr txBox="1"/>
                        <wps:spPr>
                          <a:xfrm>
                            <a:off x="0" y="3543840"/>
                            <a:ext cx="2629080" cy="1028880"/>
                          </a:xfrm>
                          <a:prstGeom prst="rect">
                            <a:avLst/>
                          </a:prstGeom>
                          <a:solidFill>
                            <a:srgbClr val="005dab"/>
                          </a:solidFill>
                          <a:ln w="9360">
                            <a:solidFill>
                              <a:srgbClr val="005dab"/>
                            </a:solidFill>
                            <a:miter/>
                          </a:ln>
                        </wps:spPr>
                        <wps:txbx>
                          <w:txbxContent>
                            <w:p>
                              <w:pPr>
                                <w:overflowPunct w:val="false"/>
                                <w:bidi w:val="0"/>
                                <w:rPr/>
                              </w:pPr>
                              <w:r>
                                <w:rPr>
                                  <w:sz w:val="20"/>
                                  <w:szCs w:val="20"/>
                                  <w:rFonts w:ascii="Verdana" w:hAnsi="Verdana" w:eastAsia="Times New Roman" w:cs="Verdana"/>
                                  <w:color w:val="FFFFFF"/>
                                  <w:lang w:val="cs-CZ" w:bidi="ar-SA"/>
                                </w:rPr>
                                <w:t>Zákaznické cíle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spokojenost zákazníků (uživatelů komunikací)</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dodržení termínů</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spokojenost zákazníků – odběratelů služeb</w:t>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wps:txbx>
                        <wps:bodyPr wrap="square">
                          <a:noAutofit/>
                        </wps:bodyPr>
                      </wps:wsp>
                      <wps:wsp>
                        <wps:cNvSpPr txBox="1"/>
                        <wps:spPr>
                          <a:xfrm>
                            <a:off x="3200400" y="4458240"/>
                            <a:ext cx="2514600" cy="1257480"/>
                          </a:xfrm>
                          <a:prstGeom prst="rect">
                            <a:avLst/>
                          </a:prstGeom>
                          <a:solidFill>
                            <a:srgbClr val="005dab"/>
                          </a:solidFill>
                          <a:ln w="9360">
                            <a:solidFill>
                              <a:srgbClr val="005dab"/>
                            </a:solidFill>
                            <a:miter/>
                          </a:ln>
                        </wps:spPr>
                        <wps:txbx>
                          <w:txbxContent>
                            <w:p>
                              <w:pPr>
                                <w:overflowPunct w:val="false"/>
                                <w:bidi w:val="0"/>
                                <w:rPr/>
                              </w:pPr>
                              <w:r>
                                <w:rPr>
                                  <w:sz w:val="20"/>
                                  <w:szCs w:val="20"/>
                                  <w:rFonts w:ascii="Verdana" w:hAnsi="Verdana" w:eastAsia="Times New Roman" w:cs="Verdana"/>
                                  <w:color w:val="FFFFFF"/>
                                  <w:lang w:val="cs-CZ" w:bidi="ar-SA"/>
                                </w:rPr>
                                <w:t>Obchodní cíle - nákup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plnění termínů dodavatelů</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počet reklamovaných dodávek</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doba vyřízení reklamace</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doba odezvy na požadavek</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dosažené body v hodnocení dodavatelů</w:t>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wps:txbx>
                        <wps:bodyPr wrap="square">
                          <a:noAutofit/>
                        </wps:bodyPr>
                      </wps:wsp>
                      <wps:wsp>
                        <wps:cNvSpPr/>
                        <wps:spPr>
                          <a:xfrm>
                            <a:off x="2857680" y="1257480"/>
                            <a:ext cx="0" cy="3772080"/>
                          </a:xfrm>
                          <a:prstGeom prst="line">
                            <a:avLst/>
                          </a:prstGeom>
                          <a:ln w="9360">
                            <a:solidFill>
                              <a:srgbClr val="000000"/>
                            </a:solidFill>
                            <a:miter/>
                          </a:ln>
                        </wps:spPr>
                        <wps:style>
                          <a:lnRef idx="0"/>
                          <a:fillRef idx="0"/>
                          <a:effectRef idx="0"/>
                          <a:fontRef idx="minor"/>
                        </wps:style>
                        <wps:bodyPr/>
                      </wps:wsp>
                      <wps:wsp>
                        <wps:cNvSpPr/>
                        <wps:spPr>
                          <a:xfrm>
                            <a:off x="2857680" y="2400840"/>
                            <a:ext cx="34308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857680" y="3772440"/>
                            <a:ext cx="34308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857680" y="5029200"/>
                            <a:ext cx="343080" cy="0"/>
                          </a:xfrm>
                          <a:prstGeom prst="line">
                            <a:avLst/>
                          </a:prstGeom>
                          <a:ln w="9360">
                            <a:solidFill>
                              <a:srgbClr val="000000"/>
                            </a:solidFill>
                            <a:miter/>
                            <a:tailEnd len="med" type="triangle" w="med"/>
                          </a:ln>
                        </wps:spPr>
                        <wps:style>
                          <a:lnRef idx="0"/>
                          <a:fillRef idx="0"/>
                          <a:effectRef idx="0"/>
                          <a:fontRef idx="minor"/>
                        </wps:style>
                        <wps:bodyPr/>
                      </wps:wsp>
                      <wps:wsp>
                        <wps:cNvSpPr/>
                        <wps:spPr>
                          <a:xfrm flipH="1">
                            <a:off x="2629080" y="2631960"/>
                            <a:ext cx="228600" cy="0"/>
                          </a:xfrm>
                          <a:prstGeom prst="line">
                            <a:avLst/>
                          </a:prstGeom>
                          <a:ln w="9360">
                            <a:solidFill>
                              <a:srgbClr val="000000"/>
                            </a:solidFill>
                            <a:miter/>
                            <a:tailEnd len="med" type="triangle" w="med"/>
                          </a:ln>
                        </wps:spPr>
                        <wps:style>
                          <a:lnRef idx="0"/>
                          <a:fillRef idx="0"/>
                          <a:effectRef idx="0"/>
                          <a:fontRef idx="minor"/>
                        </wps:style>
                        <wps:bodyPr/>
                      </wps:wsp>
                      <wps:wsp>
                        <wps:cNvSpPr/>
                        <wps:spPr>
                          <a:xfrm flipH="1">
                            <a:off x="2629080" y="4114800"/>
                            <a:ext cx="228600" cy="0"/>
                          </a:xfrm>
                          <a:prstGeom prst="line">
                            <a:avLst/>
                          </a:prstGeom>
                          <a:ln w="9360">
                            <a:solidFill>
                              <a:srgbClr val="000000"/>
                            </a:solidFill>
                            <a:miter/>
                            <a:tailEnd len="med" type="triangle" w="med"/>
                          </a:ln>
                        </wps:spPr>
                        <wps:style>
                          <a:lnRef idx="0"/>
                          <a:fillRef idx="0"/>
                          <a:effectRef idx="0"/>
                          <a:fontRef idx="minor"/>
                        </wps:style>
                        <wps:bodyPr/>
                      </wps:wsp>
                    </wpg:wgp>
                  </a:graphicData>
                </a:graphic>
              </wp:anchor>
            </w:drawing>
          </mc:Choice>
          <mc:Fallback>
            <w:pict>
              <v:group id="shape_0" style="position:absolute;margin-left:0pt;margin-top:0.1pt;width:450pt;height:450.05pt" coordorigin="0,2" coordsize="9000,9001">
                <v:shapetype id="shapetype_202" coordsize="21600,21600" o:spt="202" path="m,l,21600l21600,21600l21600,xe">
                  <v:stroke joinstyle="miter"/>
                  <v:path gradientshapeok="t" o:connecttype="rect"/>
                </v:shapetype>
                <v:shape id="shape_0" fillcolor="#005dab" stroked="t" style="position:absolute;left:3060;top:2;width:3239;height:1979" type="shapetype_202">
                  <v:textbox>
                    <w:txbxContent>
                      <w:p>
                        <w:pPr>
                          <w:overflowPunct w:val="false"/>
                          <w:bidi w:val="0"/>
                          <w:jc w:val="center"/>
                          <w:rPr/>
                        </w:pPr>
                        <w:r>
                          <w:rPr>
                            <w:sz w:val="20"/>
                            <w:szCs w:val="20"/>
                            <w:rFonts w:ascii="Verdana" w:hAnsi="Verdana" w:eastAsia="Times New Roman" w:cs="Verdana"/>
                            <w:color w:val="FFFFFF"/>
                            <w:lang w:val="cs-CZ" w:bidi="ar-SA"/>
                          </w:rPr>
                          <w:t>Strategické cíle společnosti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 xml:space="preserve">Růst tržeb </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Zvyšování dobrého jména společnosti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 xml:space="preserve">Zvyšování hodnoty společnosti </w:t>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v:textbox>
                  <w10:wrap type="square"/>
                  <v:fill o:detectmouseclick="t" type="solid" color2="#ffa254"/>
                  <v:stroke color="#005dab" weight="9360" joinstyle="miter" endcap="square"/>
                </v:shape>
                <v:shape id="shape_0" fillcolor="#005dab" stroked="t" style="position:absolute;left:0;top:2703;width:4139;height:2699" type="shapetype_202">
                  <v:textbox>
                    <w:txbxContent>
                      <w:p>
                        <w:pPr>
                          <w:overflowPunct w:val="false"/>
                          <w:bidi w:val="0"/>
                          <w:rPr/>
                        </w:pPr>
                        <w:r>
                          <w:rPr>
                            <w:sz w:val="20"/>
                            <w:szCs w:val="20"/>
                            <w:rFonts w:ascii="Verdana" w:hAnsi="Verdana" w:eastAsia="Times New Roman" w:cs="Verdana"/>
                            <w:color w:val="FFFFFF"/>
                            <w:lang w:val="cs-CZ" w:bidi="ar-SA"/>
                          </w:rPr>
                          <w:t>Finanční cíle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Ukazatele rentability (ROCE, ROA)</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cash flow</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likvidita</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solventnost</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daňová optimalizace</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fixní náklady</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personální náklady</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režijní náklady</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produktivita práce</w:t>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v:textbox>
                  <w10:wrap type="square"/>
                  <v:fill o:detectmouseclick="t" type="solid" color2="#ffa254"/>
                  <v:stroke color="#005dab" weight="9360" joinstyle="miter" endcap="square"/>
                </v:shape>
                <v:shape id="shape_0" fillcolor="#005dab" stroked="t" style="position:absolute;left:5040;top:2703;width:3959;height:1979" type="shapetype_202">
                  <v:textbox>
                    <w:txbxContent>
                      <w:p>
                        <w:pPr>
                          <w:overflowPunct w:val="false"/>
                          <w:bidi w:val="0"/>
                          <w:rPr/>
                        </w:pPr>
                        <w:r>
                          <w:rPr>
                            <w:sz w:val="20"/>
                            <w:szCs w:val="20"/>
                            <w:rFonts w:ascii="Verdana" w:hAnsi="Verdana" w:eastAsia="Times New Roman" w:cs="Verdana"/>
                            <w:color w:val="FFFFFF"/>
                            <w:lang w:val="cs-CZ" w:bidi="ar-SA"/>
                          </w:rPr>
                          <w:t>Personální cíle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fluktuace</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absence</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neobsazené pozice (doba)</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index spokojenosti zaměstnanců</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kompetenční deficity</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 xml:space="preserve">kvalitní vzdělávání </w:t>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v:textbox>
                  <w10:wrap type="square"/>
                  <v:fill o:detectmouseclick="t" type="solid" color2="#ffa254"/>
                  <v:stroke color="#005dab" weight="9360" joinstyle="miter" endcap="square"/>
                </v:shape>
                <v:shape id="shape_0" fillcolor="#005dab" stroked="t" style="position:absolute;left:5040;top:4863;width:3959;height:1979" type="shapetype_202">
                  <v:textbox>
                    <w:txbxContent>
                      <w:p>
                        <w:pPr>
                          <w:overflowPunct w:val="false"/>
                          <w:bidi w:val="0"/>
                          <w:rPr/>
                        </w:pPr>
                        <w:r>
                          <w:rPr>
                            <w:sz w:val="20"/>
                            <w:szCs w:val="20"/>
                            <w:rFonts w:ascii="Verdana" w:hAnsi="Verdana" w:eastAsia="Times New Roman" w:cs="Verdana"/>
                            <w:color w:val="FFFFFF"/>
                            <w:lang w:val="cs-CZ" w:bidi="ar-SA"/>
                          </w:rPr>
                          <w:t>Obchodní cíle - prodej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plnění prodejního plánu</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náklady na prodej</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zisk na zákazníka</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podíl dlouhodobých zákazníků</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 xml:space="preserve">objem úspěšných nabídek </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solventnost zákazníků</w:t>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v:textbox>
                  <w10:wrap type="square"/>
                  <v:fill o:detectmouseclick="t" type="solid" color2="#ffa254"/>
                  <v:stroke color="#005dab" weight="9360" joinstyle="miter" endcap="square"/>
                </v:shape>
                <v:shape id="shape_0" fillcolor="#005dab" stroked="t" style="position:absolute;left:0;top:5583;width:4139;height:1619" type="shapetype_202">
                  <v:textbox>
                    <w:txbxContent>
                      <w:p>
                        <w:pPr>
                          <w:overflowPunct w:val="false"/>
                          <w:bidi w:val="0"/>
                          <w:rPr/>
                        </w:pPr>
                        <w:r>
                          <w:rPr>
                            <w:sz w:val="20"/>
                            <w:szCs w:val="20"/>
                            <w:rFonts w:ascii="Verdana" w:hAnsi="Verdana" w:eastAsia="Times New Roman" w:cs="Verdana"/>
                            <w:color w:val="FFFFFF"/>
                            <w:lang w:val="cs-CZ" w:bidi="ar-SA"/>
                          </w:rPr>
                          <w:t>Zákaznické cíle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spokojenost zákazníků (uživatelů komunikací)</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dodržení termínů</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spokojenost zákazníků – odběratelů služeb</w:t>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v:textbox>
                  <w10:wrap type="square"/>
                  <v:fill o:detectmouseclick="t" type="solid" color2="#ffa254"/>
                  <v:stroke color="#005dab" weight="9360" joinstyle="miter" endcap="square"/>
                </v:shape>
                <v:shape id="shape_0" fillcolor="#005dab" stroked="t" style="position:absolute;left:5040;top:7023;width:3959;height:1979" type="shapetype_202">
                  <v:textbox>
                    <w:txbxContent>
                      <w:p>
                        <w:pPr>
                          <w:overflowPunct w:val="false"/>
                          <w:bidi w:val="0"/>
                          <w:rPr/>
                        </w:pPr>
                        <w:r>
                          <w:rPr>
                            <w:sz w:val="20"/>
                            <w:szCs w:val="20"/>
                            <w:rFonts w:ascii="Verdana" w:hAnsi="Verdana" w:eastAsia="Times New Roman" w:cs="Verdana"/>
                            <w:color w:val="FFFFFF"/>
                            <w:lang w:val="cs-CZ" w:bidi="ar-SA"/>
                          </w:rPr>
                          <w:t>Obchodní cíle - nákup (KPI)</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plnění termínů dodavatelů</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počet reklamovaných dodávek</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doba vyřízení reklamace</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doba odezvy na požadavek</w:t>
                        </w:r>
                      </w:p>
                      <w:p>
                        <w:pPr>
                          <w:tabs>
                            <w:tab w:val="left" w:pos="360" w:leader="none"/>
                          </w:tabs>
                          <w:overflowPunct w:val="false"/>
                          <w:bidi w:val="0"/>
                          <w:ind w:left="360" w:hanging="180"/>
                          <w:rPr/>
                        </w:pPr>
                        <w:r>
                          <w:rPr>
                            <w:sz w:val="20"/>
                            <w:szCs w:val="20"/>
                            <w:rFonts w:ascii="Verdana" w:hAnsi="Verdana" w:eastAsia="Times New Roman" w:cs="Verdana"/>
                            <w:color w:val="FFFFFF"/>
                            <w:lang w:val="cs-CZ" w:bidi="ar-SA"/>
                          </w:rPr>
                          <w:t>dosažené body v hodnocení dodavatelů</w:t>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ind w:left="180" w:hanging="0"/>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rFonts w:ascii="Liberation Serif" w:hAnsi="Liberation Serif" w:eastAsia="Source Han Sans CN Regular" w:cs="Lohit Devanagari"/>
                            <w:lang w:val="en-US" w:bidi="hi-IN"/>
                          </w:rPr>
                        </w:r>
                      </w:p>
                      <w:p>
                        <w:pPr>
                          <w:overflowPunct w:val="false"/>
                          <w:bidi w:val="0"/>
                          <w:jc w:val="center"/>
                          <w:rPr/>
                        </w:pPr>
                        <w:r>
                          <w:rPr>
                            <w:sz w:val="24"/>
                            <w:szCs w:val="20"/>
                            <w:rFonts w:ascii="Verdana" w:hAnsi="Verdana" w:eastAsia="Times New Roman" w:cs="Verdana"/>
                            <w:color w:val="FFFFFF"/>
                            <w:lang w:val="cs-CZ" w:bidi="ar-SA"/>
                          </w:rPr>
                          <w:t xml:space="preserve"> </w:t>
                        </w:r>
                      </w:p>
                      <w:p>
                        <w:pPr>
                          <w:overflowPunct w:val="false"/>
                          <w:bidi w:val="0"/>
                          <w:jc w:val="center"/>
                          <w:rPr/>
                        </w:pPr>
                        <w:r>
                          <w:rPr>
                            <w:rFonts w:ascii="Liberation Serif" w:hAnsi="Liberation Serif" w:eastAsia="Source Han Sans CN Regular" w:cs="Lohit Devanagari"/>
                            <w:lang w:val="en-US" w:bidi="hi-IN"/>
                          </w:rPr>
                        </w:r>
                      </w:p>
                    </w:txbxContent>
                  </v:textbox>
                  <w10:wrap type="square"/>
                  <v:fill o:detectmouseclick="t" type="solid" color2="#ffa254"/>
                  <v:stroke color="#005dab" weight="9360" joinstyle="miter" endcap="square"/>
                </v:shape>
                <v:line id="shape_0" from="4500,1983" to="4500,7922" stroked="t" style="position:absolute">
                  <v:stroke color="black" weight="9360" joinstyle="miter" endcap="square"/>
                  <v:fill o:detectmouseclick="t" on="false"/>
                </v:line>
                <v:line id="shape_0" from="4500,3783" to="5039,3783" stroked="t" style="position:absolute">
                  <v:stroke color="black" weight="9360" endarrow="block" endarrowwidth="medium" endarrowlength="medium" joinstyle="miter" endcap="square"/>
                  <v:fill o:detectmouseclick="t" on="false"/>
                </v:line>
                <v:line id="shape_0" from="4500,5943" to="5039,5943" stroked="t" style="position:absolute">
                  <v:stroke color="black" weight="9360" endarrow="block" endarrowwidth="medium" endarrowlength="medium" joinstyle="miter" endcap="square"/>
                  <v:fill o:detectmouseclick="t" on="false"/>
                </v:line>
                <v:line id="shape_0" from="4500,7922" to="5039,7922" stroked="t" style="position:absolute">
                  <v:stroke color="black" weight="9360" endarrow="block" endarrowwidth="medium" endarrowlength="medium" joinstyle="miter" endcap="square"/>
                  <v:fill o:detectmouseclick="t" on="false"/>
                </v:line>
                <v:line id="shape_0" from="4140,4147" to="4499,4147" stroked="t" style="position:absolute;flip:x">
                  <v:stroke color="black" weight="9360" endarrow="block" endarrowwidth="medium" endarrowlength="medium" joinstyle="miter" endcap="square"/>
                  <v:fill o:detectmouseclick="t" on="false"/>
                </v:line>
                <v:line id="shape_0" from="4140,6482" to="4499,6482" stroked="t" style="position:absolute;flip:x">
                  <v:stroke color="black" weight="9360" endarrow="block" endarrowwidth="medium" endarrowlength="medium" joinstyle="miter" endcap="square"/>
                  <v:fill o:detectmouseclick="t" on="false"/>
                </v:line>
              </v:group>
            </w:pict>
          </mc:Fallback>
        </mc:AlternateContent>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r>
    </w:p>
    <w:p>
      <w:pPr>
        <w:pStyle w:val="Stanoviskotext"/>
        <w:rPr/>
      </w:pPr>
      <w:r>
        <w:rPr/>
        <w:t>Na úrovni jednotlivých zaměstnanců se pak tyto cíle (KPI) mohou rozpadat na následující dílčí kritéria hodnocení, která se pak mohou stát nástrojem pro stanovení pohyblivé složky mzdy. Jedná se pouze o orientační výčet:</w:t>
      </w:r>
    </w:p>
    <w:p>
      <w:pPr>
        <w:pStyle w:val="Stanoviskotext"/>
        <w:rPr/>
      </w:pPr>
      <w:r>
        <w:rPr/>
      </w:r>
    </w:p>
    <w:tbl>
      <w:tblPr>
        <w:tblW w:w="9050" w:type="dxa"/>
        <w:jc w:val="left"/>
        <w:tblInd w:w="60"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1878"/>
        <w:gridCol w:w="2731"/>
        <w:gridCol w:w="3257"/>
        <w:gridCol w:w="1184"/>
      </w:tblGrid>
      <w:tr>
        <w:trPr>
          <w:trHeight w:val="510" w:hRule="atLeast"/>
        </w:trPr>
        <w:tc>
          <w:tcPr>
            <w:tcW w:w="1878"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Strategické cíle</w:t>
            </w:r>
          </w:p>
        </w:tc>
        <w:tc>
          <w:tcPr>
            <w:tcW w:w="2731"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Dílčí kritéria (KPI) </w:t>
            </w:r>
          </w:p>
        </w:tc>
        <w:tc>
          <w:tcPr>
            <w:tcW w:w="3257"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Zodpovědní pracovníci </w:t>
            </w:r>
          </w:p>
        </w:tc>
        <w:tc>
          <w:tcPr>
            <w:tcW w:w="11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Metrika (jednotky)</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Růst tržeb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nárůst tržeb</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Vrcholový top management</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Růst hodnoty společnosti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EVA, MVA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Vrcholový top management</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Kč</w:t>
            </w:r>
          </w:p>
        </w:tc>
      </w:tr>
      <w:tr>
        <w:trPr>
          <w:trHeight w:val="510"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Spokojenost zákazníků (uživatelů sítě)</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počet dosažených bodů v dotazníku šetření</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Vrcholový top management</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b</w:t>
            </w:r>
          </w:p>
        </w:tc>
      </w:tr>
      <w:tr>
        <w:trPr>
          <w:trHeight w:val="510" w:hRule="atLeast"/>
        </w:trPr>
        <w:tc>
          <w:tcPr>
            <w:tcW w:w="1878"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Finanční cíle</w:t>
            </w:r>
          </w:p>
        </w:tc>
        <w:tc>
          <w:tcPr>
            <w:tcW w:w="2731"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Dílčí kritéria (KPI) </w:t>
            </w:r>
          </w:p>
        </w:tc>
        <w:tc>
          <w:tcPr>
            <w:tcW w:w="3257"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Zodpovědní pracovníci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Metrika (jednotky)</w:t>
            </w:r>
          </w:p>
        </w:tc>
      </w:tr>
      <w:tr>
        <w:trPr>
          <w:trHeight w:val="510"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Ukazatele rentability (kapitálu, investic, aktiv)</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Ukazatele rentability (kapitálu, investic, aktiv)</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Vrcholový top management</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cash flow</w:t>
            </w:r>
          </w:p>
        </w:tc>
        <w:tc>
          <w:tcPr>
            <w:tcW w:w="2731"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doba obratu zásob </w:t>
            </w:r>
          </w:p>
        </w:tc>
        <w:tc>
          <w:tcPr>
            <w:tcW w:w="325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w:t>
            </w:r>
          </w:p>
        </w:tc>
        <w:tc>
          <w:tcPr>
            <w:tcW w:w="11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doba obratu pohledávek </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účetní</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manažer controllingu </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obchodník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doba obratu závazků </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účetní</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snapToGrid w:val="false"/>
              <w:rPr>
                <w:rFonts w:ascii="Arial" w:hAnsi="Arial" w:cs="Arial"/>
                <w:sz w:val="20"/>
                <w:szCs w:val="20"/>
              </w:rPr>
            </w:pPr>
            <w:r>
              <w:rPr>
                <w:rFonts w:cs="Arial" w:ascii="Arial" w:hAnsi="Arial"/>
                <w:sz w:val="20"/>
                <w:szCs w:val="20"/>
              </w:rPr>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manažer controllingu </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nákupčí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solventnost</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počet chybně vystavených faktur</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účetní</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w:t>
            </w:r>
          </w:p>
        </w:tc>
      </w:tr>
      <w:tr>
        <w:trPr>
          <w:trHeight w:val="510"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počet/výše úhrad závazků po splatnosti</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účetní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 Kč</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počet chybně zaúčtovaných dokladů</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účetní</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w:t>
            </w:r>
          </w:p>
        </w:tc>
      </w:tr>
      <w:tr>
        <w:trPr>
          <w:trHeight w:val="510"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režijní náklady</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náklady na služby (nájem, úklid, energie,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manažer vnitřních věcí</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Kč, % výkonů</w:t>
            </w:r>
          </w:p>
        </w:tc>
      </w:tr>
      <w:tr>
        <w:trPr>
          <w:trHeight w:val="255" w:hRule="atLeast"/>
        </w:trPr>
        <w:tc>
          <w:tcPr>
            <w:tcW w:w="1878" w:type="dxa"/>
            <w:tcBorders>
              <w:top w:val="single" w:sz="4" w:space="0" w:color="000000"/>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personální náklady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dodržení rozpočtu na odměňování</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HR specialista / mzdová účetní</w:t>
            </w:r>
          </w:p>
        </w:tc>
        <w:tc>
          <w:tcPr>
            <w:tcW w:w="1184" w:type="dxa"/>
            <w:tcBorders>
              <w:top w:val="single" w:sz="4" w:space="0" w:color="000000"/>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Kč,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dodržení rozpočtu na vzdělávání </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HR specialista / mzdová účetní</w:t>
            </w:r>
          </w:p>
        </w:tc>
        <w:tc>
          <w:tcPr>
            <w:tcW w:w="1184" w:type="dxa"/>
            <w:tcBorders>
              <w:top w:val="single" w:sz="4" w:space="0" w:color="000000"/>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Kč, % </w:t>
            </w:r>
          </w:p>
        </w:tc>
      </w:tr>
      <w:tr>
        <w:trPr>
          <w:trHeight w:val="510" w:hRule="atLeast"/>
        </w:trPr>
        <w:tc>
          <w:tcPr>
            <w:tcW w:w="1878"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Personální cíle </w:t>
            </w:r>
          </w:p>
        </w:tc>
        <w:tc>
          <w:tcPr>
            <w:tcW w:w="2731"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Dílčí kritéria (KPI) </w:t>
            </w:r>
          </w:p>
        </w:tc>
        <w:tc>
          <w:tcPr>
            <w:tcW w:w="3257"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Zodpovědní pracovníci </w:t>
            </w:r>
          </w:p>
        </w:tc>
        <w:tc>
          <w:tcPr>
            <w:tcW w:w="11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Metrika (jednotky)</w:t>
            </w:r>
          </w:p>
        </w:tc>
      </w:tr>
      <w:tr>
        <w:trPr>
          <w:trHeight w:val="510"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fluktuace</w:t>
            </w:r>
          </w:p>
        </w:tc>
        <w:tc>
          <w:tcPr>
            <w:tcW w:w="2731" w:type="dxa"/>
            <w:tcBorders>
              <w:left w:val="single" w:sz="4" w:space="0" w:color="000000"/>
            </w:tcBorders>
            <w:shd w:fill="auto" w:val="clear"/>
            <w:tcMar>
              <w:left w:w="65" w:type="dxa"/>
            </w:tcMar>
            <w:vAlign w:val="bottom"/>
          </w:tcPr>
          <w:p>
            <w:pPr>
              <w:pStyle w:val="Normal"/>
              <w:rPr/>
            </w:pPr>
            <w:r>
              <w:rPr>
                <w:rFonts w:cs="Arial" w:ascii="Arial" w:hAnsi="Arial"/>
                <w:sz w:val="20"/>
                <w:szCs w:val="20"/>
              </w:rPr>
              <w:t>počet ukončených PP na žádost zaměstnance</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každý vedoucí </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HR specialista</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76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pPr>
            <w:r>
              <w:rPr>
                <w:rFonts w:cs="Arial" w:ascii="Arial" w:hAnsi="Arial"/>
                <w:sz w:val="20"/>
                <w:szCs w:val="20"/>
              </w:rPr>
              <w:t>Počet ukončených PP ze strany zaměstnavatele (nespokojenost se zaměstnancem)</w:t>
            </w:r>
          </w:p>
        </w:tc>
        <w:tc>
          <w:tcPr>
            <w:tcW w:w="325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HR specialista</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absence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počet hod. prac. nepřítomnosti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každý zaměstnanec</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poč. hod.</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dodržování pracovní doby podřízených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každý vedoucí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hod.</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dodržování pracovní doby</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každý zaměstnanec</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hod.</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neobsazené pozice</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doba/počet neobsazených pozic</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HR specialista</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dny, ks</w:t>
            </w:r>
          </w:p>
        </w:tc>
      </w:tr>
      <w:tr>
        <w:trPr>
          <w:trHeight w:val="510" w:hRule="atLeast"/>
        </w:trPr>
        <w:tc>
          <w:tcPr>
            <w:tcW w:w="1878" w:type="dxa"/>
            <w:tcBorders>
              <w:top w:val="single" w:sz="4" w:space="0" w:color="000000"/>
              <w:left w:val="single" w:sz="4" w:space="0" w:color="000000"/>
            </w:tcBorders>
            <w:shd w:fill="auto" w:val="clear"/>
            <w:tcMar>
              <w:left w:w="65" w:type="dxa"/>
            </w:tcMar>
            <w:vAlign w:val="bottom"/>
          </w:tcPr>
          <w:p>
            <w:pPr>
              <w:pStyle w:val="Normal"/>
              <w:rPr/>
            </w:pPr>
            <w:r>
              <w:rPr>
                <w:rFonts w:cs="Arial" w:ascii="Arial" w:hAnsi="Arial"/>
                <w:sz w:val="20"/>
                <w:szCs w:val="20"/>
              </w:rPr>
              <w:t xml:space="preserve">index spokojenosti zaměstnanců </w:t>
            </w:r>
          </w:p>
        </w:tc>
        <w:tc>
          <w:tcPr>
            <w:tcW w:w="2731" w:type="dxa"/>
            <w:tcBorders>
              <w:top w:val="single" w:sz="4" w:space="0" w:color="000000"/>
              <w:left w:val="single" w:sz="4" w:space="0" w:color="000000"/>
            </w:tcBorders>
            <w:shd w:fill="auto" w:val="clear"/>
            <w:tcMar>
              <w:left w:w="65" w:type="dxa"/>
            </w:tcMar>
            <w:vAlign w:val="bottom"/>
          </w:tcPr>
          <w:p>
            <w:pPr>
              <w:pStyle w:val="Normal"/>
              <w:rPr/>
            </w:pPr>
            <w:r>
              <w:rPr>
                <w:rFonts w:cs="Arial" w:ascii="Arial" w:hAnsi="Arial"/>
                <w:sz w:val="20"/>
                <w:szCs w:val="20"/>
              </w:rPr>
              <w:t xml:space="preserve">index spokojenosti zaměstnanců </w:t>
            </w:r>
          </w:p>
        </w:tc>
        <w:tc>
          <w:tcPr>
            <w:tcW w:w="3257" w:type="dxa"/>
            <w:tcBorders>
              <w:top w:val="single" w:sz="4" w:space="0" w:color="000000"/>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každý vedoucí </w:t>
            </w:r>
          </w:p>
        </w:tc>
        <w:tc>
          <w:tcPr>
            <w:tcW w:w="1184" w:type="dxa"/>
            <w:tcBorders>
              <w:top w:val="single" w:sz="4" w:space="0" w:color="000000"/>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b</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HR specialista</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kompetenční deficity</w:t>
            </w:r>
          </w:p>
        </w:tc>
        <w:tc>
          <w:tcPr>
            <w:tcW w:w="2731"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počet na prac. pozici </w:t>
            </w:r>
          </w:p>
        </w:tc>
        <w:tc>
          <w:tcPr>
            <w:tcW w:w="325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HR specialista</w:t>
            </w:r>
          </w:p>
        </w:tc>
        <w:tc>
          <w:tcPr>
            <w:tcW w:w="11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kvalitní vzdělávání</w:t>
            </w:r>
          </w:p>
        </w:tc>
        <w:tc>
          <w:tcPr>
            <w:tcW w:w="2731" w:type="dxa"/>
            <w:tcBorders>
              <w:left w:val="single" w:sz="4" w:space="0" w:color="000000"/>
            </w:tcBorders>
            <w:shd w:fill="auto" w:val="clear"/>
            <w:tcMar>
              <w:left w:w="65" w:type="dxa"/>
            </w:tcMar>
            <w:vAlign w:val="bottom"/>
          </w:tcPr>
          <w:p>
            <w:pPr>
              <w:pStyle w:val="Normal"/>
              <w:rPr/>
            </w:pPr>
            <w:r>
              <w:rPr>
                <w:rFonts w:cs="Arial" w:ascii="Arial" w:hAnsi="Arial"/>
                <w:sz w:val="20"/>
                <w:szCs w:val="20"/>
              </w:rPr>
              <w:t>počet hod.vzdělávání/zaměstnance</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HR specialista</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hod.</w:t>
            </w:r>
          </w:p>
        </w:tc>
      </w:tr>
      <w:tr>
        <w:trPr>
          <w:trHeight w:val="510"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hodnocení dodavatelů vzdělávacích akcí</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HR specialista</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b</w:t>
            </w:r>
          </w:p>
        </w:tc>
      </w:tr>
      <w:tr>
        <w:trPr>
          <w:trHeight w:val="510" w:hRule="atLeast"/>
        </w:trPr>
        <w:tc>
          <w:tcPr>
            <w:tcW w:w="1878"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Zákaznické cíle</w:t>
            </w:r>
          </w:p>
        </w:tc>
        <w:tc>
          <w:tcPr>
            <w:tcW w:w="2731"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Dílčí kritéria (KPI) </w:t>
            </w:r>
          </w:p>
        </w:tc>
        <w:tc>
          <w:tcPr>
            <w:tcW w:w="3257"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Zodpovědní pracovníci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Metrika (jednotky)</w:t>
            </w:r>
          </w:p>
        </w:tc>
      </w:tr>
      <w:tr>
        <w:trPr>
          <w:trHeight w:val="510"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spokojenost uživatelů komunikací a ost.</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oprávněné reklamace</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zodpovědní prac. jednotlivých útvarů</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 objem</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doba vyřízení reklamace</w:t>
            </w:r>
          </w:p>
        </w:tc>
        <w:tc>
          <w:tcPr>
            <w:tcW w:w="3257" w:type="dxa"/>
            <w:tcBorders>
              <w:top w:val="single" w:sz="4" w:space="0" w:color="000000"/>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zodpovědní prac. jednotlivých útvarů</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510"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doba trvání oprav </w:t>
            </w:r>
          </w:p>
        </w:tc>
        <w:tc>
          <w:tcPr>
            <w:tcW w:w="325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zodpovědní prac. jednotlivých útvarů</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hod.; dny/km; dny</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plnění termínů</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zodpovědní prac. jednotlivých útvarů</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510"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rychlost provedených oprav (rychlost reakce na zjištění závady)</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správní technik, VO</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doba zajištění sjízdnosti komunikací</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správní technik, VO</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hod.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dispečer</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510"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četnost/rychlost čištění komunikací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správní technik, VO</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 hod/m; hod/m2</w:t>
            </w:r>
          </w:p>
        </w:tc>
      </w:tr>
      <w:tr>
        <w:trPr>
          <w:trHeight w:val="510"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četnost prováděných kontrol stavu (sjízdnost, opravy, údržba)</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správní technik - kontrolor</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 ks/km</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počet potřebné techniky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správní technik, VO</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w:t>
            </w:r>
          </w:p>
        </w:tc>
      </w:tr>
      <w:tr>
        <w:trPr>
          <w:trHeight w:val="510"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počet hodin pracovních prostojů při uzávěrách</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dispečer</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hod.</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správní technik, VO</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spokojenost odběratele </w:t>
            </w:r>
          </w:p>
        </w:tc>
        <w:tc>
          <w:tcPr>
            <w:tcW w:w="2731" w:type="dxa"/>
            <w:tcBorders>
              <w:top w:val="single" w:sz="4" w:space="0" w:color="000000"/>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oprávněné reklamace</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zodpovědní prac. jednotlivých útvarů</w:t>
            </w:r>
          </w:p>
        </w:tc>
        <w:tc>
          <w:tcPr>
            <w:tcW w:w="1184" w:type="dxa"/>
            <w:tcBorders>
              <w:top w:val="single" w:sz="4" w:space="0" w:color="000000"/>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 objem</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doba vyřízení reklamace</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zodpovědní prac. jednotlivých útvarů</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plnění termínů</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zodpovědní prac. jednotlivých útvarů</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510"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doba trvání oprav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zodpovědní prac. jednotlivých útvarů</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hod.; dny/km; dny</w:t>
            </w:r>
          </w:p>
        </w:tc>
      </w:tr>
      <w:tr>
        <w:trPr>
          <w:trHeight w:val="510" w:hRule="atLeast"/>
        </w:trPr>
        <w:tc>
          <w:tcPr>
            <w:tcW w:w="1878"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Obchodní cíle - prodej</w:t>
            </w:r>
          </w:p>
        </w:tc>
        <w:tc>
          <w:tcPr>
            <w:tcW w:w="2731"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Dílčí kritéria (KPI) </w:t>
            </w:r>
          </w:p>
        </w:tc>
        <w:tc>
          <w:tcPr>
            <w:tcW w:w="3257" w:type="dxa"/>
            <w:tcBorders>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Zodpovědní pracovníci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Metrika (jednotky)</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plnění prodejního plánu</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objem prodaného zboží/služeb</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obchodník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Kč</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růst tržeb za prodej</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obchodník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eastAsia="Arial" w:cs="Arial" w:ascii="Arial" w:hAnsi="Arial"/>
                <w:sz w:val="20"/>
                <w:szCs w:val="20"/>
              </w:rPr>
              <w:t xml:space="preserve"> </w:t>
            </w:r>
            <w:r>
              <w:rPr>
                <w:rFonts w:cs="Arial" w:ascii="Arial" w:hAnsi="Arial"/>
                <w:sz w:val="20"/>
                <w:szCs w:val="20"/>
              </w:rPr>
              <w:t xml:space="preserve">zisková marže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obchodník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náklady na prodej </w:t>
            </w:r>
          </w:p>
        </w:tc>
        <w:tc>
          <w:tcPr>
            <w:tcW w:w="2731"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podíl nákladů na výkon</w:t>
            </w:r>
          </w:p>
        </w:tc>
        <w:tc>
          <w:tcPr>
            <w:tcW w:w="3257"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manažer prodeje, </w:t>
            </w:r>
          </w:p>
        </w:tc>
        <w:tc>
          <w:tcPr>
            <w:tcW w:w="1184" w:type="dxa"/>
            <w:tcBorders>
              <w:left w:val="single" w:sz="4" w:space="0" w:color="000000"/>
              <w:right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obchodník </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r>
      <w:tr>
        <w:trPr>
          <w:trHeight w:val="510" w:hRule="atLeast"/>
        </w:trPr>
        <w:tc>
          <w:tcPr>
            <w:tcW w:w="1878"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Obchodní cíle - nákup</w:t>
            </w:r>
          </w:p>
        </w:tc>
        <w:tc>
          <w:tcPr>
            <w:tcW w:w="2731"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Dílčí kritéria (KPI) </w:t>
            </w:r>
          </w:p>
        </w:tc>
        <w:tc>
          <w:tcPr>
            <w:tcW w:w="3257" w:type="dxa"/>
            <w:tcBorders>
              <w:top w:val="single" w:sz="4" w:space="0" w:color="000000"/>
              <w:left w:val="single" w:sz="4" w:space="0" w:color="000000"/>
              <w:bottom w:val="single" w:sz="4" w:space="0" w:color="000000"/>
              <w:insideH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 xml:space="preserve">Zodpovědní pracovníci </w:t>
            </w:r>
          </w:p>
        </w:tc>
        <w:tc>
          <w:tcPr>
            <w:tcW w:w="11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666699" w:val="clear"/>
            <w:tcMar>
              <w:left w:w="65" w:type="dxa"/>
            </w:tcMar>
            <w:vAlign w:val="center"/>
          </w:tcPr>
          <w:p>
            <w:pPr>
              <w:pStyle w:val="Normal"/>
              <w:jc w:val="center"/>
              <w:rPr>
                <w:rFonts w:ascii="Arial" w:hAnsi="Arial" w:cs="Arial"/>
                <w:b/>
                <w:b/>
                <w:bCs/>
                <w:color w:val="FFFFFF"/>
                <w:sz w:val="20"/>
                <w:szCs w:val="20"/>
              </w:rPr>
            </w:pPr>
            <w:r>
              <w:rPr>
                <w:rFonts w:cs="Arial" w:ascii="Arial" w:hAnsi="Arial"/>
                <w:b/>
                <w:bCs/>
                <w:color w:val="FFFFFF"/>
                <w:sz w:val="20"/>
                <w:szCs w:val="20"/>
              </w:rPr>
              <w:t>Metrika (jednotky)</w:t>
            </w:r>
          </w:p>
        </w:tc>
      </w:tr>
      <w:tr>
        <w:trPr>
          <w:trHeight w:val="255" w:hRule="atLeast"/>
        </w:trPr>
        <w:tc>
          <w:tcPr>
            <w:tcW w:w="187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plnění termínů dodavatelů</w:t>
            </w:r>
          </w:p>
        </w:tc>
        <w:tc>
          <w:tcPr>
            <w:tcW w:w="2731"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počet předání po termínu</w:t>
            </w:r>
          </w:p>
        </w:tc>
        <w:tc>
          <w:tcPr>
            <w:tcW w:w="3257"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r>
        <w:trPr>
          <w:trHeight w:val="255" w:hRule="atLeast"/>
        </w:trPr>
        <w:tc>
          <w:tcPr>
            <w:tcW w:w="1878" w:type="dxa"/>
            <w:tcBorders>
              <w:left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počet reklamovaných dodávek</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oprávněné reklamace</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ks; objem</w:t>
            </w:r>
          </w:p>
        </w:tc>
      </w:tr>
      <w:tr>
        <w:trPr>
          <w:trHeight w:val="255" w:hRule="atLeast"/>
        </w:trPr>
        <w:tc>
          <w:tcPr>
            <w:tcW w:w="1878"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w:t>
            </w:r>
          </w:p>
        </w:tc>
        <w:tc>
          <w:tcPr>
            <w:tcW w:w="2731"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doba vyřízení reklamace</w:t>
            </w:r>
          </w:p>
        </w:tc>
        <w:tc>
          <w:tcPr>
            <w:tcW w:w="3257" w:type="dxa"/>
            <w:tcBorders>
              <w:left w:val="single" w:sz="4" w:space="0" w:color="000000"/>
              <w:bottom w:val="single" w:sz="4" w:space="0" w:color="000000"/>
              <w:insideH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nákupčí (subdodavatelé)</w:t>
            </w:r>
          </w:p>
        </w:tc>
        <w:tc>
          <w:tcPr>
            <w:tcW w:w="11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vAlign w:val="bottom"/>
          </w:tcPr>
          <w:p>
            <w:pPr>
              <w:pStyle w:val="Normal"/>
              <w:rPr>
                <w:rFonts w:ascii="Arial" w:hAnsi="Arial" w:cs="Arial"/>
                <w:sz w:val="20"/>
                <w:szCs w:val="20"/>
              </w:rPr>
            </w:pPr>
            <w:r>
              <w:rPr>
                <w:rFonts w:cs="Arial" w:ascii="Arial" w:hAnsi="Arial"/>
                <w:sz w:val="20"/>
                <w:szCs w:val="20"/>
              </w:rPr>
              <w:t xml:space="preserve">dny </w:t>
            </w:r>
          </w:p>
        </w:tc>
      </w:tr>
    </w:tbl>
    <w:p>
      <w:pPr>
        <w:pStyle w:val="Stanoviskotext"/>
        <w:rPr/>
      </w:pPr>
      <w:r>
        <w:rPr/>
      </w:r>
    </w:p>
    <w:p>
      <w:pPr>
        <w:pStyle w:val="Stanoviskotext"/>
        <w:rPr/>
      </w:pPr>
      <w:r>
        <w:rPr/>
        <w:t>Při stanovování KPI je nezbytné kriticky hodnotit, zda měření skutečně pomáhá ke zvyšování výkonu společnosti a k odhalení příčin nedostatků. V praxi to znamená, že někdy „méně je více“. Tzn. je důležité vybrat pro hodnocení výkonnosti společnosti a potažmo jednotlivých zaměstnanců pouze taková kritéria, která mají opravdu zásadní dopad do strategických cílů společnosti a budou tak relevantním přínosem (dodržení poměru cena/výkon).</w:t>
      </w:r>
    </w:p>
    <w:p>
      <w:pPr>
        <w:pStyle w:val="Stanoviskotext"/>
        <w:rPr/>
      </w:pPr>
      <w:r>
        <w:rPr/>
        <w:t>KPI nám pomáhají měřit úspěšnost plnění vytyčených cílů.</w:t>
      </w:r>
    </w:p>
    <w:p>
      <w:pPr>
        <w:pStyle w:val="Stanoviskotext"/>
        <w:rPr/>
      </w:pPr>
      <w:r>
        <w:rPr/>
        <w:t>Praktické zásady pro navrhování KPI – KPI by měly být:</w:t>
      </w:r>
    </w:p>
    <w:p>
      <w:pPr>
        <w:pStyle w:val="Stanoviskotext"/>
        <w:numPr>
          <w:ilvl w:val="0"/>
          <w:numId w:val="23"/>
        </w:numPr>
        <w:rPr/>
      </w:pPr>
      <w:r>
        <w:rPr/>
        <w:t>Konkrétní - KPI jsou jasné a zřetelné tak, aby nedošlo k jejich chybné interpretaci;</w:t>
      </w:r>
    </w:p>
    <w:p>
      <w:pPr>
        <w:pStyle w:val="Stanoviskotext"/>
        <w:numPr>
          <w:ilvl w:val="0"/>
          <w:numId w:val="23"/>
        </w:numPr>
        <w:rPr/>
      </w:pPr>
      <w:r>
        <w:rPr/>
        <w:t>Měřitelné – KPI by měly být kvantifikovány a porovnány s konkrétními cíli;</w:t>
      </w:r>
    </w:p>
    <w:p>
      <w:pPr>
        <w:pStyle w:val="Stanoviskotext"/>
        <w:numPr>
          <w:ilvl w:val="0"/>
          <w:numId w:val="23"/>
        </w:numPr>
        <w:rPr/>
      </w:pPr>
      <w:r>
        <w:rPr/>
        <w:t>Dosažitelné – KPI by měly být dosažitelné, přijatelné a průkazné za očekávaných podmínek;</w:t>
      </w:r>
    </w:p>
    <w:p>
      <w:pPr>
        <w:pStyle w:val="Stanoviskotext"/>
        <w:numPr>
          <w:ilvl w:val="0"/>
          <w:numId w:val="23"/>
        </w:numPr>
        <w:rPr/>
      </w:pPr>
      <w:r>
        <w:rPr/>
        <w:t>Realistické – takové KPI, které nepřekračují limity organizace;</w:t>
      </w:r>
    </w:p>
    <w:p>
      <w:pPr>
        <w:pStyle w:val="Stanoviskotext"/>
        <w:numPr>
          <w:ilvl w:val="0"/>
          <w:numId w:val="23"/>
        </w:numPr>
        <w:rPr/>
      </w:pPr>
      <w:r>
        <w:rPr/>
        <w:t>Včasné – takové ukazatele KPI, které mohou být měřeny a vykazovány v čase, aby byly užitečné pro organizaci.</w:t>
      </w:r>
    </w:p>
    <w:p>
      <w:pPr>
        <w:pStyle w:val="Stanoviskotext"/>
        <w:rPr/>
      </w:pPr>
      <w:r>
        <w:rPr/>
      </w:r>
      <w:r>
        <w:br w:type="page"/>
      </w:r>
    </w:p>
    <w:p>
      <w:pPr>
        <w:pStyle w:val="Stanoviskotext"/>
        <w:rPr/>
      </w:pPr>
      <w:r>
        <w:rPr/>
      </w:r>
    </w:p>
    <w:p>
      <w:pPr>
        <w:pStyle w:val="Stanovisko1"/>
        <w:numPr>
          <w:ilvl w:val="0"/>
          <w:numId w:val="2"/>
        </w:numPr>
        <w:rPr/>
      </w:pPr>
      <w:bookmarkStart w:id="20" w:name="__RefHeading___Toc382588305"/>
      <w:bookmarkEnd w:id="20"/>
      <w:r>
        <w:rPr/>
        <w:t>Důsledky transformace na AS</w:t>
      </w:r>
    </w:p>
    <w:p>
      <w:pPr>
        <w:pStyle w:val="Stanovisko2"/>
        <w:numPr>
          <w:ilvl w:val="1"/>
          <w:numId w:val="2"/>
        </w:numPr>
        <w:rPr/>
      </w:pPr>
      <w:bookmarkStart w:id="21" w:name="__RefHeading___Toc382588306"/>
      <w:bookmarkEnd w:id="21"/>
      <w:r>
        <w:rPr/>
        <w:t>Výhody transformace na AS</w:t>
      </w:r>
    </w:p>
    <w:p>
      <w:pPr>
        <w:pStyle w:val="Stanoviskotext"/>
        <w:rPr/>
      </w:pPr>
      <w:r>
        <w:rPr/>
        <w:t xml:space="preserve">Výhody transformace TSK na akciovou společnost, v níž by bylo hlavní město Praha jediným akcionářem, spočívají především v konstrukci právní úpravy akciové společnosti jako takové. Akciová společnost je typickým představitelem kapitálové obchodní společnosti, která je z velké části regulována právem Evropské unie. Požadavky EU se přitom týkají zejména </w:t>
      </w:r>
      <w:r>
        <w:rPr>
          <w:b/>
        </w:rPr>
        <w:t>transparentnosti, udržování základního kapitálu a ochrany zájmů společníků a třetích osob</w:t>
      </w:r>
      <w:r>
        <w:rPr/>
        <w:t>. Základními právními předpisy, které v rámci českého právního řádu s ohledem na požadavky EU komplexně upravují právní postavení, poměry, založení a vznik akciových společností, jsou od 1. 1. 2014 ZOK společně s NOZ.</w:t>
      </w:r>
    </w:p>
    <w:p>
      <w:pPr>
        <w:pStyle w:val="Stanoviskotext"/>
        <w:rPr/>
      </w:pPr>
      <w:r>
        <w:rPr/>
        <w:t>Kapitálový charakter akciové společnosti se projevuje zejména tím, že společnost povinně vytváří základní kapitál v minimální zákonem stanovené výši (podle ZOK 2.000.000,- Kč, resp. 80.000,- EUR). Dalším pojmovým rysem je existence obchodního podílu, který je zde reprezentován akcií.</w:t>
      </w:r>
    </w:p>
    <w:p>
      <w:pPr>
        <w:pStyle w:val="Stanoviskotext"/>
        <w:rPr/>
      </w:pPr>
      <w:r>
        <w:rPr/>
        <w:t xml:space="preserve">Po svém vzniku je společnost na svých akcionářích právně i majetkově nezávislá. </w:t>
      </w:r>
      <w:r>
        <w:rPr>
          <w:b/>
        </w:rPr>
        <w:t>Proto za porušení závazků společnosti odpovídá sama společnost celým svým majetkem a věřitelé akciové společnosti se tak mohou domoci uspokojení svých pohledávek výlučně z majetku společnosti.</w:t>
      </w:r>
      <w:r>
        <w:rPr/>
        <w:t xml:space="preserve"> Jednotliví akcionáři za trvání společnosti za její závazky neručí. Zákonné ručení akcionářů může nastoupit pouze v případě, že akciová společnost zanikla po provedení likvidace. V takovém případě je ručení akcionáře za závazky zaniklé společnosti limitováno výší jeho podílu na likvidačním zůstatku.</w:t>
      </w:r>
    </w:p>
    <w:p>
      <w:pPr>
        <w:pStyle w:val="Stanoviskotext"/>
        <w:rPr/>
      </w:pPr>
      <w:r>
        <w:rPr/>
        <w:t xml:space="preserve">Vzniklá akciová společnost by po svém vzniku </w:t>
      </w:r>
      <w:r>
        <w:rPr>
          <w:b/>
        </w:rPr>
        <w:t>neměla mít žádné úlevy nebo výhody ve srovnání s ostatními subjekty působícími na trhu</w:t>
      </w:r>
      <w:r>
        <w:rPr/>
        <w:t>, které by nebylo možné objektivně, v souladu s úpravou veřejných podpor a v rámci ústavněprávních limitů regulace, zdůvodnit specifickou povahou majetku, se kterým bude tato akciová společnost nakládat, či specifickými úkoly s tím spojenými.</w:t>
      </w:r>
    </w:p>
    <w:p>
      <w:pPr>
        <w:pStyle w:val="Stanoviskotext"/>
        <w:rPr/>
      </w:pPr>
      <w:r>
        <w:rPr>
          <w:lang w:eastAsia="ar-SA"/>
        </w:rPr>
        <w:t xml:space="preserve">Narozdíl od TSK jako příspěvkové organizace představuje akciová společnost </w:t>
      </w:r>
      <w:r>
        <w:rPr/>
        <w:t xml:space="preserve">právnickou osobu, jejíž </w:t>
      </w:r>
      <w:r>
        <w:rPr>
          <w:b/>
        </w:rPr>
        <w:t>právní forma je v rámci evropského trhu obvyklá a pro třetí subjekty jasně rozeznatelná</w:t>
      </w:r>
      <w:r>
        <w:rPr/>
        <w:t>. K tomu přispívá zejména skutečnost, že otázky související s právním postavením akciové společnosti jsou komplexně upraveny v rámci jednotlivých právních předpisů, mezi nimi zejména v rámci ZOK a NOZ, které ve své úpravě vycházejí z historického vývoje akciových společností nejen v rámci ČR, ale též EU, a ze zkušeností, jež dlouholeté působení akciových společností na trhu dosud přineslo. Obecně lze shrnout, že právní úprava akciových společností provedená v českém právním řádu je kompatibilní s právem EU a odpovídá právní úpravě obchodního a korporátního práva Evropské unie. Vzhledem k tomu, že právní úprava akciových společností je v systému práva EU relativně podrobně zpracována, je tato právní forma pro obchodní partnery, a to i z členských států EU, srozumitelná.</w:t>
      </w:r>
    </w:p>
    <w:p>
      <w:pPr>
        <w:pStyle w:val="Stanoviskotext"/>
        <w:rPr/>
      </w:pPr>
      <w:r>
        <w:rPr/>
        <w:t xml:space="preserve">Nadto je akciová společnost koncipována jako </w:t>
      </w:r>
      <w:r>
        <w:rPr>
          <w:b/>
        </w:rPr>
        <w:t>nezávislý podnikatelský subjekt s vlastním majetkem, jímž zároveň odpovídá za porušení svých závazků</w:t>
      </w:r>
      <w:r>
        <w:rPr/>
        <w:t xml:space="preserve">. Akciová společnost je tak </w:t>
      </w:r>
      <w:r>
        <w:rPr>
          <w:b/>
        </w:rPr>
        <w:t>motivována snižovat své náklady a zajišťovat co nejefektivnější koordinaci svých činností a investic</w:t>
      </w:r>
      <w:r>
        <w:rPr/>
        <w:t xml:space="preserve">. Úprava právního postavení, jakož i vnitřního uspořádání orgánů akciové společnosti, včetně vztahy mezi těmito orgány navzájem a jejich členy, přitom předurčuje akciovou společnost k tomu, aby se tato v co nejvyšší možné míře </w:t>
      </w:r>
      <w:r>
        <w:rPr>
          <w:b/>
        </w:rPr>
        <w:t>chovala tržně</w:t>
      </w:r>
      <w:r>
        <w:rPr/>
        <w:t xml:space="preserve"> a s ohledem na potřeby trhu. </w:t>
      </w:r>
      <w:r>
        <w:rPr>
          <w:iCs/>
          <w:lang w:eastAsia="ar-SA"/>
        </w:rPr>
        <w:t>Obecným argumentem ve prospěch transformace může být nalezení takových majetkových vztahů a forem spolupráce, které zajistí maximální hospodárnost vkládaných prostředků, jejichž co největší využití a zhodnocení pak zároveň přispěje k všeobecnému rozvoji obce i samotné právnické osoby.</w:t>
      </w:r>
    </w:p>
    <w:p>
      <w:pPr>
        <w:pStyle w:val="Stanoviskotext"/>
        <w:rPr/>
      </w:pPr>
      <w:r>
        <w:rPr/>
        <w:t xml:space="preserve">Akcionáři mohou v této souvislosti využít </w:t>
      </w:r>
      <w:r>
        <w:rPr>
          <w:b/>
        </w:rPr>
        <w:t>účinné nástroje motivace managementu společnosti, zejména pak pomocí klíčových ukazatelů výkonnosti KPI (viz kapitola VI.2.).</w:t>
      </w:r>
      <w:r>
        <w:rPr>
          <w:iCs/>
          <w:lang w:eastAsia="ar-SA"/>
        </w:rPr>
        <w:t xml:space="preserve"> Významnou skutečností je také zapojení zaměstnanců, nalezení spravedlivého systému odměňování </w:t>
      </w:r>
      <w:r>
        <w:rPr>
          <w:lang w:eastAsia="ar-SA"/>
        </w:rPr>
        <w:t>v závislosti na jejich výkonech a výsledcích</w:t>
      </w:r>
      <w:r>
        <w:rPr>
          <w:iCs/>
          <w:lang w:eastAsia="ar-SA"/>
        </w:rPr>
        <w:t xml:space="preserve"> a vytvoření dobrého pobídkového systému.</w:t>
      </w:r>
    </w:p>
    <w:p>
      <w:pPr>
        <w:pStyle w:val="Stanoviskotext"/>
        <w:rPr/>
      </w:pPr>
      <w:r>
        <w:rPr>
          <w:lang w:eastAsia="ar-SA"/>
        </w:rPr>
        <w:t xml:space="preserve">V akciové společnosti je také jasně definována </w:t>
      </w:r>
      <w:r>
        <w:rPr>
          <w:b/>
          <w:lang w:eastAsia="ar-SA"/>
        </w:rPr>
        <w:t>odpovědnost členů řídících orgánů při výkonu jejich funkce</w:t>
      </w:r>
      <w:r>
        <w:rPr>
          <w:lang w:eastAsia="ar-SA"/>
        </w:rPr>
        <w:t xml:space="preserve">. </w:t>
      </w:r>
      <w:r>
        <w:rPr/>
        <w:t>Akciová společnost rovněž disponuje ochrannými opatřeními na </w:t>
      </w:r>
      <w:r>
        <w:rPr>
          <w:b/>
        </w:rPr>
        <w:t xml:space="preserve">ochranu zájmu společníků i třetích osob </w:t>
      </w:r>
      <w:r>
        <w:rPr/>
        <w:t>tak, jak jsou tato opatření jednotně vyžadována v rámci EU.</w:t>
      </w:r>
    </w:p>
    <w:p>
      <w:pPr>
        <w:pStyle w:val="Stanoviskotext"/>
        <w:rPr>
          <w:lang w:eastAsia="ar-SA"/>
        </w:rPr>
      </w:pPr>
      <w:r>
        <w:rPr>
          <w:lang w:eastAsia="ar-SA"/>
        </w:rPr>
        <w:t>Daňově - ekonomické důvody pro provedení změny právní formy příspěvkové organizace, která vedle hlavní činnosti realizuje i hospodářskou (doplňkovou, podnikatelskou) činnost, jsou ve zkratce tyto:</w:t>
      </w:r>
    </w:p>
    <w:p>
      <w:pPr>
        <w:pStyle w:val="Stanoviskotext"/>
        <w:numPr>
          <w:ilvl w:val="0"/>
          <w:numId w:val="3"/>
        </w:numPr>
        <w:rPr/>
      </w:pPr>
      <w:r>
        <w:rPr>
          <w:lang w:eastAsia="ar-SA"/>
        </w:rPr>
        <w:t>složitější postavení příspěvkové organizace ve srovnání s podnikatelskými subjekty pro stanovení daňového základu k dani z příjmů a výpočtu daně vyplývající</w:t>
      </w:r>
    </w:p>
    <w:p>
      <w:pPr>
        <w:pStyle w:val="Stanoviskotext"/>
        <w:numPr>
          <w:ilvl w:val="0"/>
          <w:numId w:val="9"/>
        </w:numPr>
        <w:rPr/>
      </w:pPr>
      <w:r>
        <w:rPr>
          <w:lang w:eastAsia="ar-SA"/>
        </w:rPr>
        <w:t>z povinností zdaňovat pouze ziskové činnosti, přičemž nelze proti těmto ziskům postavit náklady z ostatních činností (tj. ztrátových), jak je běžné u podnikatelských subjektů,</w:t>
      </w:r>
    </w:p>
    <w:p>
      <w:pPr>
        <w:pStyle w:val="Stanoviskotext"/>
        <w:numPr>
          <w:ilvl w:val="0"/>
          <w:numId w:val="9"/>
        </w:numPr>
        <w:rPr>
          <w:lang w:eastAsia="ar-SA"/>
        </w:rPr>
      </w:pPr>
      <w:r>
        <w:rPr>
          <w:lang w:eastAsia="ar-SA"/>
        </w:rPr>
        <w:t>ze zákazu uplatnit ztrátu z hlavní činnosti v následujících zdaňovacích obdobích;</w:t>
      </w:r>
    </w:p>
    <w:p>
      <w:pPr>
        <w:pStyle w:val="Stanoviskotext"/>
        <w:numPr>
          <w:ilvl w:val="0"/>
          <w:numId w:val="3"/>
        </w:numPr>
        <w:rPr/>
      </w:pPr>
      <w:r>
        <w:rPr>
          <w:lang w:eastAsia="ar-SA"/>
        </w:rPr>
        <w:t>základ daně u obchodních společností, který vychází z celkového hospodářského výsledku všech realizovaných činností, výnosy jedné činnosti lze kompenzovat náklady jiných činností v rámci jednoho daňového základu;</w:t>
      </w:r>
    </w:p>
    <w:p>
      <w:pPr>
        <w:pStyle w:val="Stanoviskotext"/>
        <w:numPr>
          <w:ilvl w:val="0"/>
          <w:numId w:val="3"/>
        </w:numPr>
        <w:rPr>
          <w:lang w:eastAsia="ar-SA"/>
        </w:rPr>
      </w:pPr>
      <w:r>
        <w:rPr>
          <w:lang w:eastAsia="ar-SA"/>
        </w:rPr>
        <w:t>krácení nároku nadměrného odpočtu u daně z přidané hodnoty u neziskových subjektů;</w:t>
      </w:r>
    </w:p>
    <w:p>
      <w:pPr>
        <w:pStyle w:val="Stanoviskotext"/>
        <w:numPr>
          <w:ilvl w:val="0"/>
          <w:numId w:val="3"/>
        </w:numPr>
        <w:rPr>
          <w:lang w:eastAsia="ar-SA"/>
        </w:rPr>
      </w:pPr>
      <w:r>
        <w:rPr>
          <w:lang w:eastAsia="ar-SA"/>
        </w:rPr>
        <w:t>nejistota příspěvkové organizace při nakládání s majetkem zřizovatele, nejistota při sestavení daňového přiznání k dani z příjmů právnických osob, která vyplývá</w:t>
      </w:r>
    </w:p>
    <w:p>
      <w:pPr>
        <w:pStyle w:val="Stanoviskotext"/>
        <w:numPr>
          <w:ilvl w:val="0"/>
          <w:numId w:val="8"/>
        </w:numPr>
        <w:rPr>
          <w:lang w:eastAsia="ar-SA"/>
        </w:rPr>
      </w:pPr>
      <w:r>
        <w:rPr>
          <w:lang w:eastAsia="ar-SA"/>
        </w:rPr>
        <w:t>z nejednoznačného vymezení pojmů,</w:t>
      </w:r>
    </w:p>
    <w:p>
      <w:pPr>
        <w:pStyle w:val="Stanoviskotext"/>
        <w:numPr>
          <w:ilvl w:val="0"/>
          <w:numId w:val="8"/>
        </w:numPr>
        <w:rPr>
          <w:lang w:eastAsia="ar-SA"/>
        </w:rPr>
      </w:pPr>
      <w:r>
        <w:rPr>
          <w:lang w:eastAsia="ar-SA"/>
        </w:rPr>
        <w:t>nemožnost uplatnit daňové odpisy z investičního majetku předaného do správy;</w:t>
      </w:r>
    </w:p>
    <w:p>
      <w:pPr>
        <w:pStyle w:val="Stanoviskotext"/>
        <w:numPr>
          <w:ilvl w:val="0"/>
          <w:numId w:val="3"/>
        </w:numPr>
        <w:rPr>
          <w:lang w:eastAsia="ar-SA"/>
        </w:rPr>
      </w:pPr>
      <w:r>
        <w:rPr>
          <w:lang w:eastAsia="ar-SA"/>
        </w:rPr>
        <w:t>jednoznačnější způsob stanovení daňových povinností obchodních společností;</w:t>
      </w:r>
    </w:p>
    <w:p>
      <w:pPr>
        <w:pStyle w:val="Stanoviskotext"/>
        <w:numPr>
          <w:ilvl w:val="0"/>
          <w:numId w:val="3"/>
        </w:numPr>
        <w:rPr/>
      </w:pPr>
      <w:r>
        <w:rPr>
          <w:lang w:eastAsia="ar-SA"/>
        </w:rPr>
        <w:t>složitější účetní evidence příspěvkových organizací spočívající v povinnosti účetně oddělovat výnosy a náklady podle jednotlivých činností, a to s přímými daňovými dopady;</w:t>
      </w:r>
    </w:p>
    <w:p>
      <w:pPr>
        <w:pStyle w:val="Stanoviskotext"/>
        <w:numPr>
          <w:ilvl w:val="0"/>
          <w:numId w:val="3"/>
        </w:numPr>
        <w:rPr>
          <w:lang w:eastAsia="ar-SA"/>
        </w:rPr>
      </w:pPr>
      <w:r>
        <w:rPr>
          <w:lang w:eastAsia="ar-SA"/>
        </w:rPr>
        <w:t>stabilizovaný systém účetnictví obchodních společností;</w:t>
      </w:r>
    </w:p>
    <w:p>
      <w:pPr>
        <w:pStyle w:val="Stanoviskotext"/>
        <w:rPr>
          <w:lang w:eastAsia="ar-SA"/>
        </w:rPr>
      </w:pPr>
      <w:r>
        <w:rPr>
          <w:lang w:eastAsia="ar-SA"/>
        </w:rPr>
        <w:t>Pro optimalizaci daňových povinností a reálností toku finančních prostředků je třeba předem promyslet a připravit smluvní vztahy k majetku. Přitom se nejedná jen o majetek movitý, který by měla společnost v každém případě vlastnit, ale také o vztahy k nemovitému majetku, především k budovám a plochám, které společnost bude potřebovat pro vlastní činnost.</w:t>
      </w:r>
    </w:p>
    <w:p>
      <w:pPr>
        <w:pStyle w:val="Stanoviskotext"/>
        <w:rPr/>
      </w:pPr>
      <w:r>
        <w:rPr>
          <w:lang w:eastAsia="ar-SA"/>
        </w:rPr>
        <w:t>Akciová společnost může kromě základního účelu, kterým je dosažení zisku, plnit i jiný účel, nemusí tedy usilovat pouze o dosažení zisku, ale také o </w:t>
      </w:r>
      <w:r>
        <w:rPr>
          <w:b/>
          <w:lang w:eastAsia="ar-SA"/>
        </w:rPr>
        <w:t>naplnění jiného, veřejného účelu</w:t>
      </w:r>
      <w:r>
        <w:rPr>
          <w:lang w:eastAsia="ar-SA"/>
        </w:rPr>
        <w:t>.</w:t>
      </w:r>
    </w:p>
    <w:p>
      <w:pPr>
        <w:pStyle w:val="Stanoviskotext"/>
        <w:rPr>
          <w:lang w:eastAsia="ar-SA"/>
        </w:rPr>
      </w:pPr>
      <w:r>
        <w:rPr>
          <w:lang w:eastAsia="ar-SA"/>
        </w:rPr>
      </w:r>
      <w:r>
        <w:br w:type="page"/>
      </w:r>
    </w:p>
    <w:p>
      <w:pPr>
        <w:pStyle w:val="Stanovisko2"/>
        <w:numPr>
          <w:ilvl w:val="1"/>
          <w:numId w:val="2"/>
        </w:numPr>
        <w:rPr/>
      </w:pPr>
      <w:bookmarkStart w:id="22" w:name="__RefHeading___Toc382588307"/>
      <w:bookmarkEnd w:id="22"/>
      <w:r>
        <w:rPr/>
        <w:t>Nevýhody transformace na AS</w:t>
      </w:r>
    </w:p>
    <w:p>
      <w:pPr>
        <w:pStyle w:val="Stanoviskotext"/>
        <w:rPr/>
      </w:pPr>
      <w:r>
        <w:rPr/>
        <w:t>Za nevýhody transformace na obchodní společnost považujeme především vznik dodatečných nákladů, který představuje jak samotný proces transformace, tak její výsledný stav. Jak již bylo shora uvedeno, jedná se o jednorázové transakční náklady na transformaci a především o navýšení nákladů týkající se zejména dopadů do daňových povinností nově vzniklé obchodní společnosti z titulu daně z přidané hodnoty.</w:t>
      </w:r>
    </w:p>
    <w:p>
      <w:pPr>
        <w:pStyle w:val="Stanoviskotext"/>
        <w:rPr/>
      </w:pPr>
      <w:r>
        <w:rPr/>
        <w:t>Vznik dalších nákladů se bude odvíjet od rozhodnutí HMP o ziskovosti vzniklé obchodní společnosti, kdy by v úvahu připadaly zvýšené náklady z titulu nově uplatňované marže v obvyklé výši.</w:t>
      </w:r>
    </w:p>
    <w:p>
      <w:pPr>
        <w:pStyle w:val="Stanoviskotext"/>
        <w:rPr/>
      </w:pPr>
      <w:r>
        <w:rPr/>
        <w:t>Dalším finančním dopadem transformace mohou být zvýšené nároky na odměňování zaměstnanců v obchodní společnosti plynoucí ze skutečnosti, že odměna již nebude omezena tabulkovými hodnotami. Ve srovnání s hodnotami získanými z ISPV (Informační systém o průměrném výdělku obsahující údaje z pravidelného statistického šetření, které je zařazeno do programu statistických zjišťování vyhlášených Českým statistickým úřadem) mohou tyto náklady v čase dosáhnout více než 20 mil. Kč.</w:t>
      </w:r>
    </w:p>
    <w:p>
      <w:pPr>
        <w:pStyle w:val="Stanovisko2"/>
        <w:numPr>
          <w:ilvl w:val="0"/>
          <w:numId w:val="0"/>
        </w:numPr>
        <w:ind w:left="0" w:hanging="0"/>
        <w:rPr>
          <w:b w:val="false"/>
          <w:b w:val="false"/>
          <w:color w:val="000000"/>
          <w:sz w:val="20"/>
        </w:rPr>
      </w:pPr>
      <w:r>
        <w:rPr>
          <w:b w:val="false"/>
          <w:color w:val="000000"/>
          <w:sz w:val="20"/>
        </w:rPr>
      </w:r>
      <w:r>
        <w:br w:type="page"/>
      </w:r>
    </w:p>
    <w:p>
      <w:pPr>
        <w:pStyle w:val="Stanovisko2"/>
        <w:numPr>
          <w:ilvl w:val="1"/>
          <w:numId w:val="2"/>
        </w:numPr>
        <w:rPr/>
      </w:pPr>
      <w:bookmarkStart w:id="23" w:name="__RefHeading___Toc382588308"/>
      <w:bookmarkEnd w:id="23"/>
      <w:r>
        <w:rPr/>
        <w:t>SWOT analýza příspěvkové organizace</w:t>
      </w:r>
    </w:p>
    <w:tbl>
      <w:tblPr>
        <w:tblW w:w="9220"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4605"/>
        <w:gridCol w:w="4615"/>
      </w:tblGrid>
      <w:tr>
        <w:trPr/>
        <w:tc>
          <w:tcPr>
            <w:tcW w:w="4605" w:type="dxa"/>
            <w:tcBorders>
              <w:top w:val="single" w:sz="4" w:space="0" w:color="000000"/>
              <w:left w:val="single" w:sz="4" w:space="0" w:color="000000"/>
              <w:bottom w:val="single" w:sz="4" w:space="0" w:color="000000"/>
              <w:insideH w:val="single" w:sz="4" w:space="0" w:color="000000"/>
            </w:tcBorders>
            <w:shd w:fill="005DAB" w:val="clear"/>
            <w:tcMar>
              <w:left w:w="103" w:type="dxa"/>
            </w:tcMar>
          </w:tcPr>
          <w:p>
            <w:pPr>
              <w:pStyle w:val="Stanoviskotext"/>
              <w:spacing w:before="240" w:after="240"/>
              <w:rPr>
                <w:b/>
                <w:b/>
                <w:bCs/>
                <w:color w:val="FFFFFF"/>
                <w:szCs w:val="24"/>
              </w:rPr>
            </w:pPr>
            <w:r>
              <w:rPr>
                <w:b/>
                <w:bCs/>
                <w:color w:val="FFFFFF"/>
                <w:szCs w:val="24"/>
              </w:rPr>
              <w:t>Silné stránky:</w:t>
            </w:r>
          </w:p>
        </w:tc>
        <w:tc>
          <w:tcPr>
            <w:tcW w:w="4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5DAB" w:val="clear"/>
            <w:tcMar>
              <w:left w:w="103" w:type="dxa"/>
            </w:tcMar>
          </w:tcPr>
          <w:p>
            <w:pPr>
              <w:pStyle w:val="Stanoviskotext"/>
              <w:spacing w:before="240" w:after="240"/>
              <w:ind w:left="360" w:hanging="0"/>
              <w:rPr>
                <w:b/>
                <w:b/>
                <w:bCs/>
                <w:color w:val="FFFFFF"/>
                <w:szCs w:val="24"/>
              </w:rPr>
            </w:pPr>
            <w:r>
              <w:rPr>
                <w:b/>
                <w:bCs/>
                <w:color w:val="FFFFFF"/>
                <w:szCs w:val="24"/>
              </w:rPr>
              <w:t>Slabé stránky:</w:t>
            </w:r>
          </w:p>
        </w:tc>
      </w:tr>
      <w:tr>
        <w:trPr/>
        <w:tc>
          <w:tcPr>
            <w:tcW w:w="460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Stanoviskotext"/>
              <w:numPr>
                <w:ilvl w:val="0"/>
                <w:numId w:val="17"/>
              </w:numPr>
              <w:spacing w:before="240" w:after="240"/>
              <w:rPr>
                <w:bCs/>
                <w:szCs w:val="24"/>
              </w:rPr>
            </w:pPr>
            <w:r>
              <w:rPr>
                <w:bCs/>
                <w:szCs w:val="24"/>
              </w:rPr>
              <w:t>přímá provázanost s rozpočtem zřizovatele;</w:t>
            </w:r>
          </w:p>
          <w:p>
            <w:pPr>
              <w:pStyle w:val="Stanoviskotext"/>
              <w:numPr>
                <w:ilvl w:val="0"/>
                <w:numId w:val="17"/>
              </w:numPr>
              <w:rPr>
                <w:bCs/>
                <w:szCs w:val="24"/>
              </w:rPr>
            </w:pPr>
            <w:r>
              <w:rPr>
                <w:bCs/>
                <w:szCs w:val="24"/>
              </w:rPr>
              <w:t>významná možnost ovlivňovat veškerou činnost PO ze strany zřizovatele;</w:t>
            </w:r>
          </w:p>
          <w:p>
            <w:pPr>
              <w:pStyle w:val="Stanoviskotext"/>
              <w:numPr>
                <w:ilvl w:val="0"/>
                <w:numId w:val="17"/>
              </w:numPr>
              <w:rPr>
                <w:bCs/>
                <w:szCs w:val="24"/>
              </w:rPr>
            </w:pPr>
            <w:r>
              <w:rPr>
                <w:bCs/>
                <w:szCs w:val="24"/>
              </w:rPr>
              <w:t>dobrá možnost finanční kontroly prostřednictvím orgánů zřizovatele;</w:t>
            </w:r>
          </w:p>
          <w:p>
            <w:pPr>
              <w:pStyle w:val="Stanoviskotext"/>
              <w:numPr>
                <w:ilvl w:val="0"/>
                <w:numId w:val="17"/>
              </w:numPr>
              <w:rPr>
                <w:bCs/>
                <w:szCs w:val="24"/>
              </w:rPr>
            </w:pPr>
            <w:r>
              <w:rPr>
                <w:bCs/>
                <w:szCs w:val="24"/>
              </w:rPr>
              <w:t>všechen vložený majetek je stále v rukou zřizovatele (i po likvidaci a zániku PO);</w:t>
            </w:r>
          </w:p>
          <w:p>
            <w:pPr>
              <w:pStyle w:val="Stanoviskotext"/>
              <w:numPr>
                <w:ilvl w:val="0"/>
                <w:numId w:val="17"/>
              </w:numPr>
              <w:rPr>
                <w:bCs/>
                <w:szCs w:val="24"/>
              </w:rPr>
            </w:pPr>
            <w:r>
              <w:rPr>
                <w:bCs/>
                <w:szCs w:val="24"/>
              </w:rPr>
              <w:t>ztrátu PO může zřizovatel ze zákona pokrýt příspěvkem;</w:t>
            </w:r>
          </w:p>
          <w:p>
            <w:pPr>
              <w:pStyle w:val="Stanoviskotext"/>
              <w:numPr>
                <w:ilvl w:val="0"/>
                <w:numId w:val="17"/>
              </w:numPr>
              <w:rPr>
                <w:bCs/>
                <w:szCs w:val="24"/>
              </w:rPr>
            </w:pPr>
            <w:r>
              <w:rPr>
                <w:bCs/>
                <w:szCs w:val="24"/>
              </w:rPr>
              <w:t>zisk PO je odváděn přímo zřizovateli;</w:t>
            </w:r>
          </w:p>
          <w:p>
            <w:pPr>
              <w:pStyle w:val="Stanoviskotext"/>
              <w:numPr>
                <w:ilvl w:val="0"/>
                <w:numId w:val="17"/>
              </w:numPr>
              <w:rPr>
                <w:bCs/>
                <w:szCs w:val="24"/>
              </w:rPr>
            </w:pPr>
            <w:r>
              <w:rPr>
                <w:bCs/>
                <w:szCs w:val="24"/>
              </w:rPr>
              <w:t>bez vědomí zřizovatele se PO nesmí zavazovat, např. v oblasti leasingů apod.;</w:t>
            </w:r>
          </w:p>
          <w:p>
            <w:pPr>
              <w:pStyle w:val="Stanoviskotext"/>
              <w:numPr>
                <w:ilvl w:val="0"/>
                <w:numId w:val="17"/>
              </w:numPr>
              <w:spacing w:before="240" w:after="240"/>
              <w:rPr>
                <w:bCs/>
                <w:szCs w:val="24"/>
              </w:rPr>
            </w:pPr>
            <w:r>
              <w:rPr>
                <w:bCs/>
                <w:szCs w:val="24"/>
              </w:rPr>
              <w:t>příspěvek nepodléhá DPH.</w:t>
            </w:r>
          </w:p>
        </w:tc>
        <w:tc>
          <w:tcPr>
            <w:tcW w:w="4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anoviskotext"/>
              <w:numPr>
                <w:ilvl w:val="0"/>
                <w:numId w:val="17"/>
              </w:numPr>
              <w:spacing w:before="240" w:after="240"/>
              <w:rPr>
                <w:bCs/>
                <w:szCs w:val="24"/>
              </w:rPr>
            </w:pPr>
            <w:r>
              <w:rPr>
                <w:bCs/>
                <w:szCs w:val="24"/>
              </w:rPr>
              <w:t>závislost PO na přidělení příspěvku od zřizovatele;</w:t>
            </w:r>
          </w:p>
          <w:p>
            <w:pPr>
              <w:pStyle w:val="Stanoviskotext"/>
              <w:numPr>
                <w:ilvl w:val="0"/>
                <w:numId w:val="17"/>
              </w:numPr>
              <w:rPr>
                <w:bCs/>
                <w:szCs w:val="24"/>
              </w:rPr>
            </w:pPr>
            <w:r>
              <w:rPr>
                <w:bCs/>
                <w:szCs w:val="24"/>
              </w:rPr>
              <w:t>omezené možnosti finanční motivace zaměstnanců;</w:t>
            </w:r>
          </w:p>
          <w:p>
            <w:pPr>
              <w:pStyle w:val="Stanoviskotext"/>
              <w:numPr>
                <w:ilvl w:val="0"/>
                <w:numId w:val="17"/>
              </w:numPr>
              <w:rPr>
                <w:bCs/>
                <w:szCs w:val="24"/>
              </w:rPr>
            </w:pPr>
            <w:r>
              <w:rPr>
                <w:bCs/>
                <w:szCs w:val="24"/>
              </w:rPr>
              <w:t>v evropském měřítku se jedná o neznámou právní formu;</w:t>
            </w:r>
          </w:p>
          <w:p>
            <w:pPr>
              <w:pStyle w:val="Stanoviskotext"/>
              <w:numPr>
                <w:ilvl w:val="0"/>
                <w:numId w:val="17"/>
              </w:numPr>
              <w:rPr>
                <w:bCs/>
                <w:szCs w:val="24"/>
              </w:rPr>
            </w:pPr>
            <w:r>
              <w:rPr>
                <w:bCs/>
                <w:szCs w:val="24"/>
              </w:rPr>
              <w:t>do řízení zasahují politické vlivy;</w:t>
            </w:r>
          </w:p>
          <w:p>
            <w:pPr>
              <w:pStyle w:val="Stanoviskotext"/>
              <w:numPr>
                <w:ilvl w:val="0"/>
                <w:numId w:val="17"/>
              </w:numPr>
              <w:spacing w:before="240" w:after="240"/>
              <w:rPr>
                <w:bCs/>
                <w:szCs w:val="24"/>
              </w:rPr>
            </w:pPr>
            <w:r>
              <w:rPr>
                <w:bCs/>
                <w:szCs w:val="24"/>
              </w:rPr>
              <w:t>omezená možnost udělovat finanční sankce za neplnění úkolů – riziko nízké efektivity.</w:t>
            </w:r>
          </w:p>
        </w:tc>
      </w:tr>
      <w:tr>
        <w:trPr/>
        <w:tc>
          <w:tcPr>
            <w:tcW w:w="4605" w:type="dxa"/>
            <w:tcBorders>
              <w:top w:val="single" w:sz="4" w:space="0" w:color="000000"/>
              <w:left w:val="single" w:sz="4" w:space="0" w:color="000000"/>
              <w:bottom w:val="single" w:sz="4" w:space="0" w:color="000000"/>
              <w:insideH w:val="single" w:sz="4" w:space="0" w:color="000000"/>
            </w:tcBorders>
            <w:shd w:fill="005DAB" w:val="clear"/>
            <w:tcMar>
              <w:left w:w="103" w:type="dxa"/>
            </w:tcMar>
          </w:tcPr>
          <w:p>
            <w:pPr>
              <w:pStyle w:val="Stanoviskotext"/>
              <w:spacing w:before="240" w:after="240"/>
              <w:rPr>
                <w:b/>
                <w:b/>
                <w:bCs/>
                <w:color w:val="FFFFFF"/>
                <w:szCs w:val="24"/>
              </w:rPr>
            </w:pPr>
            <w:r>
              <w:rPr>
                <w:b/>
                <w:bCs/>
                <w:color w:val="FFFFFF"/>
                <w:szCs w:val="24"/>
              </w:rPr>
              <w:t>Příležitosti:</w:t>
            </w:r>
          </w:p>
        </w:tc>
        <w:tc>
          <w:tcPr>
            <w:tcW w:w="4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5DAB" w:val="clear"/>
            <w:tcMar>
              <w:left w:w="103" w:type="dxa"/>
            </w:tcMar>
          </w:tcPr>
          <w:p>
            <w:pPr>
              <w:pStyle w:val="Stanoviskotext"/>
              <w:spacing w:before="240" w:after="240"/>
              <w:rPr>
                <w:b/>
                <w:b/>
                <w:bCs/>
                <w:color w:val="FFFFFF"/>
                <w:szCs w:val="24"/>
              </w:rPr>
            </w:pPr>
            <w:r>
              <w:rPr>
                <w:b/>
                <w:bCs/>
                <w:color w:val="FFFFFF"/>
                <w:szCs w:val="24"/>
              </w:rPr>
              <w:t>Hrozby:</w:t>
            </w:r>
          </w:p>
        </w:tc>
      </w:tr>
      <w:tr>
        <w:trPr/>
        <w:tc>
          <w:tcPr>
            <w:tcW w:w="460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Stanoviskotext"/>
              <w:numPr>
                <w:ilvl w:val="0"/>
                <w:numId w:val="22"/>
              </w:numPr>
              <w:spacing w:before="240" w:after="240"/>
              <w:rPr>
                <w:bCs/>
                <w:szCs w:val="24"/>
              </w:rPr>
            </w:pPr>
            <w:r>
              <w:rPr>
                <w:bCs/>
                <w:szCs w:val="24"/>
              </w:rPr>
              <w:t>využít dostupné nástroje pro motivaci zaměstnanců, např. v podobě KPI;</w:t>
            </w:r>
          </w:p>
          <w:p>
            <w:pPr>
              <w:pStyle w:val="Stanoviskotext"/>
              <w:numPr>
                <w:ilvl w:val="0"/>
                <w:numId w:val="22"/>
              </w:numPr>
              <w:spacing w:before="240" w:after="240"/>
              <w:rPr>
                <w:bCs/>
                <w:szCs w:val="24"/>
              </w:rPr>
            </w:pPr>
            <w:r>
              <w:rPr>
                <w:bCs/>
                <w:szCs w:val="24"/>
              </w:rPr>
              <w:t>možnosti rozšíření doplňkové činnosti tak, aby klesal příspěvek zřizovatele poskytovaný na hlavní činnost.</w:t>
            </w:r>
          </w:p>
        </w:tc>
        <w:tc>
          <w:tcPr>
            <w:tcW w:w="4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anoviskotext"/>
              <w:numPr>
                <w:ilvl w:val="0"/>
                <w:numId w:val="22"/>
              </w:numPr>
              <w:spacing w:before="240" w:after="240"/>
              <w:rPr>
                <w:bCs/>
                <w:szCs w:val="24"/>
              </w:rPr>
            </w:pPr>
            <w:r>
              <w:rPr>
                <w:bCs/>
                <w:szCs w:val="24"/>
              </w:rPr>
              <w:t>neadekvátní zásahy zřizovatele do chodu PO.</w:t>
            </w:r>
          </w:p>
        </w:tc>
      </w:tr>
    </w:tbl>
    <w:p>
      <w:pPr>
        <w:pStyle w:val="Stanoviskotext"/>
        <w:rPr>
          <w:lang w:eastAsia="ar-SA"/>
        </w:rPr>
      </w:pPr>
      <w:r>
        <w:rPr>
          <w:lang w:eastAsia="ar-SA"/>
        </w:rPr>
      </w:r>
    </w:p>
    <w:p>
      <w:pPr>
        <w:pStyle w:val="Stanovisko2"/>
        <w:numPr>
          <w:ilvl w:val="1"/>
          <w:numId w:val="2"/>
        </w:numPr>
        <w:rPr/>
      </w:pPr>
      <w:bookmarkStart w:id="24" w:name="__RefHeading___Toc382588309"/>
      <w:bookmarkEnd w:id="24"/>
      <w:r>
        <w:rPr/>
        <w:t>SWOT analýza akciové společnosti</w:t>
      </w:r>
    </w:p>
    <w:tbl>
      <w:tblPr>
        <w:tblW w:w="9220"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4605"/>
        <w:gridCol w:w="4615"/>
      </w:tblGrid>
      <w:tr>
        <w:trPr/>
        <w:tc>
          <w:tcPr>
            <w:tcW w:w="4605" w:type="dxa"/>
            <w:tcBorders>
              <w:top w:val="single" w:sz="4" w:space="0" w:color="000000"/>
              <w:left w:val="single" w:sz="4" w:space="0" w:color="000000"/>
              <w:bottom w:val="single" w:sz="4" w:space="0" w:color="000000"/>
              <w:insideH w:val="single" w:sz="4" w:space="0" w:color="000000"/>
            </w:tcBorders>
            <w:shd w:fill="005DAB" w:val="clear"/>
            <w:tcMar>
              <w:left w:w="103" w:type="dxa"/>
            </w:tcMar>
          </w:tcPr>
          <w:p>
            <w:pPr>
              <w:pStyle w:val="Stanoviskotext"/>
              <w:spacing w:before="240" w:after="240"/>
              <w:rPr>
                <w:b/>
                <w:b/>
                <w:bCs/>
                <w:color w:val="FFFFFF"/>
                <w:szCs w:val="24"/>
              </w:rPr>
            </w:pPr>
            <w:r>
              <w:rPr>
                <w:b/>
                <w:bCs/>
                <w:color w:val="FFFFFF"/>
                <w:szCs w:val="24"/>
              </w:rPr>
              <w:t>Silné stránky:</w:t>
            </w:r>
          </w:p>
        </w:tc>
        <w:tc>
          <w:tcPr>
            <w:tcW w:w="4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5DAB" w:val="clear"/>
            <w:tcMar>
              <w:left w:w="103" w:type="dxa"/>
            </w:tcMar>
          </w:tcPr>
          <w:p>
            <w:pPr>
              <w:pStyle w:val="Stanoviskotext"/>
              <w:spacing w:before="240" w:after="240"/>
              <w:rPr>
                <w:b/>
                <w:b/>
                <w:bCs/>
                <w:color w:val="FFFFFF"/>
                <w:szCs w:val="24"/>
              </w:rPr>
            </w:pPr>
            <w:r>
              <w:rPr>
                <w:b/>
                <w:bCs/>
                <w:color w:val="FFFFFF"/>
                <w:szCs w:val="24"/>
              </w:rPr>
              <w:t>Slabé stránky:</w:t>
            </w:r>
          </w:p>
        </w:tc>
      </w:tr>
      <w:tr>
        <w:trPr/>
        <w:tc>
          <w:tcPr>
            <w:tcW w:w="460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Stanoviskotext"/>
              <w:numPr>
                <w:ilvl w:val="0"/>
                <w:numId w:val="7"/>
              </w:numPr>
              <w:spacing w:before="240" w:after="240"/>
              <w:rPr>
                <w:bCs/>
                <w:szCs w:val="24"/>
              </w:rPr>
            </w:pPr>
            <w:r>
              <w:rPr>
                <w:bCs/>
                <w:szCs w:val="24"/>
              </w:rPr>
              <w:t>lepší nástroje a možnosti pro finanční motivaci zaměstnanců;</w:t>
            </w:r>
          </w:p>
          <w:p>
            <w:pPr>
              <w:pStyle w:val="Stanoviskotext"/>
              <w:numPr>
                <w:ilvl w:val="0"/>
                <w:numId w:val="7"/>
              </w:numPr>
              <w:rPr>
                <w:bCs/>
                <w:szCs w:val="24"/>
              </w:rPr>
            </w:pPr>
            <w:r>
              <w:rPr>
                <w:bCs/>
                <w:szCs w:val="24"/>
              </w:rPr>
              <w:t>odměna pro členy orgánů za výkon funkce, možnost větší motivace v návaznosti na výsledky společnosti;</w:t>
            </w:r>
          </w:p>
          <w:p>
            <w:pPr>
              <w:pStyle w:val="Stanoviskotext"/>
              <w:numPr>
                <w:ilvl w:val="0"/>
                <w:numId w:val="7"/>
              </w:numPr>
              <w:rPr>
                <w:bCs/>
                <w:szCs w:val="24"/>
              </w:rPr>
            </w:pPr>
            <w:r>
              <w:rPr>
                <w:bCs/>
                <w:szCs w:val="24"/>
              </w:rPr>
              <w:t>větší nezávislost na zřizovateli oproti PO;</w:t>
            </w:r>
          </w:p>
          <w:p>
            <w:pPr>
              <w:pStyle w:val="Stanoviskotext"/>
              <w:numPr>
                <w:ilvl w:val="0"/>
                <w:numId w:val="7"/>
              </w:numPr>
              <w:rPr>
                <w:bCs/>
                <w:szCs w:val="24"/>
              </w:rPr>
            </w:pPr>
            <w:r>
              <w:rPr>
                <w:bCs/>
                <w:szCs w:val="24"/>
              </w:rPr>
              <w:t>zisk generovaný AS je možné použít na potřeby této AS (investice apod.);</w:t>
            </w:r>
          </w:p>
          <w:p>
            <w:pPr>
              <w:pStyle w:val="Stanoviskotext"/>
              <w:numPr>
                <w:ilvl w:val="0"/>
                <w:numId w:val="7"/>
              </w:numPr>
              <w:rPr>
                <w:bCs/>
                <w:szCs w:val="24"/>
              </w:rPr>
            </w:pPr>
            <w:r>
              <w:rPr>
                <w:bCs/>
                <w:szCs w:val="24"/>
              </w:rPr>
              <w:t>větší smluvní volnost oproti PO;</w:t>
            </w:r>
          </w:p>
          <w:p>
            <w:pPr>
              <w:pStyle w:val="Stanoviskotext"/>
              <w:numPr>
                <w:ilvl w:val="0"/>
                <w:numId w:val="7"/>
              </w:numPr>
              <w:spacing w:before="240" w:after="240"/>
              <w:rPr>
                <w:bCs/>
                <w:szCs w:val="24"/>
              </w:rPr>
            </w:pPr>
            <w:r>
              <w:rPr>
                <w:bCs/>
                <w:szCs w:val="24"/>
              </w:rPr>
              <w:t>možnost odepisování majetku.</w:t>
            </w:r>
          </w:p>
        </w:tc>
        <w:tc>
          <w:tcPr>
            <w:tcW w:w="4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anoviskotext"/>
              <w:numPr>
                <w:ilvl w:val="0"/>
                <w:numId w:val="7"/>
              </w:numPr>
              <w:spacing w:before="240" w:after="240"/>
              <w:rPr>
                <w:bCs/>
                <w:szCs w:val="24"/>
              </w:rPr>
            </w:pPr>
            <w:r>
              <w:rPr>
                <w:bCs/>
                <w:szCs w:val="24"/>
              </w:rPr>
              <w:t>u nevýdělečných činností nelze poskytnout dotaci z důvodu nedovolené podpory;</w:t>
            </w:r>
          </w:p>
          <w:p>
            <w:pPr>
              <w:pStyle w:val="Stanoviskotext"/>
              <w:numPr>
                <w:ilvl w:val="0"/>
                <w:numId w:val="7"/>
              </w:numPr>
              <w:rPr>
                <w:bCs/>
                <w:szCs w:val="24"/>
              </w:rPr>
            </w:pPr>
            <w:r>
              <w:rPr>
                <w:bCs/>
                <w:szCs w:val="24"/>
              </w:rPr>
              <w:t>zákon o veřejných zakázkách může komplikovat přímé zadání zakázek vlastníkem;</w:t>
            </w:r>
          </w:p>
          <w:p>
            <w:pPr>
              <w:pStyle w:val="Stanoviskotext"/>
              <w:numPr>
                <w:ilvl w:val="0"/>
                <w:numId w:val="7"/>
              </w:numPr>
              <w:spacing w:before="240" w:after="240"/>
              <w:rPr>
                <w:bCs/>
                <w:szCs w:val="24"/>
              </w:rPr>
            </w:pPr>
            <w:r>
              <w:rPr>
                <w:bCs/>
                <w:szCs w:val="24"/>
              </w:rPr>
              <w:t>navýšení finančních prostředků pro vlastníka z titulu DPH na straně AS.</w:t>
            </w:r>
          </w:p>
        </w:tc>
      </w:tr>
      <w:tr>
        <w:trPr/>
        <w:tc>
          <w:tcPr>
            <w:tcW w:w="4605" w:type="dxa"/>
            <w:tcBorders>
              <w:top w:val="single" w:sz="4" w:space="0" w:color="000000"/>
              <w:left w:val="single" w:sz="4" w:space="0" w:color="000000"/>
              <w:bottom w:val="single" w:sz="4" w:space="0" w:color="000000"/>
              <w:insideH w:val="single" w:sz="4" w:space="0" w:color="000000"/>
            </w:tcBorders>
            <w:shd w:fill="005DAB" w:val="clear"/>
            <w:tcMar>
              <w:left w:w="103" w:type="dxa"/>
            </w:tcMar>
          </w:tcPr>
          <w:p>
            <w:pPr>
              <w:pStyle w:val="Stanoviskotext"/>
              <w:spacing w:before="240" w:after="240"/>
              <w:rPr>
                <w:b/>
                <w:b/>
                <w:bCs/>
                <w:color w:val="FFFFFF"/>
                <w:szCs w:val="24"/>
              </w:rPr>
            </w:pPr>
            <w:r>
              <w:rPr>
                <w:b/>
                <w:bCs/>
                <w:color w:val="FFFFFF"/>
                <w:szCs w:val="24"/>
              </w:rPr>
              <w:t>Příležitosti:</w:t>
            </w:r>
          </w:p>
        </w:tc>
        <w:tc>
          <w:tcPr>
            <w:tcW w:w="4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5DAB" w:val="clear"/>
            <w:tcMar>
              <w:left w:w="103" w:type="dxa"/>
            </w:tcMar>
          </w:tcPr>
          <w:p>
            <w:pPr>
              <w:pStyle w:val="Stanoviskotext"/>
              <w:spacing w:before="240" w:after="240"/>
              <w:rPr>
                <w:b/>
                <w:b/>
                <w:bCs/>
                <w:color w:val="FFFFFF"/>
                <w:szCs w:val="24"/>
              </w:rPr>
            </w:pPr>
            <w:r>
              <w:rPr>
                <w:b/>
                <w:bCs/>
                <w:color w:val="FFFFFF"/>
                <w:szCs w:val="24"/>
              </w:rPr>
              <w:t>Hrozby:</w:t>
            </w:r>
          </w:p>
        </w:tc>
      </w:tr>
      <w:tr>
        <w:trPr/>
        <w:tc>
          <w:tcPr>
            <w:tcW w:w="460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Stanoviskotext"/>
              <w:numPr>
                <w:ilvl w:val="0"/>
                <w:numId w:val="18"/>
              </w:numPr>
              <w:spacing w:before="240" w:after="240"/>
              <w:rPr>
                <w:bCs/>
                <w:szCs w:val="24"/>
              </w:rPr>
            </w:pPr>
            <w:r>
              <w:rPr>
                <w:bCs/>
                <w:szCs w:val="24"/>
              </w:rPr>
              <w:t>možnost uplatnit manažerský způsob řízení;</w:t>
            </w:r>
          </w:p>
          <w:p>
            <w:pPr>
              <w:pStyle w:val="Stanoviskotext"/>
              <w:numPr>
                <w:ilvl w:val="0"/>
                <w:numId w:val="18"/>
              </w:numPr>
              <w:rPr>
                <w:bCs/>
                <w:szCs w:val="24"/>
              </w:rPr>
            </w:pPr>
            <w:r>
              <w:rPr>
                <w:bCs/>
                <w:szCs w:val="24"/>
              </w:rPr>
              <w:t>možnost průniku do dalších podnikatelských aktivit;</w:t>
            </w:r>
          </w:p>
          <w:p>
            <w:pPr>
              <w:pStyle w:val="Stanoviskotext"/>
              <w:numPr>
                <w:ilvl w:val="0"/>
                <w:numId w:val="18"/>
              </w:numPr>
              <w:spacing w:before="240" w:after="240"/>
              <w:rPr>
                <w:bCs/>
                <w:szCs w:val="24"/>
              </w:rPr>
            </w:pPr>
            <w:r>
              <w:rPr>
                <w:bCs/>
                <w:szCs w:val="24"/>
              </w:rPr>
              <w:t>možnost dosáhnout na komerční úvěry.</w:t>
            </w:r>
          </w:p>
        </w:tc>
        <w:tc>
          <w:tcPr>
            <w:tcW w:w="4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anoviskotext"/>
              <w:numPr>
                <w:ilvl w:val="0"/>
                <w:numId w:val="18"/>
              </w:numPr>
              <w:spacing w:before="240" w:after="240"/>
              <w:rPr>
                <w:bCs/>
                <w:szCs w:val="24"/>
              </w:rPr>
            </w:pPr>
            <w:r>
              <w:rPr>
                <w:bCs/>
                <w:szCs w:val="24"/>
              </w:rPr>
              <w:t>v případě insolvence AS může vlastník přijít o vložený majetek;</w:t>
            </w:r>
          </w:p>
          <w:p>
            <w:pPr>
              <w:pStyle w:val="Stanoviskotext"/>
              <w:numPr>
                <w:ilvl w:val="0"/>
                <w:numId w:val="18"/>
              </w:numPr>
              <w:spacing w:before="240" w:after="240"/>
              <w:rPr>
                <w:bCs/>
                <w:szCs w:val="24"/>
              </w:rPr>
            </w:pPr>
            <w:r>
              <w:rPr>
                <w:bCs/>
                <w:szCs w:val="24"/>
              </w:rPr>
              <w:t>ačkoli v orgánech AS podle ZOK již není povinné zastoupení zaměstnanců, bude záležet na znění zakladatelských dokumentů, aby touto cestou nedocházelo k prosazování odlišných zájmů od vlastníka.</w:t>
            </w:r>
          </w:p>
        </w:tc>
      </w:tr>
    </w:tbl>
    <w:p>
      <w:pPr>
        <w:pStyle w:val="Stanoviskotext"/>
        <w:rPr/>
      </w:pPr>
      <w:r>
        <w:rPr/>
      </w:r>
    </w:p>
    <w:p>
      <w:pPr>
        <w:pStyle w:val="Stanoviskotext"/>
        <w:spacing w:lineRule="auto" w:line="360" w:before="240" w:after="240"/>
        <w:jc w:val="both"/>
        <w:rPr/>
      </w:pPr>
      <w:r>
        <w:rPr/>
        <w:t xml:space="preserve">Co se týče možnosti </w:t>
      </w:r>
      <w:r>
        <w:rPr>
          <w:bCs/>
          <w:szCs w:val="24"/>
        </w:rPr>
        <w:t xml:space="preserve">průniku do dalších podnikatelských aktivit, již nyní disponujeme informací, na kterou upozornil na 5. jednáni pracovní skupiny pro transformaci TSK HMP na obchodní společnost </w:t>
      </w:r>
      <w:r>
        <w:rPr/>
        <w:t>Ing. Pivec, a totiž že TSK jsou v současné době svěřovány nové činnosti, jako je správa zón placeného stání a realizace nových investičních akcí na komunikační síti. Pro prověření, jaké dopady budou tyto činnosti mít na předpokládané ekonomické výsledky obchodní společnosti, nemáme v současnosti dostatečná data. Nicméně je třeba upozornit, že i tyto činnosti budou mít dopad do DPH, protože budu generovat další osobní náklady spojené s novými činnostmi (např. obsluha parkovišť), jež budou předmětem DPH.</w:t>
      </w:r>
    </w:p>
    <w:sectPr>
      <w:headerReference w:type="default" r:id="rId51"/>
      <w:headerReference w:type="first" r:id="rId52"/>
      <w:footerReference w:type="default" r:id="rId53"/>
      <w:footerReference w:type="first" r:id="rId54"/>
      <w:footnotePr>
        <w:numFmt w:val="decimal"/>
      </w:footnotePr>
      <w:type w:val="nextPage"/>
      <w:pgSz w:w="11906" w:h="16838"/>
      <w:pgMar w:left="1418" w:right="1418" w:header="709" w:top="1418" w:footer="567"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ee"/>
    <w:family w:val="roman"/>
    <w:pitch w:val="variable"/>
  </w:font>
  <w:font w:name="Arial">
    <w:charset w:val="ee"/>
    <w:family w:val="swiss"/>
    <w:pitch w:val="variable"/>
  </w:font>
  <w:font w:name="Symbol">
    <w:charset w:val="01"/>
    <w:family w:val="roman"/>
    <w:pitch w:val="variable"/>
  </w:font>
  <w:font w:name="Wingdings">
    <w:charset w:val="02"/>
    <w:family w:val="auto"/>
    <w:pitch w:val="variable"/>
  </w:font>
  <w:font w:name="Courier New">
    <w:charset w:val="ee"/>
    <w:family w:val="modern"/>
    <w:pitch w:val="default"/>
  </w:font>
  <w:font w:name="Verdana">
    <w:charset w:val="ee"/>
    <w:family w:val="swiss"/>
    <w:pitch w:val="variable"/>
  </w:font>
  <w:font w:name="Cambria">
    <w:charset w:val="ee"/>
    <w:family w:val="roman"/>
    <w:pitch w:val="variable"/>
  </w:font>
  <w:font w:name="Tahoma">
    <w:charset w:val="ee"/>
    <w:family w:val="swiss"/>
    <w:pitch w:val="variable"/>
  </w:font>
  <w:font w:name="Book Antiqua">
    <w:charset w:val="ee"/>
    <w:family w:val="roman"/>
    <w:pitch w:val="variable"/>
  </w:font>
  <w:font w:name="Calibri">
    <w:charset w:val="ee"/>
    <w:family w:val="swiss"/>
    <w:pitch w:val="variable"/>
  </w:font>
  <w:font w:name="Arial Narrow">
    <w:charset w:val="ee"/>
    <w:family w:val="swiss"/>
    <w:pitch w:val="variable"/>
  </w:font>
  <w:font w:name="Georgia">
    <w:charset w:val="ee"/>
    <w:family w:val="roman"/>
    <w:pitch w:val="variable"/>
  </w:font>
  <w:font w:name="FrutigerCE-Light">
    <w:charset w:val="ee"/>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156" w:hanging="0"/>
      <w:rPr/>
    </w:pPr>
    <w:r>
      <w:rPr/>
    </w:r>
  </w:p>
  <w:p>
    <w:pPr>
      <w:pStyle w:val="Footer"/>
      <w:jc w:val="center"/>
      <w:rPr/>
    </w:pPr>
    <w:r>
      <w:rPr>
        <w:rStyle w:val="PageNumber"/>
        <w:rFonts w:cs="Tahoma" w:ascii="Verdana" w:hAnsi="Verdana"/>
        <w:b/>
        <w:color w:val="999999"/>
        <w:sz w:val="16"/>
        <w:szCs w:val="16"/>
      </w:rPr>
      <w:fldChar w:fldCharType="begin"/>
    </w:r>
    <w:r>
      <w:instrText> PAGE </w:instrText>
    </w:r>
    <w:r>
      <w:fldChar w:fldCharType="separate"/>
    </w:r>
    <w:r>
      <w:t>23</w:t>
    </w:r>
    <w:r>
      <w:fldChar w:fldCharType="end"/>
    </w:r>
    <w:r>
      <w:rPr>
        <w:rStyle w:val="PageNumber"/>
        <w:rFonts w:cs="Tahoma" w:ascii="Verdana" w:hAnsi="Verdana"/>
        <w:color w:val="999999"/>
        <w:sz w:val="16"/>
        <w:szCs w:val="16"/>
      </w:rPr>
      <w:t>/</w:t>
    </w:r>
    <w:r>
      <w:rPr>
        <w:rStyle w:val="PageNumber"/>
        <w:rFonts w:cs="Tahoma" w:ascii="Verdana" w:hAnsi="Verdana"/>
        <w:color w:val="999999"/>
        <w:sz w:val="16"/>
        <w:szCs w:val="16"/>
      </w:rPr>
      <w:fldChar w:fldCharType="begin"/>
    </w:r>
    <w:r>
      <w:instrText> NUMPAGES \* ARABIC </w:instrText>
    </w:r>
    <w:r>
      <w:fldChar w:fldCharType="separate"/>
    </w:r>
    <w:r>
      <w:t>57</w:t>
    </w:r>
    <w: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jc w:val="center"/>
      <w:rPr/>
    </w:pPr>
    <w:r>
      <w:rPr>
        <w:rStyle w:val="PageNumber"/>
        <w:rFonts w:cs="Tahoma" w:ascii="Georgia" w:hAnsi="Georgia"/>
        <w:b/>
        <w:color w:val="999999"/>
        <w:sz w:val="16"/>
        <w:szCs w:val="16"/>
      </w:rPr>
      <w:fldChar w:fldCharType="begin"/>
    </w:r>
    <w:r>
      <w:instrText> PAGE </w:instrText>
    </w:r>
    <w:r>
      <w:fldChar w:fldCharType="separate"/>
    </w:r>
    <w:r>
      <w:t>3</w:t>
    </w:r>
    <w:r>
      <w:fldChar w:fldCharType="end"/>
    </w:r>
    <w:r>
      <w:rPr>
        <w:rStyle w:val="PageNumber"/>
        <w:rFonts w:cs="Tahoma" w:ascii="Georgia" w:hAnsi="Georgia"/>
        <w:color w:val="999999"/>
        <w:sz w:val="16"/>
        <w:szCs w:val="16"/>
      </w:rPr>
      <w:t>/</w:t>
    </w:r>
    <w:r>
      <w:rPr>
        <w:rStyle w:val="PageNumber"/>
        <w:rFonts w:cs="Tahoma" w:ascii="Georgia" w:hAnsi="Georgia"/>
        <w:color w:val="999999"/>
        <w:sz w:val="16"/>
        <w:szCs w:val="16"/>
      </w:rPr>
      <w:fldChar w:fldCharType="begin"/>
    </w:r>
    <w:r>
      <w:instrText> NUMPAGES \* ARABIC </w:instrText>
    </w:r>
    <w:r>
      <w:fldChar w:fldCharType="separate"/>
    </w:r>
    <w:r>
      <w:t>57</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156" w:hanging="0"/>
      <w:rPr/>
    </w:pPr>
    <w:r>
      <w:rPr/>
    </w:r>
  </w:p>
  <w:p>
    <w:pPr>
      <w:pStyle w:val="Footer"/>
      <w:jc w:val="center"/>
      <w:rPr/>
    </w:pPr>
    <w:r>
      <w:rPr>
        <w:rStyle w:val="PageNumber"/>
        <w:rFonts w:cs="Tahoma" w:ascii="Verdana" w:hAnsi="Verdana"/>
        <w:b/>
        <w:color w:val="999999"/>
        <w:sz w:val="16"/>
        <w:szCs w:val="16"/>
      </w:rPr>
      <w:fldChar w:fldCharType="begin"/>
    </w:r>
    <w:r>
      <w:instrText> PAGE </w:instrText>
    </w:r>
    <w:r>
      <w:fldChar w:fldCharType="separate"/>
    </w:r>
    <w:r>
      <w:t>25</w:t>
    </w:r>
    <w:r>
      <w:fldChar w:fldCharType="end"/>
    </w:r>
    <w:r>
      <w:rPr>
        <w:rStyle w:val="PageNumber"/>
        <w:rFonts w:cs="Tahoma" w:ascii="Verdana" w:hAnsi="Verdana"/>
        <w:color w:val="999999"/>
        <w:sz w:val="16"/>
        <w:szCs w:val="16"/>
      </w:rPr>
      <w:t>/</w:t>
    </w:r>
    <w:r>
      <w:rPr>
        <w:rStyle w:val="PageNumber"/>
        <w:rFonts w:cs="Tahoma" w:ascii="Verdana" w:hAnsi="Verdana"/>
        <w:color w:val="999999"/>
        <w:sz w:val="16"/>
        <w:szCs w:val="16"/>
      </w:rPr>
      <w:fldChar w:fldCharType="begin"/>
    </w:r>
    <w:r>
      <w:instrText> NUMPAGES \* ARABIC </w:instrText>
    </w:r>
    <w:r>
      <w:fldChar w:fldCharType="separate"/>
    </w:r>
    <w:r>
      <w:t>57</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jc w:val="center"/>
      <w:rPr/>
    </w:pPr>
    <w:r>
      <w:rPr>
        <w:rStyle w:val="PageNumber"/>
        <w:rFonts w:cs="Tahoma" w:ascii="Georgia" w:hAnsi="Georgia"/>
        <w:b/>
        <w:color w:val="999999"/>
        <w:sz w:val="16"/>
        <w:szCs w:val="16"/>
      </w:rPr>
      <w:fldChar w:fldCharType="begin"/>
    </w:r>
    <w:r>
      <w:instrText> PAGE </w:instrText>
    </w:r>
    <w:r>
      <w:fldChar w:fldCharType="separate"/>
    </w:r>
    <w:r>
      <w:t>24</w:t>
    </w:r>
    <w:r>
      <w:fldChar w:fldCharType="end"/>
    </w:r>
    <w:r>
      <w:rPr>
        <w:rStyle w:val="PageNumber"/>
        <w:rFonts w:cs="Tahoma" w:ascii="Georgia" w:hAnsi="Georgia"/>
        <w:color w:val="999999"/>
        <w:sz w:val="16"/>
        <w:szCs w:val="16"/>
      </w:rPr>
      <w:t>/</w:t>
    </w:r>
    <w:r>
      <w:rPr>
        <w:rStyle w:val="PageNumber"/>
        <w:rFonts w:cs="Tahoma" w:ascii="Georgia" w:hAnsi="Georgia"/>
        <w:color w:val="999999"/>
        <w:sz w:val="16"/>
        <w:szCs w:val="16"/>
      </w:rPr>
      <w:fldChar w:fldCharType="begin"/>
    </w:r>
    <w:r>
      <w:instrText> NUMPAGES \* ARABIC </w:instrText>
    </w:r>
    <w:r>
      <w:fldChar w:fldCharType="separate"/>
    </w:r>
    <w:r>
      <w:t>57</w:t>
    </w:r>
    <w: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156" w:hanging="0"/>
      <w:rPr/>
    </w:pPr>
    <w:r>
      <w:rPr/>
    </w:r>
  </w:p>
  <w:p>
    <w:pPr>
      <w:pStyle w:val="Footer"/>
      <w:jc w:val="center"/>
      <w:rPr/>
    </w:pPr>
    <w:r>
      <w:rPr>
        <w:rStyle w:val="PageNumber"/>
        <w:rFonts w:cs="Tahoma" w:ascii="Verdana" w:hAnsi="Verdana"/>
        <w:b/>
        <w:color w:val="999999"/>
        <w:sz w:val="16"/>
        <w:szCs w:val="16"/>
      </w:rPr>
      <w:fldChar w:fldCharType="begin"/>
    </w:r>
    <w:r>
      <w:instrText> PAGE </w:instrText>
    </w:r>
    <w:r>
      <w:fldChar w:fldCharType="separate"/>
    </w:r>
    <w:r>
      <w:t>0</w:t>
    </w:r>
    <w:r>
      <w:fldChar w:fldCharType="end"/>
    </w:r>
    <w:r>
      <w:rPr>
        <w:rStyle w:val="PageNumber"/>
        <w:rFonts w:cs="Tahoma" w:ascii="Verdana" w:hAnsi="Verdana"/>
        <w:color w:val="999999"/>
        <w:sz w:val="16"/>
        <w:szCs w:val="16"/>
      </w:rPr>
      <w:t>/</w:t>
    </w:r>
    <w:r>
      <w:rPr>
        <w:rStyle w:val="PageNumber"/>
        <w:rFonts w:cs="Tahoma" w:ascii="Verdana" w:hAnsi="Verdana"/>
        <w:color w:val="999999"/>
        <w:sz w:val="16"/>
        <w:szCs w:val="16"/>
      </w:rPr>
      <w:fldChar w:fldCharType="begin"/>
    </w:r>
    <w:r>
      <w:instrText> NUMPAGES \* ARABIC </w:instrText>
    </w:r>
    <w:r>
      <w:fldChar w:fldCharType="separate"/>
    </w:r>
    <w:r>
      <w:t>57</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jc w:val="center"/>
      <w:rPr/>
    </w:pPr>
    <w:r>
      <w:rPr>
        <w:rStyle w:val="PageNumber"/>
        <w:rFonts w:cs="Tahoma" w:ascii="Georgia" w:hAnsi="Georgia"/>
        <w:b/>
        <w:color w:val="999999"/>
        <w:sz w:val="16"/>
        <w:szCs w:val="16"/>
      </w:rPr>
      <w:fldChar w:fldCharType="begin"/>
    </w:r>
    <w:r>
      <w:instrText> PAGE </w:instrText>
    </w:r>
    <w:r>
      <w:fldChar w:fldCharType="separate"/>
    </w:r>
    <w:r>
      <w:t>26</w:t>
    </w:r>
    <w:r>
      <w:fldChar w:fldCharType="end"/>
    </w:r>
    <w:r>
      <w:rPr>
        <w:rStyle w:val="PageNumber"/>
        <w:rFonts w:cs="Tahoma" w:ascii="Georgia" w:hAnsi="Georgia"/>
        <w:color w:val="999999"/>
        <w:sz w:val="16"/>
        <w:szCs w:val="16"/>
      </w:rPr>
      <w:t>/</w:t>
    </w:r>
    <w:r>
      <w:rPr>
        <w:rStyle w:val="PageNumber"/>
        <w:rFonts w:cs="Tahoma" w:ascii="Georgia" w:hAnsi="Georgia"/>
        <w:color w:val="999999"/>
        <w:sz w:val="16"/>
        <w:szCs w:val="16"/>
      </w:rPr>
      <w:fldChar w:fldCharType="begin"/>
    </w:r>
    <w:r>
      <w:instrText> NUMPAGES \* ARABIC </w:instrText>
    </w:r>
    <w:r>
      <w:fldChar w:fldCharType="separate"/>
    </w:r>
    <w:r>
      <w:t>57</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156" w:hanging="0"/>
      <w:rPr/>
    </w:pPr>
    <w:r>
      <w:rPr/>
    </w:r>
  </w:p>
  <w:p>
    <w:pPr>
      <w:pStyle w:val="Footer"/>
      <w:jc w:val="center"/>
      <w:rPr/>
    </w:pPr>
    <w:r>
      <w:rPr>
        <w:rStyle w:val="PageNumber"/>
        <w:rFonts w:cs="Tahoma" w:ascii="Verdana" w:hAnsi="Verdana"/>
        <w:b/>
        <w:color w:val="999999"/>
        <w:sz w:val="16"/>
        <w:szCs w:val="16"/>
      </w:rPr>
      <w:fldChar w:fldCharType="begin"/>
    </w:r>
    <w:r>
      <w:instrText> PAGE </w:instrText>
    </w:r>
    <w:r>
      <w:fldChar w:fldCharType="separate"/>
    </w:r>
    <w:r>
      <w:t>0</w:t>
    </w:r>
    <w:r>
      <w:fldChar w:fldCharType="end"/>
    </w:r>
    <w:r>
      <w:rPr>
        <w:rStyle w:val="PageNumber"/>
        <w:rFonts w:cs="Tahoma" w:ascii="Verdana" w:hAnsi="Verdana"/>
        <w:color w:val="999999"/>
        <w:sz w:val="16"/>
        <w:szCs w:val="16"/>
      </w:rPr>
      <w:t>/</w:t>
    </w:r>
    <w:r>
      <w:rPr>
        <w:rStyle w:val="PageNumber"/>
        <w:rFonts w:cs="Tahoma" w:ascii="Verdana" w:hAnsi="Verdana"/>
        <w:color w:val="999999"/>
        <w:sz w:val="16"/>
        <w:szCs w:val="16"/>
      </w:rPr>
      <w:fldChar w:fldCharType="begin"/>
    </w:r>
    <w:r>
      <w:instrText> NUMPAGES \* ARABIC </w:instrText>
    </w:r>
    <w:r>
      <w:fldChar w:fldCharType="separate"/>
    </w:r>
    <w:r>
      <w:t>57</w:t>
    </w:r>
    <w: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jc w:val="center"/>
      <w:rPr/>
    </w:pPr>
    <w:r>
      <w:rPr>
        <w:rStyle w:val="PageNumber"/>
        <w:rFonts w:cs="Tahoma" w:ascii="Georgia" w:hAnsi="Georgia"/>
        <w:b/>
        <w:color w:val="999999"/>
        <w:sz w:val="16"/>
        <w:szCs w:val="16"/>
      </w:rPr>
      <w:fldChar w:fldCharType="begin"/>
    </w:r>
    <w:r>
      <w:instrText> PAGE </w:instrText>
    </w:r>
    <w:r>
      <w:fldChar w:fldCharType="separate"/>
    </w:r>
    <w:r>
      <w:t>27</w:t>
    </w:r>
    <w:r>
      <w:fldChar w:fldCharType="end"/>
    </w:r>
    <w:r>
      <w:rPr>
        <w:rStyle w:val="PageNumber"/>
        <w:rFonts w:cs="Tahoma" w:ascii="Georgia" w:hAnsi="Georgia"/>
        <w:color w:val="999999"/>
        <w:sz w:val="16"/>
        <w:szCs w:val="16"/>
      </w:rPr>
      <w:t>/</w:t>
    </w:r>
    <w:r>
      <w:rPr>
        <w:rStyle w:val="PageNumber"/>
        <w:rFonts w:cs="Tahoma" w:ascii="Georgia" w:hAnsi="Georgia"/>
        <w:color w:val="999999"/>
        <w:sz w:val="16"/>
        <w:szCs w:val="16"/>
      </w:rPr>
      <w:fldChar w:fldCharType="begin"/>
    </w:r>
    <w:r>
      <w:instrText> NUMPAGES \* ARABIC </w:instrText>
    </w:r>
    <w:r>
      <w:fldChar w:fldCharType="separate"/>
    </w:r>
    <w:r>
      <w:t>57</w:t>
    </w:r>
    <w: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jc w:val="both"/>
        <w:rPr/>
      </w:pPr>
      <w:r>
        <w:rPr/>
        <w:footnoteRef/>
        <w:tab/>
        <w:t xml:space="preserve"> </w:t>
      </w:r>
      <w:r>
        <w:rPr>
          <w:rFonts w:cs="Verdana" w:ascii="Verdana" w:hAnsi="Verdana"/>
          <w:sz w:val="16"/>
          <w:szCs w:val="16"/>
        </w:rPr>
        <w:t>Dle přílohy č. 1 Smlouvy o zajištění správy majetku uzavřené mezi hl. m. Prahou a Technickou správou komunikací hl. m. Prahy.</w:t>
      </w:r>
    </w:p>
  </w:footnote>
  <w:footnote w:id="3">
    <w:p>
      <w:pPr>
        <w:pStyle w:val="Footnote"/>
        <w:jc w:val="both"/>
        <w:rPr/>
      </w:pPr>
      <w:r>
        <w:rPr/>
        <w:footnoteRef/>
        <w:tab/>
        <w:t xml:space="preserve"> </w:t>
      </w:r>
      <w:r>
        <w:rPr>
          <w:rFonts w:cs="Verdana" w:ascii="Verdana" w:hAnsi="Verdana"/>
          <w:sz w:val="16"/>
          <w:szCs w:val="16"/>
        </w:rPr>
        <w:t>Dle přílohy č. 1 Smlouvy o zajištění správy majetku uzavřené mezi hl. m. Prahou a Technickou správou komunikací hl. m. Prahy.</w:t>
      </w:r>
    </w:p>
  </w:footnote>
  <w:footnote w:id="4">
    <w:p>
      <w:pPr>
        <w:pStyle w:val="Footnote"/>
        <w:rPr/>
      </w:pPr>
      <w:r>
        <w:rPr/>
        <w:footnoteRef/>
        <w:tab/>
        <w:t xml:space="preserve"> </w:t>
      </w:r>
      <w:r>
        <w:rPr/>
        <w:t>Databáze firem a jejich ekonomických údajů</w:t>
      </w:r>
    </w:p>
  </w:footnote>
  <w:footnote w:id="5">
    <w:p>
      <w:pPr>
        <w:pStyle w:val="Footnote"/>
        <w:jc w:val="both"/>
        <w:rPr/>
      </w:pPr>
      <w:r>
        <w:rPr>
          <w:rFonts w:cs="Verdana" w:ascii="Verdana" w:hAnsi="Verdana"/>
          <w:sz w:val="16"/>
          <w:szCs w:val="16"/>
        </w:rPr>
        <w:footnoteRef/>
        <w:tab/>
        <w:t>http://www.tsk-praha.cz/wps/portal/tsk/web/o-spolecnosti/lokality/!ut/p/b1/jc7LDoIwEIXhR-oB2sIsSwnSYABjiNIN6cIYDJeN8fnFLlwYb7Ob5DvJzyzrQggOCSk4OzI7u9twdtdhmd34-K3suW40pYFCvU9iGLXVRRlpoBUr6FZAlUibchOgzrmGMTmRUkWEUPy3x4dT-LU_MOvJsyBpM1_QZBURsItfwZtED740VMUyndhkx5zMhd8BDO12nw!!/dl4/d5/L2dJQSEvUUt3QS80SmtFL1o2XzRDUEM5QjFBME9TODcwSUFMQ0hLM0MwMFU1/</w:t>
      </w:r>
    </w:p>
  </w:footnote>
  <w:footnote w:id="6">
    <w:p>
      <w:pPr>
        <w:pStyle w:val="Footnote"/>
        <w:rPr/>
      </w:pPr>
      <w:r>
        <w:rPr>
          <w:rFonts w:eastAsia="Verdana" w:cs="Verdana" w:ascii="Verdana" w:hAnsi="Verdana"/>
          <w:sz w:val="16"/>
          <w:szCs w:val="16"/>
        </w:rPr>
        <w:footnoteRef/>
        <w:tab/>
        <w:t xml:space="preserve"> </w:t>
      </w:r>
      <w:r>
        <w:rPr>
          <w:rFonts w:cs="Verdana" w:ascii="Verdana" w:hAnsi="Verdana"/>
          <w:sz w:val="16"/>
          <w:szCs w:val="16"/>
        </w:rPr>
        <w:t>Klasifikace zaměstnání - statistický číselník vydaný ČSÚ</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320165" cy="326390"/>
          <wp:effectExtent l="0" t="0" r="0" b="0"/>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
                  <a:stretch>
                    <a:fillRect/>
                  </a:stretch>
                </pic:blipFill>
                <pic:spPr bwMode="auto">
                  <a:xfrm>
                    <a:off x="0" y="0"/>
                    <a:ext cx="1320165" cy="326390"/>
                  </a:xfrm>
                  <a:prstGeom prst="rect">
                    <a:avLst/>
                  </a:prstGeom>
                </pic:spPr>
              </pic:pic>
            </a:graphicData>
          </a:graphic>
        </wp:inline>
      </w:drawing>
    </w:r>
  </w:p>
  <w:p>
    <w:pPr>
      <w:pStyle w:val="Header"/>
      <w:rPr/>
    </w:pPr>
    <w:r>
      <w:rPr/>
    </w:r>
  </w:p>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320165" cy="326390"/>
          <wp:effectExtent l="0" t="0" r="0" b="0"/>
          <wp:docPr id="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pic:cNvPicPr>
                    <a:picLocks noChangeAspect="1" noChangeArrowheads="1"/>
                  </pic:cNvPicPr>
                </pic:nvPicPr>
                <pic:blipFill>
                  <a:blip r:embed="rId1"/>
                  <a:stretch>
                    <a:fillRect/>
                  </a:stretch>
                </pic:blipFill>
                <pic:spPr bwMode="auto">
                  <a:xfrm>
                    <a:off x="0" y="0"/>
                    <a:ext cx="1320165" cy="326390"/>
                  </a:xfrm>
                  <a:prstGeom prst="rect">
                    <a:avLst/>
                  </a:prstGeom>
                </pic:spPr>
              </pic:pic>
            </a:graphicData>
          </a:graphic>
        </wp:inline>
      </w:drawing>
    </w:r>
  </w:p>
  <w:p>
    <w:pPr>
      <w:pStyle w:val="Header"/>
      <w:rPr/>
    </w:pPr>
    <w:r>
      <w:rPr/>
    </w:r>
  </w:p>
  <w:p>
    <w:pPr>
      <w:pStyle w:val="Header"/>
      <w:rPr/>
    </w:pPr>
    <w:r>
      <w:rPr/>
    </w:r>
  </w:p>
  <w:p>
    <w:pPr>
      <w:pStyle w:val="Head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320165" cy="326390"/>
          <wp:effectExtent l="0" t="0" r="0" b="0"/>
          <wp:docPr id="1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descr=""/>
                  <pic:cNvPicPr>
                    <a:picLocks noChangeAspect="1" noChangeArrowheads="1"/>
                  </pic:cNvPicPr>
                </pic:nvPicPr>
                <pic:blipFill>
                  <a:blip r:embed="rId1"/>
                  <a:stretch>
                    <a:fillRect/>
                  </a:stretch>
                </pic:blipFill>
                <pic:spPr bwMode="auto">
                  <a:xfrm>
                    <a:off x="0" y="0"/>
                    <a:ext cx="1320165" cy="326390"/>
                  </a:xfrm>
                  <a:prstGeom prst="rect">
                    <a:avLst/>
                  </a:prstGeom>
                </pic:spPr>
              </pic:pic>
            </a:graphicData>
          </a:graphic>
        </wp:inline>
      </w:drawing>
    </w:r>
  </w:p>
  <w:p>
    <w:pPr>
      <w:pStyle w:val="Header"/>
      <w:rPr/>
    </w:pPr>
    <w:r>
      <w:rPr/>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320165" cy="326390"/>
          <wp:effectExtent l="0" t="0" r="0" b="0"/>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1"/>
                  <a:stretch>
                    <a:fillRect/>
                  </a:stretch>
                </pic:blipFill>
                <pic:spPr bwMode="auto">
                  <a:xfrm>
                    <a:off x="0" y="0"/>
                    <a:ext cx="1320165" cy="326390"/>
                  </a:xfrm>
                  <a:prstGeom prst="rect">
                    <a:avLst/>
                  </a:prstGeom>
                </pic:spPr>
              </pic:pic>
            </a:graphicData>
          </a:graphic>
        </wp:inline>
      </w:drawing>
    </w:r>
  </w:p>
  <w:p>
    <w:pPr>
      <w:pStyle w:val="Header"/>
      <w:rPr/>
    </w:pPr>
    <w:r>
      <w:rPr/>
    </w:r>
  </w:p>
  <w:p>
    <w:pPr>
      <w:pStyle w:val="Header"/>
      <w:rPr/>
    </w:pPr>
    <w:r>
      <w:rPr/>
    </w:r>
  </w:p>
  <w:p>
    <w:pPr>
      <w:pStyle w:val="Head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320165" cy="326390"/>
          <wp:effectExtent l="0" t="0" r="0" b="0"/>
          <wp:docPr id="1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descr=""/>
                  <pic:cNvPicPr>
                    <a:picLocks noChangeAspect="1" noChangeArrowheads="1"/>
                  </pic:cNvPicPr>
                </pic:nvPicPr>
                <pic:blipFill>
                  <a:blip r:embed="rId1"/>
                  <a:stretch>
                    <a:fillRect/>
                  </a:stretch>
                </pic:blipFill>
                <pic:spPr bwMode="auto">
                  <a:xfrm>
                    <a:off x="0" y="0"/>
                    <a:ext cx="1320165" cy="326390"/>
                  </a:xfrm>
                  <a:prstGeom prst="rect">
                    <a:avLst/>
                  </a:prstGeom>
                </pic:spPr>
              </pic:pic>
            </a:graphicData>
          </a:graphic>
        </wp:inline>
      </w:drawing>
    </w:r>
  </w:p>
  <w:p>
    <w:pPr>
      <w:pStyle w:val="Header"/>
      <w:rPr/>
    </w:pPr>
    <w:r>
      <w:rPr/>
    </w:r>
  </w:p>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320165" cy="326390"/>
          <wp:effectExtent l="0" t="0" r="0" b="0"/>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1"/>
                  <a:stretch>
                    <a:fillRect/>
                  </a:stretch>
                </pic:blipFill>
                <pic:spPr bwMode="auto">
                  <a:xfrm>
                    <a:off x="0" y="0"/>
                    <a:ext cx="1320165" cy="326390"/>
                  </a:xfrm>
                  <a:prstGeom prst="rect">
                    <a:avLst/>
                  </a:prstGeom>
                </pic:spPr>
              </pic:pic>
            </a:graphicData>
          </a:graphic>
        </wp:inline>
      </w:drawing>
    </w:r>
  </w:p>
  <w:p>
    <w:pPr>
      <w:pStyle w:val="Header"/>
      <w:rPr/>
    </w:pPr>
    <w:r>
      <w:rPr/>
    </w:r>
  </w:p>
  <w:p>
    <w:pPr>
      <w:pStyle w:val="Header"/>
      <w:rPr/>
    </w:pPr>
    <w:r>
      <w:rPr/>
    </w:r>
  </w:p>
  <w:p>
    <w:pPr>
      <w:pStyle w:val="Header"/>
      <w:rPr/>
    </w:pPr>
    <w:r>
      <w:rPr/>
    </w:r>
  </w:p>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320165" cy="326390"/>
          <wp:effectExtent l="0" t="0" r="0" b="0"/>
          <wp:docPr id="2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descr=""/>
                  <pic:cNvPicPr>
                    <a:picLocks noChangeAspect="1" noChangeArrowheads="1"/>
                  </pic:cNvPicPr>
                </pic:nvPicPr>
                <pic:blipFill>
                  <a:blip r:embed="rId1"/>
                  <a:stretch>
                    <a:fillRect/>
                  </a:stretch>
                </pic:blipFill>
                <pic:spPr bwMode="auto">
                  <a:xfrm>
                    <a:off x="0" y="0"/>
                    <a:ext cx="1320165" cy="326390"/>
                  </a:xfrm>
                  <a:prstGeom prst="rect">
                    <a:avLst/>
                  </a:prstGeom>
                </pic:spPr>
              </pic:pic>
            </a:graphicData>
          </a:graphic>
        </wp:inline>
      </w:drawing>
    </w:r>
  </w:p>
  <w:p>
    <w:pPr>
      <w:pStyle w:val="Header"/>
      <w:rPr/>
    </w:pPr>
    <w:r>
      <w:rPr/>
    </w:r>
  </w:p>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320165" cy="326390"/>
          <wp:effectExtent l="0" t="0" r="0" b="0"/>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1"/>
                  <a:stretch>
                    <a:fillRect/>
                  </a:stretch>
                </pic:blipFill>
                <pic:spPr bwMode="auto">
                  <a:xfrm>
                    <a:off x="0" y="0"/>
                    <a:ext cx="1320165" cy="326390"/>
                  </a:xfrm>
                  <a:prstGeom prst="rect">
                    <a:avLst/>
                  </a:prstGeom>
                </pic:spPr>
              </pic:pic>
            </a:graphicData>
          </a:graphic>
        </wp:inline>
      </w:drawing>
    </w:r>
  </w:p>
  <w:p>
    <w:pPr>
      <w:pStyle w:val="Header"/>
      <w:rPr/>
    </w:pPr>
    <w:r>
      <w:rPr/>
    </w:r>
  </w:p>
  <w:p>
    <w:pPr>
      <w:pStyle w:val="Header"/>
      <w:rPr/>
    </w:pPr>
    <w:r>
      <w:rPr/>
    </w:r>
  </w:p>
  <w:p>
    <w:pPr>
      <w:pStyle w:val="Header"/>
      <w:rPr/>
    </w:pPr>
    <w:r>
      <w:rPr/>
    </w:r>
  </w:p>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upperRoman"/>
      <w:lvlText w:val="%1."/>
      <w:lvlJc w:val="left"/>
      <w:pPr>
        <w:tabs>
          <w:tab w:val="num" w:pos="510"/>
        </w:tabs>
        <w:ind w:left="510" w:hanging="510"/>
      </w:pPr>
      <w:rPr>
        <w:smallCaps w:val="false"/>
        <w:caps w:val="false"/>
        <w:outline w:val="false"/>
        <w:dstrike w:val="false"/>
        <w:strike w:val="false"/>
        <w:vertAlign w:val="baseline"/>
        <w:position w:val="0"/>
        <w:sz w:val="28"/>
        <w:sz w:val="28"/>
        <w:spacing w:val="0"/>
        <w:i w:val="false"/>
        <w:shadow w:val="false"/>
        <w:u w:val="none"/>
        <w:b/>
        <w:szCs w:val="28"/>
        <w:iCs w:val="false"/>
        <w:bCs w:val="false"/>
        <w:em w:val="none"/>
        <w:vanish w:val="false"/>
        <w:color w:val="1F497D"/>
        <w:lang w:val="en-US" w:bidi="en-US"/>
      </w:rPr>
    </w:lvl>
    <w:lvl w:ilvl="1">
      <w:start w:val="1"/>
      <w:numFmt w:val="decimal"/>
      <w:lvlText w:val="%1.%2."/>
      <w:lvlJc w:val="left"/>
      <w:pPr>
        <w:tabs>
          <w:tab w:val="num" w:pos="792"/>
        </w:tabs>
        <w:ind w:left="851" w:hanging="851"/>
      </w:pPr>
      <w:rPr/>
    </w:lvl>
    <w:lvl w:ilvl="2">
      <w:start w:val="1"/>
      <w:numFmt w:val="decimal"/>
      <w:lvlText w:val="%1.%2.%3."/>
      <w:lvlJc w:val="left"/>
      <w:pPr>
        <w:tabs>
          <w:tab w:val="num" w:pos="851"/>
        </w:tabs>
        <w:ind w:left="851" w:hanging="851"/>
      </w:pPr>
      <w:rPr/>
    </w:lvl>
    <w:lvl w:ilvl="3">
      <w:start w:val="1"/>
      <w:numFmt w:val="decimal"/>
      <w:lvlText w:val="%1.%2.%3.%4."/>
      <w:lvlJc w:val="left"/>
      <w:pPr>
        <w:tabs>
          <w:tab w:val="num" w:pos="216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324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4320"/>
        </w:tabs>
        <w:ind w:left="3744" w:hanging="1224"/>
      </w:pPr>
      <w:rPr/>
    </w:lvl>
    <w:lvl w:ilvl="8">
      <w:start w:val="1"/>
      <w:numFmt w:val="decimal"/>
      <w:lvlText w:val="%1.%2.%3.%4.%5.%6.%7.%8.%9."/>
      <w:lvlJc w:val="left"/>
      <w:pPr>
        <w:tabs>
          <w:tab w:val="num" w:pos="4680"/>
        </w:tabs>
        <w:ind w:left="4320" w:hanging="1440"/>
      </w:pPr>
      <w:rPr/>
    </w:lvl>
  </w:abstractNum>
  <w:abstractNum w:abstractNumId="3">
    <w:lvl w:ilvl="0">
      <w:start w:val="1"/>
      <w:numFmt w:val="bullet"/>
      <w:lvlText w:val=""/>
      <w:lvlJc w:val="left"/>
      <w:pPr>
        <w:tabs>
          <w:tab w:val="num" w:pos="540"/>
        </w:tabs>
        <w:ind w:left="540" w:hanging="360"/>
      </w:pPr>
      <w:rPr>
        <w:rFonts w:ascii="Wingdings" w:hAnsi="Wingdings" w:cs="Wingdings" w:hint="default"/>
        <w:rFonts w:cs="Wingdings"/>
        <w:color w:val="005DAB"/>
        <w:lang w:eastAsia="ar-SA"/>
      </w:rPr>
    </w:lvl>
  </w:abstractNum>
  <w:abstractNum w:abstractNumId="4">
    <w:lvl w:ilvl="0">
      <w:start w:val="1"/>
      <w:numFmt w:val="bullet"/>
      <w:lvlText w:val=""/>
      <w:lvlJc w:val="left"/>
      <w:pPr>
        <w:tabs>
          <w:tab w:val="num" w:pos="900"/>
        </w:tabs>
        <w:ind w:left="900" w:hanging="360"/>
      </w:pPr>
      <w:rPr>
        <w:rFonts w:ascii="Wingdings" w:hAnsi="Wingdings" w:cs="Wingdings" w:hint="default"/>
        <w:rFonts w:cs="Wingdings"/>
        <w:color w:val="005DAB"/>
      </w:rPr>
    </w:lvl>
  </w:abstractNum>
  <w:abstractNum w:abstractNumId="5">
    <w:lvl w:ilvl="0">
      <w:start w:val="1"/>
      <w:numFmt w:val="bullet"/>
      <w:lvlText w:val="o"/>
      <w:lvlJc w:val="left"/>
      <w:pPr>
        <w:tabs>
          <w:tab w:val="num" w:pos="1620"/>
        </w:tabs>
        <w:ind w:left="1620" w:hanging="360"/>
      </w:pPr>
      <w:rPr>
        <w:rFonts w:ascii="Courier New" w:hAnsi="Courier New" w:cs="Courier New" w:hint="default"/>
        <w:rFonts w:cs="Courier New"/>
        <w:color w:val="005DAB"/>
      </w:rPr>
    </w:lvl>
    <w:lvl w:ilvl="1">
      <w:start w:val="1"/>
      <w:numFmt w:val="bullet"/>
      <w:lvlText w:val=""/>
      <w:lvlJc w:val="left"/>
      <w:pPr>
        <w:tabs>
          <w:tab w:val="num" w:pos="2520"/>
        </w:tabs>
        <w:ind w:left="2520" w:hanging="360"/>
      </w:pPr>
      <w:rPr>
        <w:rFonts w:ascii="Wingdings" w:hAnsi="Wingdings" w:cs="Wingdings" w:hint="default"/>
        <w:rFonts w:cs="Wingdings"/>
        <w:color w:val="005DAB"/>
      </w:rPr>
    </w:lvl>
    <w:lvl w:ilvl="2">
      <w:start w:val="1"/>
      <w:numFmt w:val="bullet"/>
      <w:lvlText w:val=""/>
      <w:lvlJc w:val="left"/>
      <w:pPr>
        <w:tabs>
          <w:tab w:val="num" w:pos="3240"/>
        </w:tabs>
        <w:ind w:left="3240" w:hanging="360"/>
      </w:pPr>
      <w:rPr>
        <w:rFonts w:ascii="Wingdings" w:hAnsi="Wingdings" w:cs="Wingdings" w:hint="default"/>
        <w:rFonts w:cs="Wingdings"/>
      </w:rPr>
    </w:lvl>
    <w:lvl w:ilvl="3">
      <w:start w:val="1"/>
      <w:numFmt w:val="bullet"/>
      <w:lvlText w:val=""/>
      <w:lvlJc w:val="left"/>
      <w:pPr>
        <w:tabs>
          <w:tab w:val="num" w:pos="3960"/>
        </w:tabs>
        <w:ind w:left="3960" w:hanging="360"/>
      </w:pPr>
      <w:rPr>
        <w:rFonts w:ascii="Symbol" w:hAnsi="Symbol" w:cs="Symbol" w:hint="default"/>
        <w:rFonts w:cs="Symbol"/>
      </w:rPr>
    </w:lvl>
    <w:lvl w:ilvl="4">
      <w:start w:val="1"/>
      <w:numFmt w:val="bullet"/>
      <w:lvlText w:val="o"/>
      <w:lvlJc w:val="left"/>
      <w:pPr>
        <w:tabs>
          <w:tab w:val="num" w:pos="4680"/>
        </w:tabs>
        <w:ind w:left="4680" w:hanging="360"/>
      </w:pPr>
      <w:rPr>
        <w:rFonts w:ascii="Courier New" w:hAnsi="Courier New" w:cs="Courier New" w:hint="default"/>
        <w:rFonts w:cs="Courier New"/>
      </w:rPr>
    </w:lvl>
    <w:lvl w:ilvl="5">
      <w:start w:val="1"/>
      <w:numFmt w:val="bullet"/>
      <w:lvlText w:val=""/>
      <w:lvlJc w:val="left"/>
      <w:pPr>
        <w:tabs>
          <w:tab w:val="num" w:pos="5400"/>
        </w:tabs>
        <w:ind w:left="5400" w:hanging="360"/>
      </w:pPr>
      <w:rPr>
        <w:rFonts w:ascii="Wingdings" w:hAnsi="Wingdings" w:cs="Wingdings" w:hint="default"/>
        <w:rFonts w:cs="Wingdings"/>
      </w:rPr>
    </w:lvl>
    <w:lvl w:ilvl="6">
      <w:start w:val="1"/>
      <w:numFmt w:val="bullet"/>
      <w:lvlText w:val=""/>
      <w:lvlJc w:val="left"/>
      <w:pPr>
        <w:tabs>
          <w:tab w:val="num" w:pos="6120"/>
        </w:tabs>
        <w:ind w:left="6120" w:hanging="360"/>
      </w:pPr>
      <w:rPr>
        <w:rFonts w:ascii="Symbol" w:hAnsi="Symbol" w:cs="Symbol" w:hint="default"/>
        <w:rFonts w:cs="Symbol"/>
      </w:rPr>
    </w:lvl>
    <w:lvl w:ilvl="7">
      <w:start w:val="1"/>
      <w:numFmt w:val="bullet"/>
      <w:lvlText w:val="o"/>
      <w:lvlJc w:val="left"/>
      <w:pPr>
        <w:tabs>
          <w:tab w:val="num" w:pos="6840"/>
        </w:tabs>
        <w:ind w:left="6840" w:hanging="360"/>
      </w:pPr>
      <w:rPr>
        <w:rFonts w:ascii="Courier New" w:hAnsi="Courier New" w:cs="Courier New" w:hint="default"/>
        <w:rFonts w:cs="Courier New"/>
      </w:rPr>
    </w:lvl>
    <w:lvl w:ilvl="8">
      <w:start w:val="1"/>
      <w:numFmt w:val="bullet"/>
      <w:lvlText w:val=""/>
      <w:lvlJc w:val="left"/>
      <w:pPr>
        <w:tabs>
          <w:tab w:val="num" w:pos="7560"/>
        </w:tabs>
        <w:ind w:left="7560" w:hanging="360"/>
      </w:pPr>
      <w:rPr>
        <w:rFonts w:ascii="Wingdings" w:hAnsi="Wingdings" w:cs="Wingdings" w:hint="default"/>
        <w:rFonts w:cs="Wingdings"/>
      </w:rPr>
    </w:lvl>
  </w:abstractNum>
  <w:abstractNum w:abstractNumId="6">
    <w:lvl w:ilvl="0">
      <w:start w:val="1"/>
      <w:numFmt w:val="decimal"/>
      <w:lvlText w:val="%1."/>
      <w:lvlJc w:val="left"/>
      <w:pPr>
        <w:tabs>
          <w:tab w:val="num" w:pos="720"/>
        </w:tabs>
        <w:ind w:left="720" w:hanging="360"/>
      </w:pPr>
      <w:rPr/>
    </w:lvl>
  </w:abstractNum>
  <w:abstractNum w:abstractNumId="7">
    <w:lvl w:ilvl="0">
      <w:start w:val="1"/>
      <w:numFmt w:val="bullet"/>
      <w:lvlText w:val="o"/>
      <w:lvlJc w:val="left"/>
      <w:pPr>
        <w:tabs>
          <w:tab w:val="num" w:pos="540"/>
        </w:tabs>
        <w:ind w:left="540" w:hanging="360"/>
      </w:pPr>
      <w:rPr>
        <w:rFonts w:ascii="Courier New" w:hAnsi="Courier New" w:cs="Courier New" w:hint="default"/>
        <w:szCs w:val="24"/>
        <w:rFonts w:cs="Courier New"/>
        <w:color w:val="005DAB"/>
      </w:rPr>
    </w:lvl>
  </w:abstractNum>
  <w:abstractNum w:abstractNumId="8">
    <w:lvl w:ilvl="0">
      <w:start w:val="1"/>
      <w:numFmt w:val="bullet"/>
      <w:lvlText w:val="o"/>
      <w:lvlJc w:val="left"/>
      <w:pPr>
        <w:tabs>
          <w:tab w:val="num" w:pos="900"/>
        </w:tabs>
        <w:ind w:left="900" w:hanging="360"/>
      </w:pPr>
      <w:rPr>
        <w:rFonts w:ascii="Courier New" w:hAnsi="Courier New" w:cs="Courier New" w:hint="default"/>
        <w:rFonts w:cs="Courier New"/>
        <w:color w:val="005DAB"/>
      </w:rPr>
    </w:lvl>
  </w:abstractNum>
  <w:abstractNum w:abstractNumId="9">
    <w:lvl w:ilvl="0">
      <w:start w:val="1"/>
      <w:numFmt w:val="bullet"/>
      <w:lvlText w:val="o"/>
      <w:lvlJc w:val="left"/>
      <w:pPr>
        <w:tabs>
          <w:tab w:val="num" w:pos="900"/>
        </w:tabs>
        <w:ind w:left="900" w:hanging="360"/>
      </w:pPr>
      <w:rPr>
        <w:rFonts w:ascii="Courier New" w:hAnsi="Courier New" w:cs="Courier New" w:hint="default"/>
        <w:rFonts w:cs="Courier New"/>
        <w:color w:val="005DAB"/>
        <w:lang w:eastAsia="ar-SA"/>
      </w:rPr>
    </w:lvl>
  </w:abstractNum>
  <w:abstractNum w:abstractNumId="10">
    <w:lvl w:ilvl="0">
      <w:start w:val="1"/>
      <w:numFmt w:val="bullet"/>
      <w:lvlText w:val="o"/>
      <w:lvlJc w:val="left"/>
      <w:pPr>
        <w:tabs>
          <w:tab w:val="num" w:pos="1260"/>
        </w:tabs>
        <w:ind w:left="1260" w:hanging="360"/>
      </w:pPr>
      <w:rPr>
        <w:rFonts w:ascii="Courier New" w:hAnsi="Courier New" w:cs="Courier New" w:hint="default"/>
        <w:rFonts w:cs="Courier New"/>
        <w:color w:val="005DAB"/>
      </w:rPr>
    </w:lvl>
  </w:abstractNum>
  <w:abstractNum w:abstractNumId="11">
    <w:lvl w:ilvl="0">
      <w:start w:val="1"/>
      <w:numFmt w:val="lowerLetter"/>
      <w:lvlText w:val="%1)"/>
      <w:lvlJc w:val="left"/>
      <w:pPr>
        <w:tabs>
          <w:tab w:val="num" w:pos="360"/>
        </w:tabs>
        <w:ind w:left="360" w:hanging="360"/>
      </w:pPr>
      <w:rPr/>
    </w:lvl>
  </w:abstractNum>
  <w:abstractNum w:abstractNumId="12">
    <w:lvl w:ilvl="0">
      <w:start w:val="1"/>
      <w:numFmt w:val="lowerLetter"/>
      <w:lvlText w:val="%1)"/>
      <w:lvlJc w:val="left"/>
      <w:pPr>
        <w:tabs>
          <w:tab w:val="num" w:pos="720"/>
        </w:tabs>
        <w:ind w:left="720" w:hanging="360"/>
      </w:pPr>
      <w:rPr/>
    </w:lvl>
  </w:abstractNum>
  <w:abstractNum w:abstractNumId="13">
    <w:lvl w:ilvl="0">
      <w:start w:val="1"/>
      <w:numFmt w:val="decimal"/>
      <w:lvlText w:val="%1."/>
      <w:lvlJc w:val="left"/>
      <w:pPr>
        <w:tabs>
          <w:tab w:val="num" w:pos="360"/>
        </w:tabs>
        <w:ind w:left="360" w:hanging="360"/>
      </w:pPr>
      <w:rPr>
        <w:color w:val="005DAB"/>
      </w:rPr>
    </w:lvl>
  </w:abstractNum>
  <w:abstractNum w:abstractNumId="14">
    <w:lvl w:ilvl="0">
      <w:start w:val="1"/>
      <w:numFmt w:val="lowerLetter"/>
      <w:lvlText w:val="%1)"/>
      <w:lvlJc w:val="left"/>
      <w:pPr>
        <w:tabs>
          <w:tab w:val="num" w:pos="720"/>
        </w:tabs>
        <w:ind w:left="720" w:hanging="360"/>
      </w:pPr>
      <w:rPr/>
    </w:lvl>
  </w:abstractNum>
  <w:abstractNum w:abstractNumId="15">
    <w:lvl w:ilvl="0">
      <w:start w:val="1"/>
      <w:numFmt w:val="lowerLetter"/>
      <w:lvlText w:val="%1)"/>
      <w:lvlJc w:val="left"/>
      <w:pPr>
        <w:tabs>
          <w:tab w:val="num" w:pos="720"/>
        </w:tabs>
        <w:ind w:left="720" w:hanging="360"/>
      </w:pPr>
      <w:rPr/>
    </w:lvl>
  </w:abstractNum>
  <w:abstractNum w:abstractNumId="16">
    <w:lvl w:ilvl="0">
      <w:start w:val="1"/>
      <w:numFmt w:val="bullet"/>
      <w:lvlText w:val="o"/>
      <w:lvlJc w:val="left"/>
      <w:pPr>
        <w:tabs>
          <w:tab w:val="num" w:pos="720"/>
        </w:tabs>
        <w:ind w:left="720" w:hanging="360"/>
      </w:pPr>
      <w:rPr>
        <w:rFonts w:ascii="Courier New" w:hAnsi="Courier New" w:cs="Courier New" w:hint="default"/>
        <w:rFonts w:cs="Courier New"/>
        <w:color w:val="005DAB"/>
      </w:rPr>
    </w:lvl>
  </w:abstractNum>
  <w:abstractNum w:abstractNumId="17">
    <w:lvl w:ilvl="0">
      <w:start w:val="1"/>
      <w:numFmt w:val="bullet"/>
      <w:lvlText w:val="o"/>
      <w:lvlJc w:val="left"/>
      <w:pPr>
        <w:tabs>
          <w:tab w:val="num" w:pos="540"/>
        </w:tabs>
        <w:ind w:left="540" w:hanging="360"/>
      </w:pPr>
      <w:rPr>
        <w:rFonts w:ascii="Courier New" w:hAnsi="Courier New" w:cs="Courier New" w:hint="default"/>
        <w:szCs w:val="24"/>
        <w:rFonts w:cs="Courier New"/>
        <w:color w:val="005DAB"/>
      </w:rPr>
    </w:lvl>
  </w:abstractNum>
  <w:abstractNum w:abstractNumId="18">
    <w:lvl w:ilvl="0">
      <w:start w:val="1"/>
      <w:numFmt w:val="bullet"/>
      <w:lvlText w:val="o"/>
      <w:lvlJc w:val="left"/>
      <w:pPr>
        <w:tabs>
          <w:tab w:val="num" w:pos="720"/>
        </w:tabs>
        <w:ind w:left="720" w:hanging="360"/>
      </w:pPr>
      <w:rPr>
        <w:rFonts w:ascii="Courier New" w:hAnsi="Courier New" w:cs="Courier New" w:hint="default"/>
        <w:szCs w:val="24"/>
        <w:rFonts w:cs="Courier New"/>
        <w:color w:val="005DAB"/>
      </w:rPr>
    </w:lvl>
  </w:abstractNum>
  <w:abstractNum w:abstractNumId="19">
    <w:lvl w:ilvl="0">
      <w:start w:val="1"/>
      <w:numFmt w:val="lowerLetter"/>
      <w:lvlText w:val="%1)"/>
      <w:lvlJc w:val="left"/>
      <w:pPr>
        <w:tabs>
          <w:tab w:val="num" w:pos="720"/>
        </w:tabs>
        <w:ind w:left="720" w:hanging="360"/>
      </w:pPr>
      <w:rPr/>
    </w:lvl>
  </w:abstractNum>
  <w:abstractNum w:abstractNumId="20">
    <w:lvl w:ilvl="0">
      <w:start w:val="1"/>
      <w:numFmt w:val="bullet"/>
      <w:lvlText w:val="o"/>
      <w:lvlJc w:val="left"/>
      <w:pPr>
        <w:tabs>
          <w:tab w:val="num" w:pos="900"/>
        </w:tabs>
        <w:ind w:left="900" w:hanging="360"/>
      </w:pPr>
      <w:rPr>
        <w:rFonts w:ascii="Courier New" w:hAnsi="Courier New" w:cs="Courier New" w:hint="default"/>
        <w:rFonts w:cs="Courier New"/>
        <w:color w:val="005DAB"/>
      </w:rPr>
    </w:lvl>
  </w:abstractNum>
  <w:abstractNum w:abstractNumId="21">
    <w:lvl w:ilvl="0">
      <w:start w:val="1"/>
      <w:numFmt w:val="lowerLetter"/>
      <w:lvlText w:val="%1)"/>
      <w:lvlJc w:val="left"/>
      <w:pPr>
        <w:tabs>
          <w:tab w:val="num" w:pos="720"/>
        </w:tabs>
        <w:ind w:left="720" w:hanging="360"/>
      </w:pPr>
      <w:rPr/>
    </w:lvl>
  </w:abstractNum>
  <w:abstractNum w:abstractNumId="22">
    <w:lvl w:ilvl="0">
      <w:start w:val="1"/>
      <w:numFmt w:val="bullet"/>
      <w:lvlText w:val="o"/>
      <w:lvlJc w:val="left"/>
      <w:pPr>
        <w:tabs>
          <w:tab w:val="num" w:pos="540"/>
        </w:tabs>
        <w:ind w:left="540" w:hanging="360"/>
      </w:pPr>
      <w:rPr>
        <w:rFonts w:ascii="Courier New" w:hAnsi="Courier New" w:cs="Courier New" w:hint="default"/>
        <w:szCs w:val="24"/>
        <w:rFonts w:cs="Courier New"/>
        <w:color w:val="005DAB"/>
      </w:rPr>
    </w:lvl>
  </w:abstractNum>
  <w:abstractNum w:abstractNumId="23">
    <w:lvl w:ilvl="0">
      <w:start w:val="1"/>
      <w:numFmt w:val="bullet"/>
      <w:lvlText w:val="o"/>
      <w:lvlJc w:val="left"/>
      <w:pPr>
        <w:tabs>
          <w:tab w:val="num" w:pos="720"/>
        </w:tabs>
        <w:ind w:left="720" w:hanging="360"/>
      </w:pPr>
      <w:rPr>
        <w:rFonts w:ascii="Courier New" w:hAnsi="Courier New" w:cs="Courier New" w:hint="default"/>
        <w:rFonts w:cs="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CN Regular" w:cs="Lohit Devanagari"/>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cs-CZ" w:bidi="ar-SA" w:eastAsia="zh-CN"/>
    </w:rPr>
  </w:style>
  <w:style w:type="paragraph" w:styleId="Heading1">
    <w:name w:val="Heading 1"/>
    <w:basedOn w:val="Normal"/>
    <w:next w:val="Normal"/>
    <w:qFormat/>
    <w:pPr>
      <w:keepNext/>
      <w:numPr>
        <w:ilvl w:val="0"/>
        <w:numId w:val="1"/>
      </w:numPr>
      <w:spacing w:before="240" w:after="60"/>
      <w:outlineLvl w:val="0"/>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before="240" w:after="60"/>
      <w:outlineLvl w:val="1"/>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outlineLvl w:val="2"/>
    </w:pPr>
    <w:rPr>
      <w:rFonts w:ascii="Arial" w:hAnsi="Arial" w:cs="Arial"/>
      <w:b/>
      <w:bCs/>
      <w:sz w:val="26"/>
      <w:szCs w:val="26"/>
    </w:rPr>
  </w:style>
  <w:style w:type="paragraph" w:styleId="Heading4">
    <w:name w:val="Heading 4"/>
    <w:basedOn w:val="Normal"/>
    <w:next w:val="Normal"/>
    <w:qFormat/>
    <w:pPr>
      <w:keepNext/>
      <w:numPr>
        <w:ilvl w:val="3"/>
        <w:numId w:val="1"/>
      </w:numPr>
      <w:suppressAutoHyphens w:val="true"/>
      <w:spacing w:before="0" w:after="180"/>
      <w:outlineLvl w:val="3"/>
      <w:outlineLvl w:val="3"/>
    </w:pPr>
    <w:rPr>
      <w:b/>
      <w:color w:val="000000"/>
    </w:rPr>
  </w:style>
  <w:style w:type="paragraph" w:styleId="Heading5">
    <w:name w:val="Heading 5"/>
    <w:basedOn w:val="Normal"/>
    <w:next w:val="Normal"/>
    <w:qFormat/>
    <w:pPr>
      <w:keepNext/>
      <w:numPr>
        <w:ilvl w:val="4"/>
        <w:numId w:val="1"/>
      </w:numPr>
      <w:suppressAutoHyphens w:val="true"/>
      <w:jc w:val="both"/>
      <w:outlineLvl w:val="4"/>
      <w:outlineLvl w:val="4"/>
    </w:pPr>
    <w:rPr>
      <w:b/>
      <w:color w:val="FF0000"/>
      <w:sz w:val="28"/>
      <w:szCs w:val="20"/>
    </w:rPr>
  </w:style>
  <w:style w:type="paragraph" w:styleId="Heading6">
    <w:name w:val="Heading 6"/>
    <w:basedOn w:val="Normal"/>
    <w:next w:val="Normal"/>
    <w:qFormat/>
    <w:pPr>
      <w:keepNext/>
      <w:numPr>
        <w:ilvl w:val="5"/>
        <w:numId w:val="1"/>
      </w:numPr>
      <w:suppressAutoHyphens w:val="true"/>
      <w:jc w:val="center"/>
      <w:outlineLvl w:val="5"/>
      <w:outlineLvl w:val="5"/>
    </w:pPr>
    <w:rPr>
      <w:b/>
      <w:color w:val="000000"/>
      <w:szCs w:val="20"/>
    </w:rPr>
  </w:style>
  <w:style w:type="paragraph" w:styleId="Heading7">
    <w:name w:val="Heading 7"/>
    <w:basedOn w:val="Normal"/>
    <w:next w:val="Normal"/>
    <w:qFormat/>
    <w:pPr>
      <w:keepNext/>
      <w:numPr>
        <w:ilvl w:val="6"/>
        <w:numId w:val="1"/>
      </w:numPr>
      <w:suppressAutoHyphens w:val="true"/>
      <w:jc w:val="center"/>
      <w:outlineLvl w:val="6"/>
      <w:outlineLvl w:val="6"/>
    </w:pPr>
    <w:rPr>
      <w:sz w:val="28"/>
      <w:szCs w:val="20"/>
    </w:rPr>
  </w:style>
  <w:style w:type="paragraph" w:styleId="Heading8">
    <w:name w:val="Heading 8"/>
    <w:basedOn w:val="Normal"/>
    <w:next w:val="Normal"/>
    <w:qFormat/>
    <w:pPr>
      <w:keepNext/>
      <w:numPr>
        <w:ilvl w:val="7"/>
        <w:numId w:val="1"/>
      </w:numPr>
      <w:suppressAutoHyphens w:val="true"/>
      <w:jc w:val="both"/>
      <w:outlineLvl w:val="7"/>
      <w:outlineLvl w:val="7"/>
    </w:pPr>
    <w:rPr>
      <w:color w:val="0000FF"/>
      <w:sz w:val="28"/>
      <w:szCs w:val="20"/>
    </w:rPr>
  </w:style>
  <w:style w:type="paragraph" w:styleId="Heading9">
    <w:name w:val="Heading 9"/>
    <w:basedOn w:val="Normal"/>
    <w:next w:val="Normal"/>
    <w:qFormat/>
    <w:pPr>
      <w:keepNext/>
      <w:numPr>
        <w:ilvl w:val="8"/>
        <w:numId w:val="1"/>
      </w:numPr>
      <w:suppressAutoHyphens w:val="true"/>
      <w:outlineLvl w:val="8"/>
      <w:outlineLvl w:val="8"/>
    </w:pPr>
    <w:rPr>
      <w:b/>
      <w:sz w:val="28"/>
      <w:szCs w:val="20"/>
    </w:rPr>
  </w:style>
  <w:style w:type="character" w:styleId="WW8Num1z0">
    <w:name w:val="WW8Num1z0"/>
    <w:qFormat/>
    <w:rPr>
      <w:rFonts w:ascii="Symbol" w:hAnsi="Symbol" w:cs="Symbol"/>
    </w:rPr>
  </w:style>
  <w:style w:type="character" w:styleId="WW8Num2z0">
    <w:name w:val="WW8Num2z0"/>
    <w:qFormat/>
    <w:rPr>
      <w:rFonts w:ascii="Wingdings" w:hAnsi="Wingdings" w:cs="Wingdings"/>
    </w:rPr>
  </w:style>
  <w:style w:type="character" w:styleId="WW8Num3z0">
    <w:name w:val="WW8Num3z0"/>
    <w:qFormat/>
    <w:rPr/>
  </w:style>
  <w:style w:type="character" w:styleId="WW8Num4z0">
    <w:name w:val="WW8Num4z0"/>
    <w:qFormat/>
    <w:rPr>
      <w:rFonts w:ascii="Symbol" w:hAnsi="Symbol" w:cs="Symbol"/>
      <w:b/>
      <w:i w:val="false"/>
    </w:rPr>
  </w:style>
  <w:style w:type="character" w:styleId="WW8Num5z0">
    <w:name w:val="WW8Num5z0"/>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Times New Roman" w:hAnsi="Times New Roman" w:cs="Times New Roman"/>
    </w:rPr>
  </w:style>
  <w:style w:type="character" w:styleId="WW8Num8z0">
    <w:name w:val="WW8Num8z0"/>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Symbol" w:hAnsi="Symbol" w:cs="Symbol"/>
      <w:color w:val="000000"/>
    </w:rPr>
  </w:style>
  <w:style w:type="character" w:styleId="WW8Num11z0">
    <w:name w:val="WW8Num11z0"/>
    <w:qFormat/>
    <w:rPr/>
  </w:style>
  <w:style w:type="character" w:styleId="WW8Num12z0">
    <w:name w:val="WW8Num12z0"/>
    <w:qFormat/>
    <w:rPr/>
  </w:style>
  <w:style w:type="character" w:styleId="WW8Num13z0">
    <w:name w:val="WW8Num13z0"/>
    <w:qFormat/>
    <w:rPr>
      <w:rFonts w:ascii="Symbol" w:hAnsi="Symbol" w:cs="Times New Roman"/>
      <w:color w:val="000000"/>
    </w:rPr>
  </w:style>
  <w:style w:type="character" w:styleId="WW8Num14z0">
    <w:name w:val="WW8Num14z0"/>
    <w:qFormat/>
    <w:rPr/>
  </w:style>
  <w:style w:type="character" w:styleId="WW8Num15z0">
    <w:name w:val="WW8Num15z0"/>
    <w:qFormat/>
    <w:rPr/>
  </w:style>
  <w:style w:type="character" w:styleId="WW8Num16z0">
    <w:name w:val="WW8Num16z0"/>
    <w:qFormat/>
    <w:rPr>
      <w:rFonts w:ascii="Symbol" w:hAnsi="Symbol" w:cs="Symbol"/>
      <w:color w:val="000000"/>
      <w:sz w:val="20"/>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Symbol" w:hAnsi="Symbol" w:cs="Symbol"/>
      <w:color w:val="000000"/>
    </w:rPr>
  </w:style>
  <w:style w:type="character" w:styleId="WW8Num21z0">
    <w:name w:val="WW8Num21z0"/>
    <w:qFormat/>
    <w:rPr>
      <w:rFonts w:ascii="Symbol" w:hAnsi="Symbol" w:cs="Symbol"/>
      <w:color w:val="000000"/>
    </w:rPr>
  </w:style>
  <w:style w:type="character" w:styleId="WW8Num22z0">
    <w:name w:val="WW8Num22z0"/>
    <w:qFormat/>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rFonts w:ascii="Courier New" w:hAnsi="Courier New" w:cs="Courier New"/>
      <w:color w:val="005DAB"/>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b/>
      <w:bCs w:val="false"/>
      <w:i w:val="false"/>
      <w:iCs w:val="false"/>
      <w:caps w:val="false"/>
      <w:smallCaps w:val="false"/>
      <w:strike w:val="false"/>
      <w:dstrike w:val="false"/>
      <w:outline w:val="false"/>
      <w:shadow w:val="false"/>
      <w:vanish w:val="false"/>
      <w:color w:val="1F497D"/>
      <w:spacing w:val="0"/>
      <w:position w:val="0"/>
      <w:sz w:val="28"/>
      <w:sz w:val="28"/>
      <w:szCs w:val="28"/>
      <w:u w:val="none"/>
      <w:vertAlign w:val="baseline"/>
      <w:em w:val="none"/>
      <w:lang w:val="en-US" w:bidi="en-US"/>
    </w:rPr>
  </w:style>
  <w:style w:type="character" w:styleId="WW8Num24z1">
    <w:name w:val="WW8Num24z1"/>
    <w:qFormat/>
    <w:rPr/>
  </w:style>
  <w:style w:type="character" w:styleId="WW8Num25z0">
    <w:name w:val="WW8Num25z0"/>
    <w:qFormat/>
    <w:rPr>
      <w:rFonts w:ascii="Wingdings" w:hAnsi="Wingdings" w:cs="Wingdings"/>
      <w:color w:val="005DAB"/>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Wingdings" w:hAnsi="Wingdings" w:cs="Wingdings"/>
      <w:color w:val="005DAB"/>
      <w:lang w:eastAsia="ar-SA"/>
    </w:rPr>
  </w:style>
  <w:style w:type="character" w:styleId="WW8Num26z1">
    <w:name w:val="WW8Num26z1"/>
    <w:qFormat/>
    <w:rPr>
      <w:rFonts w:ascii="Wingdings" w:hAnsi="Wingdings" w:eastAsia="Times New Roman" w:cs="Times New Roman"/>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6z4">
    <w:name w:val="WW8Num26z4"/>
    <w:qFormat/>
    <w:rPr>
      <w:rFonts w:ascii="Courier New" w:hAnsi="Courier New" w:cs="Courier New"/>
    </w:rPr>
  </w:style>
  <w:style w:type="character" w:styleId="WW8Num27z0">
    <w:name w:val="WW8Num27z0"/>
    <w:qFormat/>
    <w:rPr>
      <w:rFonts w:ascii="Wingdings" w:hAnsi="Wingdings" w:cs="Wingdings"/>
      <w:color w:val="005DAB"/>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Courier New" w:hAnsi="Courier New" w:cs="Courier New"/>
      <w:color w:val="005DAB"/>
    </w:rPr>
  </w:style>
  <w:style w:type="character" w:styleId="WW8Num28z1">
    <w:name w:val="WW8Num28z1"/>
    <w:qFormat/>
    <w:rPr>
      <w:rFonts w:ascii="Wingdings" w:hAnsi="Wingdings" w:cs="Wingdings"/>
      <w:color w:val="005DAB"/>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8z4">
    <w:name w:val="WW8Num28z4"/>
    <w:qFormat/>
    <w:rPr>
      <w:rFonts w:ascii="Courier New" w:hAnsi="Courier New" w:cs="Courier New"/>
    </w:rPr>
  </w:style>
  <w:style w:type="character" w:styleId="WW8Num29z0">
    <w:name w:val="WW8Num29z0"/>
    <w:qFormat/>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rFonts w:ascii="Courier New" w:hAnsi="Courier New" w:cs="Courier New"/>
      <w:color w:val="005DAB"/>
      <w:szCs w:val="24"/>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rFonts w:ascii="Courier New" w:hAnsi="Courier New" w:cs="Courier New"/>
      <w:color w:val="005DAB"/>
    </w:rPr>
  </w:style>
  <w:style w:type="character" w:styleId="WW8Num31z1">
    <w:name w:val="WW8Num31z1"/>
    <w:qFormat/>
    <w:rPr>
      <w:rFonts w:ascii="Wingdings" w:hAnsi="Wingdings" w:eastAsia="Times New Roman" w:cs="Times New Roman"/>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1z4">
    <w:name w:val="WW8Num31z4"/>
    <w:qFormat/>
    <w:rPr>
      <w:rFonts w:ascii="Courier New" w:hAnsi="Courier New" w:cs="Courier New"/>
    </w:rPr>
  </w:style>
  <w:style w:type="character" w:styleId="WW8Num32z0">
    <w:name w:val="WW8Num32z0"/>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3z0">
    <w:name w:val="WW8Num33z0"/>
    <w:qFormat/>
    <w:rPr>
      <w:rFonts w:ascii="Courier New" w:hAnsi="Courier New" w:cs="Courier New"/>
      <w:color w:val="005DAB"/>
      <w:lang w:eastAsia="ar-SA"/>
    </w:rPr>
  </w:style>
  <w:style w:type="character" w:styleId="WW8Num33z1">
    <w:name w:val="WW8Num33z1"/>
    <w:qFormat/>
    <w:rPr>
      <w:rFonts w:ascii="Wingdings" w:hAnsi="Wingdings" w:eastAsia="Times New Roman" w:cs="Times New Roman"/>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3z4">
    <w:name w:val="WW8Num33z4"/>
    <w:qFormat/>
    <w:rPr>
      <w:rFonts w:ascii="Courier New" w:hAnsi="Courier New" w:cs="Courier New"/>
    </w:rPr>
  </w:style>
  <w:style w:type="character" w:styleId="WW8Num34z0">
    <w:name w:val="WW8Num34z0"/>
    <w:qFormat/>
    <w:rPr>
      <w:rFonts w:ascii="Courier New" w:hAnsi="Courier New" w:cs="Courier New"/>
      <w:color w:val="005DAB"/>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style>
  <w:style w:type="character" w:styleId="WW8Num35z1">
    <w:name w:val="WW8Num35z1"/>
    <w:qFormat/>
    <w:rPr/>
  </w:style>
  <w:style w:type="character" w:styleId="WW8Num35z2">
    <w:name w:val="WW8Num35z2"/>
    <w:qFormat/>
    <w:rPr/>
  </w:style>
  <w:style w:type="character" w:styleId="WW8Num35z3">
    <w:name w:val="WW8Num35z3"/>
    <w:qFormat/>
    <w:rPr/>
  </w:style>
  <w:style w:type="character" w:styleId="WW8Num35z4">
    <w:name w:val="WW8Num35z4"/>
    <w:qFormat/>
    <w:rPr/>
  </w:style>
  <w:style w:type="character" w:styleId="WW8Num35z5">
    <w:name w:val="WW8Num35z5"/>
    <w:qFormat/>
    <w:rPr/>
  </w:style>
  <w:style w:type="character" w:styleId="WW8Num35z6">
    <w:name w:val="WW8Num35z6"/>
    <w:qFormat/>
    <w:rPr/>
  </w:style>
  <w:style w:type="character" w:styleId="WW8Num35z7">
    <w:name w:val="WW8Num35z7"/>
    <w:qFormat/>
    <w:rPr/>
  </w:style>
  <w:style w:type="character" w:styleId="WW8Num35z8">
    <w:name w:val="WW8Num35z8"/>
    <w:qFormat/>
    <w:rPr/>
  </w:style>
  <w:style w:type="character" w:styleId="WW8Num36z0">
    <w:name w:val="WW8Num36z0"/>
    <w:qFormat/>
    <w:rPr/>
  </w:style>
  <w:style w:type="character" w:styleId="WW8Num36z1">
    <w:name w:val="WW8Num36z1"/>
    <w:qFormat/>
    <w:rPr/>
  </w:style>
  <w:style w:type="character" w:styleId="WW8Num36z2">
    <w:name w:val="WW8Num36z2"/>
    <w:qFormat/>
    <w:rPr/>
  </w:style>
  <w:style w:type="character" w:styleId="WW8Num36z3">
    <w:name w:val="WW8Num36z3"/>
    <w:qFormat/>
    <w:rPr/>
  </w:style>
  <w:style w:type="character" w:styleId="WW8Num36z4">
    <w:name w:val="WW8Num36z4"/>
    <w:qFormat/>
    <w:rPr/>
  </w:style>
  <w:style w:type="character" w:styleId="WW8Num36z5">
    <w:name w:val="WW8Num36z5"/>
    <w:qFormat/>
    <w:rPr/>
  </w:style>
  <w:style w:type="character" w:styleId="WW8Num36z6">
    <w:name w:val="WW8Num36z6"/>
    <w:qFormat/>
    <w:rPr/>
  </w:style>
  <w:style w:type="character" w:styleId="WW8Num36z7">
    <w:name w:val="WW8Num36z7"/>
    <w:qFormat/>
    <w:rPr/>
  </w:style>
  <w:style w:type="character" w:styleId="WW8Num36z8">
    <w:name w:val="WW8Num36z8"/>
    <w:qFormat/>
    <w:rPr/>
  </w:style>
  <w:style w:type="character" w:styleId="WW8Num37z0">
    <w:name w:val="WW8Num37z0"/>
    <w:qFormat/>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color w:val="005DAB"/>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0">
    <w:name w:val="WW8Num40z0"/>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style>
  <w:style w:type="character" w:styleId="WW8Num41z1">
    <w:name w:val="WW8Num41z1"/>
    <w:qFormat/>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0">
    <w:name w:val="WW8Num42z0"/>
    <w:qFormat/>
    <w:rPr>
      <w:rFonts w:ascii="Courier New" w:hAnsi="Courier New" w:cs="Courier New"/>
      <w:color w:val="005DAB"/>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2z3">
    <w:name w:val="WW8Num42z3"/>
    <w:qFormat/>
    <w:rPr>
      <w:rFonts w:ascii="Symbol" w:hAnsi="Symbol" w:cs="Symbol"/>
    </w:rPr>
  </w:style>
  <w:style w:type="character" w:styleId="WW8Num43z0">
    <w:name w:val="WW8Num43z0"/>
    <w:qFormat/>
    <w:rPr>
      <w:rFonts w:ascii="Courier New" w:hAnsi="Courier New" w:cs="Courier New"/>
    </w:rPr>
  </w:style>
  <w:style w:type="character" w:styleId="WW8Num43z2">
    <w:name w:val="WW8Num43z2"/>
    <w:qFormat/>
    <w:rPr>
      <w:rFonts w:ascii="Wingdings" w:hAnsi="Wingdings" w:cs="Wingdings"/>
    </w:rPr>
  </w:style>
  <w:style w:type="character" w:styleId="WW8Num43z3">
    <w:name w:val="WW8Num43z3"/>
    <w:qFormat/>
    <w:rPr>
      <w:rFonts w:ascii="Symbol" w:hAnsi="Symbol" w:cs="Symbol"/>
    </w:rPr>
  </w:style>
  <w:style w:type="character" w:styleId="WW8Num44z0">
    <w:name w:val="WW8Num44z0"/>
    <w:qFormat/>
    <w:rPr>
      <w:rFonts w:ascii="Courier New" w:hAnsi="Courier New" w:cs="Courier New"/>
      <w:color w:val="005DAB"/>
      <w:szCs w:val="24"/>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4z3">
    <w:name w:val="WW8Num44z3"/>
    <w:qFormat/>
    <w:rPr>
      <w:rFonts w:ascii="Symbol" w:hAnsi="Symbol" w:cs="Symbol"/>
    </w:rPr>
  </w:style>
  <w:style w:type="character" w:styleId="WW8Num45z0">
    <w:name w:val="WW8Num45z0"/>
    <w:qFormat/>
    <w:rPr>
      <w:rFonts w:ascii="Courier New" w:hAnsi="Courier New" w:cs="Courier New"/>
      <w:color w:val="005DAB"/>
      <w:szCs w:val="24"/>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rFonts w:ascii="Courier New" w:hAnsi="Courier New" w:cs="Courier New"/>
    </w:rPr>
  </w:style>
  <w:style w:type="character" w:styleId="WW8Num46z2">
    <w:name w:val="WW8Num46z2"/>
    <w:qFormat/>
    <w:rPr>
      <w:rFonts w:ascii="Wingdings" w:hAnsi="Wingdings" w:cs="Wingdings"/>
    </w:rPr>
  </w:style>
  <w:style w:type="character" w:styleId="WW8Num46z3">
    <w:name w:val="WW8Num46z3"/>
    <w:qFormat/>
    <w:rPr>
      <w:rFonts w:ascii="Symbol" w:hAnsi="Symbol" w:cs="Symbol"/>
    </w:rPr>
  </w:style>
  <w:style w:type="character" w:styleId="WW8Num47z0">
    <w:name w:val="WW8Num47z0"/>
    <w:qFormat/>
    <w:rPr/>
  </w:style>
  <w:style w:type="character" w:styleId="WW8Num47z1">
    <w:name w:val="WW8Num47z1"/>
    <w:qFormat/>
    <w:rPr/>
  </w:style>
  <w:style w:type="character" w:styleId="WW8Num47z2">
    <w:name w:val="WW8Num47z2"/>
    <w:qFormat/>
    <w:rPr/>
  </w:style>
  <w:style w:type="character" w:styleId="WW8Num47z3">
    <w:name w:val="WW8Num47z3"/>
    <w:qFormat/>
    <w:rPr/>
  </w:style>
  <w:style w:type="character" w:styleId="WW8Num47z4">
    <w:name w:val="WW8Num47z4"/>
    <w:qFormat/>
    <w:rPr/>
  </w:style>
  <w:style w:type="character" w:styleId="WW8Num47z5">
    <w:name w:val="WW8Num47z5"/>
    <w:qFormat/>
    <w:rPr/>
  </w:style>
  <w:style w:type="character" w:styleId="WW8Num47z6">
    <w:name w:val="WW8Num47z6"/>
    <w:qFormat/>
    <w:rPr/>
  </w:style>
  <w:style w:type="character" w:styleId="WW8Num47z7">
    <w:name w:val="WW8Num47z7"/>
    <w:qFormat/>
    <w:rPr/>
  </w:style>
  <w:style w:type="character" w:styleId="WW8Num47z8">
    <w:name w:val="WW8Num47z8"/>
    <w:qFormat/>
    <w:rPr/>
  </w:style>
  <w:style w:type="character" w:styleId="WW8Num48z0">
    <w:name w:val="WW8Num48z0"/>
    <w:qFormat/>
    <w:rPr>
      <w:rFonts w:ascii="Times New Roman" w:hAnsi="Times New Roman" w:cs="Times New Roman"/>
      <w:b/>
      <w:sz w:val="24"/>
    </w:rPr>
  </w:style>
  <w:style w:type="character" w:styleId="WW8Num48z1">
    <w:name w:val="WW8Num48z1"/>
    <w:qFormat/>
    <w:rPr/>
  </w:style>
  <w:style w:type="character" w:styleId="WW8Num48z2">
    <w:name w:val="WW8Num48z2"/>
    <w:qFormat/>
    <w:rPr/>
  </w:style>
  <w:style w:type="character" w:styleId="WW8Num48z3">
    <w:name w:val="WW8Num48z3"/>
    <w:qFormat/>
    <w:rPr/>
  </w:style>
  <w:style w:type="character" w:styleId="WW8Num48z4">
    <w:name w:val="WW8Num48z4"/>
    <w:qFormat/>
    <w:rPr/>
  </w:style>
  <w:style w:type="character" w:styleId="WW8Num48z5">
    <w:name w:val="WW8Num48z5"/>
    <w:qFormat/>
    <w:rPr/>
  </w:style>
  <w:style w:type="character" w:styleId="WW8Num48z6">
    <w:name w:val="WW8Num48z6"/>
    <w:qFormat/>
    <w:rPr/>
  </w:style>
  <w:style w:type="character" w:styleId="WW8Num48z7">
    <w:name w:val="WW8Num48z7"/>
    <w:qFormat/>
    <w:rPr/>
  </w:style>
  <w:style w:type="character" w:styleId="WW8Num48z8">
    <w:name w:val="WW8Num48z8"/>
    <w:qFormat/>
    <w:rPr/>
  </w:style>
  <w:style w:type="character" w:styleId="WW8Num49z0">
    <w:name w:val="WW8Num49z0"/>
    <w:qFormat/>
    <w:rPr>
      <w:rFonts w:ascii="Courier New" w:hAnsi="Courier New" w:cs="Courier New"/>
      <w:color w:val="005DAB"/>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WW8Num50z0">
    <w:name w:val="WW8Num50z0"/>
    <w:qFormat/>
    <w:rPr>
      <w:rFonts w:ascii="Wingdings" w:hAnsi="Wingdings" w:cs="Wingdings"/>
      <w:color w:val="005DAB"/>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0z3">
    <w:name w:val="WW8Num50z3"/>
    <w:qFormat/>
    <w:rPr>
      <w:rFonts w:ascii="Symbol" w:hAnsi="Symbol" w:cs="Symbol"/>
    </w:rPr>
  </w:style>
  <w:style w:type="character" w:styleId="WW8Num51z0">
    <w:name w:val="WW8Num51z0"/>
    <w:qFormat/>
    <w:rPr/>
  </w:style>
  <w:style w:type="character" w:styleId="WW8Num51z1">
    <w:name w:val="WW8Num51z1"/>
    <w:qFormat/>
    <w:rPr/>
  </w:style>
  <w:style w:type="character" w:styleId="WW8Num51z2">
    <w:name w:val="WW8Num51z2"/>
    <w:qFormat/>
    <w:rPr/>
  </w:style>
  <w:style w:type="character" w:styleId="WW8Num51z3">
    <w:name w:val="WW8Num51z3"/>
    <w:qFormat/>
    <w:rPr/>
  </w:style>
  <w:style w:type="character" w:styleId="WW8Num51z4">
    <w:name w:val="WW8Num51z4"/>
    <w:qFormat/>
    <w:rPr/>
  </w:style>
  <w:style w:type="character" w:styleId="WW8Num51z5">
    <w:name w:val="WW8Num51z5"/>
    <w:qFormat/>
    <w:rPr/>
  </w:style>
  <w:style w:type="character" w:styleId="WW8Num51z6">
    <w:name w:val="WW8Num51z6"/>
    <w:qFormat/>
    <w:rPr/>
  </w:style>
  <w:style w:type="character" w:styleId="WW8Num51z7">
    <w:name w:val="WW8Num51z7"/>
    <w:qFormat/>
    <w:rPr/>
  </w:style>
  <w:style w:type="character" w:styleId="WW8Num51z8">
    <w:name w:val="WW8Num51z8"/>
    <w:qFormat/>
    <w:rPr/>
  </w:style>
  <w:style w:type="character" w:styleId="WW8Num52z0">
    <w:name w:val="WW8Num52z0"/>
    <w:qFormat/>
    <w:rPr>
      <w:rFonts w:ascii="Courier New" w:hAnsi="Courier New" w:cs="Courier New"/>
      <w:color w:val="005DAB"/>
      <w:sz w:val="20"/>
    </w:rPr>
  </w:style>
  <w:style w:type="character" w:styleId="WW8Num52z1">
    <w:name w:val="WW8Num52z1"/>
    <w:qFormat/>
    <w:rPr>
      <w:rFonts w:ascii="Wingdings" w:hAnsi="Wingdings" w:cs="Wingdings"/>
      <w:sz w:val="20"/>
    </w:rPr>
  </w:style>
  <w:style w:type="character" w:styleId="WW8Num53z0">
    <w:name w:val="WW8Num53z0"/>
    <w:qFormat/>
    <w:rPr>
      <w:rFonts w:ascii="Courier New" w:hAnsi="Courier New" w:cs="Courier New"/>
      <w:color w:val="005DAB"/>
      <w:szCs w:val="24"/>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3z3">
    <w:name w:val="WW8Num53z3"/>
    <w:qFormat/>
    <w:rPr>
      <w:rFonts w:ascii="Symbol" w:hAnsi="Symbol" w:cs="Symbol"/>
    </w:rPr>
  </w:style>
  <w:style w:type="character" w:styleId="WW8Num54z0">
    <w:name w:val="WW8Num54z0"/>
    <w:qFormat/>
    <w:rPr>
      <w:rFonts w:ascii="Courier New" w:hAnsi="Courier New" w:cs="Courier New"/>
    </w:rPr>
  </w:style>
  <w:style w:type="character" w:styleId="WW8Num54z2">
    <w:name w:val="WW8Num54z2"/>
    <w:qFormat/>
    <w:rPr>
      <w:rFonts w:ascii="Wingdings" w:hAnsi="Wingdings" w:cs="Wingdings"/>
    </w:rPr>
  </w:style>
  <w:style w:type="character" w:styleId="WW8Num54z3">
    <w:name w:val="WW8Num54z3"/>
    <w:qFormat/>
    <w:rPr>
      <w:rFonts w:ascii="Symbol" w:hAnsi="Symbol" w:cs="Symbol"/>
    </w:rPr>
  </w:style>
  <w:style w:type="character" w:styleId="WW8Num55z0">
    <w:name w:val="WW8Num55z0"/>
    <w:qFormat/>
    <w:rPr>
      <w:rFonts w:ascii="Courier New" w:hAnsi="Courier New" w:cs="Courier New"/>
    </w:rPr>
  </w:style>
  <w:style w:type="character" w:styleId="WW8Num55z2">
    <w:name w:val="WW8Num55z2"/>
    <w:qFormat/>
    <w:rPr>
      <w:rFonts w:ascii="Wingdings" w:hAnsi="Wingdings" w:cs="Wingdings"/>
    </w:rPr>
  </w:style>
  <w:style w:type="character" w:styleId="WW8Num55z3">
    <w:name w:val="WW8Num55z3"/>
    <w:qFormat/>
    <w:rPr>
      <w:rFonts w:ascii="Symbol" w:hAnsi="Symbol" w:cs="Symbol"/>
    </w:rPr>
  </w:style>
  <w:style w:type="character" w:styleId="WW8Num56z0">
    <w:name w:val="WW8Num56z0"/>
    <w:qFormat/>
    <w:rPr>
      <w:rFonts w:ascii="Wingdings" w:hAnsi="Wingdings" w:cs="Wingdings"/>
      <w:color w:val="005DAB"/>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6z3">
    <w:name w:val="WW8Num56z3"/>
    <w:qFormat/>
    <w:rPr>
      <w:rFonts w:ascii="Symbol" w:hAnsi="Symbol" w:cs="Symbol"/>
    </w:rPr>
  </w:style>
  <w:style w:type="character" w:styleId="Standardnpsmoodstavce">
    <w:name w:val="Standardní písmo odstavce"/>
    <w:qFormat/>
    <w:rPr/>
  </w:style>
  <w:style w:type="character" w:styleId="FootnoteCharacters">
    <w:name w:val="Footnote Characters"/>
    <w:basedOn w:val="Standardnpsmoodstavce"/>
    <w:qFormat/>
    <w:rPr>
      <w:vertAlign w:val="superscript"/>
    </w:rPr>
  </w:style>
  <w:style w:type="character" w:styleId="PageNumber">
    <w:name w:val="Page Number"/>
    <w:basedOn w:val="Standardnpsmoodstavce"/>
    <w:rPr/>
  </w:style>
  <w:style w:type="character" w:styleId="Odkaznakoment">
    <w:name w:val="Odkaz na komentář"/>
    <w:basedOn w:val="Standardnpsmoodstavce"/>
    <w:qFormat/>
    <w:rPr>
      <w:sz w:val="16"/>
      <w:szCs w:val="16"/>
    </w:rPr>
  </w:style>
  <w:style w:type="character" w:styleId="InternetLink">
    <w:name w:val="Internet Link"/>
    <w:basedOn w:val="Standardnpsmoodstavce"/>
    <w:rPr>
      <w:color w:val="0000FF"/>
      <w:u w:val="single"/>
    </w:rPr>
  </w:style>
  <w:style w:type="character" w:styleId="Platne1">
    <w:name w:val="platne1"/>
    <w:basedOn w:val="Standardnpsmoodstavce"/>
    <w:qFormat/>
    <w:rPr/>
  </w:style>
  <w:style w:type="character" w:styleId="StanoviskotextChar">
    <w:name w:val="Stanovisko text Char"/>
    <w:basedOn w:val="Standardnpsmoodstavce"/>
    <w:qFormat/>
    <w:rPr>
      <w:rFonts w:ascii="Verdana" w:hAnsi="Verdana" w:cs="Verdana"/>
      <w:lang w:val="cs-CZ" w:bidi="ar-SA"/>
    </w:rPr>
  </w:style>
  <w:style w:type="character" w:styleId="StrongEmphasis">
    <w:name w:val="Strong Emphasis"/>
    <w:basedOn w:val="Standardnpsmoodstavce"/>
    <w:qFormat/>
    <w:rPr>
      <w:b/>
      <w:bCs/>
    </w:rPr>
  </w:style>
  <w:style w:type="character" w:styleId="NkapitolaChar">
    <w:name w:val="N - kapitola Char"/>
    <w:basedOn w:val="Standardnpsmoodstavce"/>
    <w:qFormat/>
    <w:rPr>
      <w:rFonts w:cs="Arial"/>
      <w:b/>
      <w:sz w:val="28"/>
      <w:lang w:val="cs-CZ" w:bidi="ar-SA"/>
    </w:rPr>
  </w:style>
  <w:style w:type="character" w:styleId="Ra">
    <w:name w:val="ra"/>
    <w:basedOn w:val="Standardnpsmoodstavce"/>
    <w:qFormat/>
    <w:rPr/>
  </w:style>
  <w:style w:type="character" w:styleId="Tl">
    <w:name w:val="tl"/>
    <w:basedOn w:val="Standardnpsmoodstavce"/>
    <w:qFormat/>
    <w:rPr/>
  </w:style>
  <w:style w:type="character" w:styleId="Pozadih1">
    <w:name w:val="pozadi-h1"/>
    <w:basedOn w:val="Standardnpsmoodstavce"/>
    <w:qFormat/>
    <w:rPr/>
  </w:style>
  <w:style w:type="character" w:styleId="FontStyle12">
    <w:name w:val="Font Style12"/>
    <w:basedOn w:val="Standardnpsmoodstavce"/>
    <w:qFormat/>
    <w:rPr>
      <w:rFonts w:ascii="Cambria" w:hAnsi="Cambria" w:cs="Cambria"/>
      <w:b/>
      <w:bCs/>
      <w:sz w:val="10"/>
      <w:szCs w:val="10"/>
    </w:rPr>
  </w:style>
  <w:style w:type="character" w:styleId="FontStyle13">
    <w:name w:val="Font Style13"/>
    <w:basedOn w:val="Standardnpsmoodstavce"/>
    <w:qFormat/>
    <w:rPr>
      <w:rFonts w:ascii="Arial" w:hAnsi="Arial" w:cs="Arial"/>
      <w:i/>
      <w:iCs/>
      <w:sz w:val="10"/>
      <w:szCs w:val="10"/>
    </w:rPr>
  </w:style>
  <w:style w:type="character" w:styleId="FontStyle14">
    <w:name w:val="Font Style14"/>
    <w:basedOn w:val="Standardnpsmoodstavce"/>
    <w:qFormat/>
    <w:rPr>
      <w:rFonts w:ascii="Arial" w:hAnsi="Arial" w:cs="Arial"/>
      <w:b/>
      <w:bCs/>
      <w:sz w:val="8"/>
      <w:szCs w:val="8"/>
    </w:rPr>
  </w:style>
  <w:style w:type="character" w:styleId="FontStyle15">
    <w:name w:val="Font Style15"/>
    <w:basedOn w:val="Standardnpsmoodstavce"/>
    <w:qFormat/>
    <w:rPr>
      <w:rFonts w:ascii="Arial" w:hAnsi="Arial" w:cs="Arial"/>
      <w:sz w:val="16"/>
      <w:szCs w:val="16"/>
    </w:rPr>
  </w:style>
  <w:style w:type="character" w:styleId="FontStyle16">
    <w:name w:val="Font Style16"/>
    <w:basedOn w:val="Standardnpsmoodstavce"/>
    <w:qFormat/>
    <w:rPr>
      <w:rFonts w:ascii="Arial" w:hAnsi="Arial" w:cs="Arial"/>
      <w:b/>
      <w:bCs/>
      <w:i/>
      <w:iCs/>
      <w:sz w:val="18"/>
      <w:szCs w:val="18"/>
    </w:rPr>
  </w:style>
  <w:style w:type="character" w:styleId="FontStyle17">
    <w:name w:val="Font Style17"/>
    <w:basedOn w:val="Standardnpsmoodstavce"/>
    <w:qFormat/>
    <w:rPr>
      <w:rFonts w:ascii="Arial" w:hAnsi="Arial" w:cs="Arial"/>
      <w:sz w:val="18"/>
      <w:szCs w:val="18"/>
    </w:rPr>
  </w:style>
  <w:style w:type="character" w:styleId="FontStyle18">
    <w:name w:val="Font Style18"/>
    <w:basedOn w:val="Standardnpsmoodstavce"/>
    <w:qFormat/>
    <w:rPr>
      <w:rFonts w:ascii="Arial" w:hAnsi="Arial" w:cs="Arial"/>
      <w:b/>
      <w:bCs/>
      <w:sz w:val="18"/>
      <w:szCs w:val="18"/>
    </w:rPr>
  </w:style>
  <w:style w:type="character" w:styleId="FontStyle129">
    <w:name w:val="Font Style129"/>
    <w:basedOn w:val="Standardnpsmoodstavce"/>
    <w:qFormat/>
    <w:rPr>
      <w:rFonts w:ascii="Arial" w:hAnsi="Arial" w:cs="Arial"/>
      <w:sz w:val="18"/>
      <w:szCs w:val="18"/>
    </w:rPr>
  </w:style>
  <w:style w:type="character" w:styleId="FontStyle131">
    <w:name w:val="Font Style131"/>
    <w:basedOn w:val="Standardnpsmoodstavce"/>
    <w:qFormat/>
    <w:rPr>
      <w:rFonts w:ascii="Arial" w:hAnsi="Arial" w:cs="Arial"/>
      <w:b/>
      <w:bCs/>
      <w:sz w:val="18"/>
      <w:szCs w:val="18"/>
    </w:rPr>
  </w:style>
  <w:style w:type="character" w:styleId="FontStyle132">
    <w:name w:val="Font Style132"/>
    <w:basedOn w:val="Standardnpsmoodstavce"/>
    <w:qFormat/>
    <w:rPr>
      <w:rFonts w:ascii="Arial" w:hAnsi="Arial" w:cs="Arial"/>
      <w:sz w:val="16"/>
      <w:szCs w:val="16"/>
    </w:rPr>
  </w:style>
  <w:style w:type="character" w:styleId="FontStyle105">
    <w:name w:val="Font Style105"/>
    <w:basedOn w:val="Standardnpsmoodstavce"/>
    <w:qFormat/>
    <w:rPr>
      <w:rFonts w:ascii="Arial" w:hAnsi="Arial" w:cs="Arial"/>
      <w:smallCaps/>
      <w:sz w:val="18"/>
      <w:szCs w:val="18"/>
    </w:rPr>
  </w:style>
  <w:style w:type="character" w:styleId="FontStyle119">
    <w:name w:val="Font Style119"/>
    <w:basedOn w:val="Standardnpsmoodstavce"/>
    <w:qFormat/>
    <w:rPr>
      <w:rFonts w:ascii="Arial" w:hAnsi="Arial" w:cs="Arial"/>
      <w:b/>
      <w:bCs/>
      <w:i/>
      <w:iCs/>
      <w:sz w:val="18"/>
      <w:szCs w:val="18"/>
    </w:rPr>
  </w:style>
  <w:style w:type="character" w:styleId="Standardnpsmoodstavce1">
    <w:name w:val="Standardní písmo odstavce1"/>
    <w:qFormat/>
    <w:rPr/>
  </w:style>
  <w:style w:type="character" w:styleId="Znakypropoznmkupodarou">
    <w:name w:val="Znaky pro poznámku pod čarou"/>
    <w:basedOn w:val="Standardnpsmoodstavce1"/>
    <w:qFormat/>
    <w:rPr>
      <w:vertAlign w:val="superscript"/>
    </w:rPr>
  </w:style>
  <w:style w:type="character" w:styleId="Znakapoznpodarou1">
    <w:name w:val="Značka pozn. pod čarou1"/>
    <w:qFormat/>
    <w:rPr>
      <w:vertAlign w:val="superscript"/>
    </w:rPr>
  </w:style>
  <w:style w:type="character" w:styleId="Odkaznakoment1">
    <w:name w:val="Odkaz na komentář1"/>
    <w:basedOn w:val="Standardnpsmoodstavce1"/>
    <w:qFormat/>
    <w:rPr>
      <w:sz w:val="16"/>
      <w:szCs w:val="16"/>
    </w:rPr>
  </w:style>
  <w:style w:type="character" w:styleId="Stanovisko4Char">
    <w:name w:val="Stanovisko 4 Char"/>
    <w:basedOn w:val="Standardnpsmoodstavce"/>
    <w:qFormat/>
    <w:rPr>
      <w:rFonts w:ascii="Verdana" w:hAnsi="Verdana" w:cs="Verdana"/>
      <w:b/>
      <w:bCs/>
      <w:color w:val="005DAB"/>
      <w:position w:val="-23"/>
      <w:lang w:val="cs-CZ" w:bidi="ar-SA"/>
    </w:rPr>
  </w:style>
  <w:style w:type="character" w:styleId="Stanovisko5Char">
    <w:name w:val="Stanovisko 5 Char"/>
    <w:basedOn w:val="Stanovisko4Char"/>
    <w:qFormat/>
    <w:rPr/>
  </w:style>
  <w:style w:type="character" w:styleId="Emphasis">
    <w:name w:val="Emphasis"/>
    <w:basedOn w:val="Standardnpsmoodstavce"/>
    <w:qFormat/>
    <w:rPr>
      <w:i/>
      <w:iCs/>
    </w:rPr>
  </w:style>
  <w:style w:type="character" w:styleId="Popis1">
    <w:name w:val="popis1"/>
    <w:basedOn w:val="Standardnpsmoodstavce"/>
    <w:qFormat/>
    <w:rPr>
      <w:vanish w:val="false"/>
    </w:rPr>
  </w:style>
  <w:style w:type="character" w:styleId="CharChar6">
    <w:name w:val=" Char Char6"/>
    <w:qFormat/>
    <w:rPr>
      <w:lang w:val="cs-CZ" w:bidi="ar-SA"/>
    </w:rPr>
  </w:style>
  <w:style w:type="character" w:styleId="CharChar1">
    <w:name w:val=" Char Char1"/>
    <w:qFormat/>
    <w:rPr/>
  </w:style>
  <w:style w:type="character" w:styleId="FontStyle11">
    <w:name w:val="Font Style11"/>
    <w:basedOn w:val="Standardnpsmoodstavce"/>
    <w:qFormat/>
    <w:rPr>
      <w:rFonts w:ascii="Times New Roman" w:hAnsi="Times New Roman" w:cs="Times New Roman"/>
      <w:b/>
      <w:bCs/>
      <w:sz w:val="22"/>
      <w:szCs w:val="22"/>
    </w:rPr>
  </w:style>
  <w:style w:type="character" w:styleId="VisitedInternetLink">
    <w:name w:val="Visited Internet Link"/>
    <w:basedOn w:val="Standardnpsmoodstavce"/>
    <w:rPr>
      <w:color w:val="800080"/>
      <w:u w:val="single"/>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Subtitle"/>
    <w:qFormat/>
    <w:pPr>
      <w:suppressAutoHyphens w:val="true"/>
      <w:jc w:val="center"/>
    </w:pPr>
    <w:rPr>
      <w:b/>
      <w:bCs/>
      <w:sz w:val="28"/>
      <w:szCs w:val="28"/>
    </w:rPr>
  </w:style>
  <w:style w:type="paragraph" w:styleId="TextBody">
    <w:name w:val="Body Text"/>
    <w:basedOn w:val="Normal"/>
    <w:pPr>
      <w:jc w:val="both"/>
    </w:pPr>
    <w:rPr>
      <w:sz w:val="28"/>
      <w:szCs w:val="20"/>
    </w:rPr>
  </w:style>
  <w:style w:type="paragraph" w:styleId="List">
    <w:name w:val="List"/>
    <w:basedOn w:val="Normal"/>
    <w:pPr>
      <w:widowControl w:val="false"/>
      <w:suppressAutoHyphens w:val="true"/>
      <w:overflowPunct w:val="false"/>
      <w:autoSpaceDE w:val="false"/>
      <w:ind w:left="283" w:hanging="283"/>
      <w:textAlignment w:val="baseline"/>
    </w:pPr>
    <w:rPr>
      <w:rFonts w:ascii="Arial" w:hAnsi="Arial" w:cs="Arial"/>
      <w:sz w:val="22"/>
      <w:szCs w:val="20"/>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rPr>
      <w:sz w:val="20"/>
      <w:szCs w:val="20"/>
    </w:rPr>
  </w:style>
  <w:style w:type="paragraph" w:styleId="Footer">
    <w:name w:val="Footer"/>
    <w:basedOn w:val="Normal"/>
    <w:pPr>
      <w:tabs>
        <w:tab w:val="center" w:pos="4536" w:leader="none"/>
        <w:tab w:val="right" w:pos="9072" w:leader="none"/>
      </w:tabs>
    </w:pPr>
    <w:rPr/>
  </w:style>
  <w:style w:type="paragraph" w:styleId="Textkomente">
    <w:name w:val="Text komentáře"/>
    <w:basedOn w:val="Normal"/>
    <w:qFormat/>
    <w:pPr/>
    <w:rPr>
      <w:sz w:val="20"/>
      <w:szCs w:val="20"/>
    </w:rPr>
  </w:style>
  <w:style w:type="paragraph" w:styleId="Pedmtkomente">
    <w:name w:val="Předmět komentáře"/>
    <w:basedOn w:val="Textkomente"/>
    <w:next w:val="Textkomente"/>
    <w:qFormat/>
    <w:pPr/>
    <w:rPr>
      <w:b/>
      <w:bCs/>
    </w:rPr>
  </w:style>
  <w:style w:type="paragraph" w:styleId="Textbubliny">
    <w:name w:val="Text bubliny"/>
    <w:basedOn w:val="Normal"/>
    <w:qFormat/>
    <w:pPr/>
    <w:rPr>
      <w:rFonts w:ascii="Tahoma" w:hAnsi="Tahoma" w:cs="Tahoma"/>
      <w:sz w:val="16"/>
      <w:szCs w:val="16"/>
    </w:rPr>
  </w:style>
  <w:style w:type="paragraph" w:styleId="Header">
    <w:name w:val="Header"/>
    <w:basedOn w:val="Normal"/>
    <w:pPr>
      <w:tabs>
        <w:tab w:val="center" w:pos="4536" w:leader="none"/>
        <w:tab w:val="right" w:pos="9072" w:leader="none"/>
      </w:tabs>
    </w:pPr>
    <w:rPr/>
  </w:style>
  <w:style w:type="paragraph" w:styleId="Verdanamodra">
    <w:name w:val="verdana modra"/>
    <w:basedOn w:val="Normal"/>
    <w:qFormat/>
    <w:pPr>
      <w:spacing w:lineRule="auto" w:line="288"/>
      <w:jc w:val="both"/>
    </w:pPr>
    <w:rPr>
      <w:rFonts w:ascii="Verdana" w:hAnsi="Verdana" w:cs="Verdana"/>
      <w:b/>
      <w:color w:val="0000FF"/>
      <w:sz w:val="26"/>
      <w:szCs w:val="26"/>
    </w:rPr>
  </w:style>
  <w:style w:type="paragraph" w:styleId="Verdanaodrazka">
    <w:name w:val="verdana_odrazka"/>
    <w:basedOn w:val="Normal"/>
    <w:qFormat/>
    <w:pPr>
      <w:spacing w:lineRule="auto" w:line="288"/>
      <w:jc w:val="both"/>
    </w:pPr>
    <w:rPr>
      <w:rFonts w:ascii="Verdana" w:hAnsi="Verdana" w:cs="Verdana"/>
      <w:b/>
      <w:color w:val="0000FF"/>
      <w:sz w:val="22"/>
      <w:szCs w:val="22"/>
    </w:rPr>
  </w:style>
  <w:style w:type="paragraph" w:styleId="Contents1">
    <w:name w:val="TOC 1"/>
    <w:basedOn w:val="Normal"/>
    <w:next w:val="Normal"/>
    <w:pPr>
      <w:tabs>
        <w:tab w:val="left" w:pos="720" w:leader="none"/>
        <w:tab w:val="right" w:pos="9062" w:leader="dot"/>
      </w:tabs>
      <w:spacing w:before="60" w:after="0"/>
    </w:pPr>
    <w:rPr>
      <w:b/>
      <w:lang w:val="en-US" w:eastAsia="en-US"/>
    </w:rPr>
  </w:style>
  <w:style w:type="paragraph" w:styleId="Contents2">
    <w:name w:val="TOC 2"/>
    <w:basedOn w:val="Normal"/>
    <w:next w:val="Normal"/>
    <w:pPr>
      <w:ind w:left="240" w:hanging="0"/>
    </w:pPr>
    <w:rPr/>
  </w:style>
  <w:style w:type="paragraph" w:styleId="Ststanoviska">
    <w:name w:val="Část stanoviska"/>
    <w:basedOn w:val="Normal"/>
    <w:next w:val="Normal"/>
    <w:qFormat/>
    <w:pPr>
      <w:spacing w:before="0" w:after="240"/>
    </w:pPr>
    <w:rPr>
      <w:rFonts w:ascii="Tahoma" w:hAnsi="Tahoma" w:cs="Tahoma"/>
      <w:b/>
    </w:rPr>
  </w:style>
  <w:style w:type="paragraph" w:styleId="Normlnweb">
    <w:name w:val="Normální (web)"/>
    <w:basedOn w:val="Normal"/>
    <w:qFormat/>
    <w:pPr>
      <w:spacing w:before="280" w:after="280"/>
    </w:pPr>
    <w:rPr/>
  </w:style>
  <w:style w:type="paragraph" w:styleId="Zkladntext2">
    <w:name w:val="Základní text 2"/>
    <w:basedOn w:val="Normal"/>
    <w:qFormat/>
    <w:pPr>
      <w:spacing w:lineRule="auto" w:line="480" w:before="0" w:after="120"/>
    </w:pPr>
    <w:rPr>
      <w:sz w:val="20"/>
      <w:szCs w:val="20"/>
    </w:rPr>
  </w:style>
  <w:style w:type="paragraph" w:styleId="Normlnodsazen">
    <w:name w:val="Normální odsazený"/>
    <w:basedOn w:val="Normal"/>
    <w:qFormat/>
    <w:pPr>
      <w:ind w:left="567" w:hanging="0"/>
    </w:pPr>
    <w:rPr>
      <w:rFonts w:ascii="Book Antiqua" w:hAnsi="Book Antiqua" w:cs="Book Antiqua"/>
      <w:sz w:val="20"/>
      <w:szCs w:val="20"/>
    </w:rPr>
  </w:style>
  <w:style w:type="paragraph" w:styleId="Stanovisko1">
    <w:name w:val="Stanovisko 1"/>
    <w:basedOn w:val="Ststanoviska"/>
    <w:qFormat/>
    <w:pPr>
      <w:numPr>
        <w:ilvl w:val="0"/>
        <w:numId w:val="2"/>
      </w:numPr>
      <w:spacing w:before="240" w:after="240"/>
      <w:jc w:val="both"/>
    </w:pPr>
    <w:rPr>
      <w:rFonts w:ascii="Verdana" w:hAnsi="Verdana" w:cs="Verdana"/>
      <w:color w:val="1F497D"/>
      <w:sz w:val="28"/>
      <w:szCs w:val="28"/>
    </w:rPr>
  </w:style>
  <w:style w:type="paragraph" w:styleId="Stanovisko2">
    <w:name w:val="Stanovisko 2"/>
    <w:basedOn w:val="Verdanaodrazka"/>
    <w:qFormat/>
    <w:pPr>
      <w:numPr>
        <w:ilvl w:val="0"/>
        <w:numId w:val="2"/>
      </w:numPr>
      <w:spacing w:before="240" w:after="240"/>
    </w:pPr>
    <w:rPr>
      <w:color w:val="005DAB"/>
      <w:sz w:val="24"/>
      <w:szCs w:val="20"/>
    </w:rPr>
  </w:style>
  <w:style w:type="paragraph" w:styleId="Stanovisko3">
    <w:name w:val="Stanovisko 3"/>
    <w:basedOn w:val="Normal"/>
    <w:qFormat/>
    <w:pPr>
      <w:numPr>
        <w:ilvl w:val="0"/>
        <w:numId w:val="2"/>
      </w:numPr>
      <w:spacing w:lineRule="auto" w:line="360"/>
      <w:jc w:val="both"/>
    </w:pPr>
    <w:rPr>
      <w:rFonts w:ascii="Verdana" w:hAnsi="Verdana" w:cs="Arial"/>
      <w:b/>
      <w:color w:val="005DAB"/>
      <w:sz w:val="22"/>
      <w:szCs w:val="20"/>
    </w:rPr>
  </w:style>
  <w:style w:type="paragraph" w:styleId="Stanovisko4">
    <w:name w:val="Stanovisko 4"/>
    <w:basedOn w:val="Normal"/>
    <w:next w:val="Text"/>
    <w:qFormat/>
    <w:pPr>
      <w:keepNext/>
      <w:shd w:fill="FFFFFF" w:val="clear"/>
      <w:spacing w:before="180" w:after="120"/>
    </w:pPr>
    <w:rPr>
      <w:rFonts w:ascii="Verdana" w:hAnsi="Verdana" w:cs="Verdana"/>
      <w:b/>
      <w:bCs/>
      <w:color w:val="005DAB"/>
      <w:position w:val="-19"/>
      <w:sz w:val="20"/>
      <w:szCs w:val="20"/>
    </w:rPr>
  </w:style>
  <w:style w:type="paragraph" w:styleId="Stanovisko5">
    <w:name w:val="Stanovisko 5"/>
    <w:basedOn w:val="Stanovisko4"/>
    <w:qFormat/>
    <w:pPr/>
    <w:rPr>
      <w:b w:val="false"/>
      <w:bCs w:val="false"/>
    </w:rPr>
  </w:style>
  <w:style w:type="paragraph" w:styleId="Contents3">
    <w:name w:val="TOC 3"/>
    <w:basedOn w:val="Normal"/>
    <w:next w:val="Normal"/>
    <w:pPr>
      <w:tabs>
        <w:tab w:val="right" w:pos="9062" w:leader="dot"/>
      </w:tabs>
      <w:ind w:left="480" w:hanging="0"/>
    </w:pPr>
    <w:rPr>
      <w:rFonts w:ascii="Verdana" w:hAnsi="Verdana" w:cs="Verdana"/>
      <w:sz w:val="20"/>
      <w:szCs w:val="20"/>
      <w:lang w:val="en-US" w:eastAsia="en-US"/>
    </w:rPr>
  </w:style>
  <w:style w:type="paragraph" w:styleId="Contents4">
    <w:name w:val="TOC 4"/>
    <w:basedOn w:val="Normal"/>
    <w:next w:val="Normal"/>
    <w:pPr>
      <w:ind w:left="720" w:hanging="0"/>
    </w:pPr>
    <w:rPr/>
  </w:style>
  <w:style w:type="paragraph" w:styleId="Contents5">
    <w:name w:val="TOC 5"/>
    <w:basedOn w:val="Normal"/>
    <w:next w:val="Normal"/>
    <w:pPr>
      <w:ind w:left="960" w:hanging="0"/>
    </w:pPr>
    <w:rPr/>
  </w:style>
  <w:style w:type="paragraph" w:styleId="Char">
    <w:name w:val=" Char"/>
    <w:basedOn w:val="Normal"/>
    <w:qFormat/>
    <w:pPr>
      <w:spacing w:lineRule="exact" w:line="240" w:before="0" w:after="160"/>
    </w:pPr>
    <w:rPr>
      <w:rFonts w:ascii="Verdana" w:hAnsi="Verdana" w:cs="Verdana"/>
      <w:sz w:val="20"/>
      <w:szCs w:val="20"/>
      <w:lang w:val="en-US"/>
    </w:rPr>
  </w:style>
  <w:style w:type="paragraph" w:styleId="Text">
    <w:name w:val="text"/>
    <w:basedOn w:val="Normal"/>
    <w:qFormat/>
    <w:pPr>
      <w:spacing w:before="280" w:after="280"/>
    </w:pPr>
    <w:rPr>
      <w:rFonts w:ascii="Verdana" w:hAnsi="Verdana" w:cs="Verdana"/>
      <w:color w:val="000000"/>
      <w:sz w:val="18"/>
      <w:szCs w:val="18"/>
    </w:rPr>
  </w:style>
  <w:style w:type="paragraph" w:styleId="NormlnSoD">
    <w:name w:val="Normální SoD"/>
    <w:basedOn w:val="Normal"/>
    <w:qFormat/>
    <w:pPr>
      <w:overflowPunct w:val="false"/>
      <w:autoSpaceDE w:val="false"/>
      <w:jc w:val="both"/>
      <w:textAlignment w:val="baseline"/>
    </w:pPr>
    <w:rPr>
      <w:rFonts w:ascii="Arial" w:hAnsi="Arial" w:cs="Arial"/>
      <w:sz w:val="20"/>
      <w:szCs w:val="20"/>
    </w:rPr>
  </w:style>
  <w:style w:type="paragraph" w:styleId="Nkapitola">
    <w:name w:val="N - kapitola"/>
    <w:basedOn w:val="Normal"/>
    <w:qFormat/>
    <w:pPr/>
    <w:rPr>
      <w:rFonts w:cs="Arial"/>
      <w:b/>
      <w:sz w:val="28"/>
      <w:szCs w:val="20"/>
    </w:rPr>
  </w:style>
  <w:style w:type="paragraph" w:styleId="Nnadpis12">
    <w:name w:val="N - nadpis 12"/>
    <w:basedOn w:val="Text"/>
    <w:qFormat/>
    <w:pPr>
      <w:spacing w:before="60" w:after="0"/>
      <w:jc w:val="both"/>
    </w:pPr>
    <w:rPr>
      <w:rFonts w:ascii="Times New Roman" w:hAnsi="Times New Roman" w:cs="Times New Roman"/>
      <w:b/>
      <w:sz w:val="26"/>
      <w:szCs w:val="23"/>
    </w:rPr>
  </w:style>
  <w:style w:type="paragraph" w:styleId="Nad1">
    <w:name w:val="N - ad.1)"/>
    <w:basedOn w:val="Normal"/>
    <w:qFormat/>
    <w:pPr>
      <w:jc w:val="both"/>
    </w:pPr>
    <w:rPr>
      <w:rFonts w:cs="Arial"/>
      <w:b/>
      <w:bCs/>
      <w:shadow/>
      <w:color w:val="0000FF"/>
      <w:sz w:val="25"/>
      <w:szCs w:val="25"/>
    </w:rPr>
  </w:style>
  <w:style w:type="paragraph" w:styleId="Text1">
    <w:name w:val="Text"/>
    <w:qFormat/>
    <w:pPr>
      <w:widowControl/>
    </w:pPr>
    <w:rPr>
      <w:rFonts w:ascii="Times New Roman" w:hAnsi="Times New Roman" w:eastAsia="Times New Roman" w:cs="Times New Roman"/>
      <w:color w:val="auto"/>
      <w:sz w:val="22"/>
      <w:szCs w:val="20"/>
      <w:lang w:val="en-GB" w:bidi="ar-SA" w:eastAsia="zh-CN"/>
    </w:rPr>
  </w:style>
  <w:style w:type="paragraph" w:styleId="Nzevstanoviska">
    <w:name w:val="Název stanoviska"/>
    <w:basedOn w:val="Normal"/>
    <w:next w:val="Normal"/>
    <w:qFormat/>
    <w:pPr>
      <w:spacing w:before="0" w:after="240"/>
      <w:jc w:val="both"/>
    </w:pPr>
    <w:rPr>
      <w:rFonts w:ascii="Tahoma" w:hAnsi="Tahoma" w:cs="Tahoma"/>
      <w:b/>
    </w:rPr>
  </w:style>
  <w:style w:type="paragraph" w:styleId="Style11">
    <w:name w:val="Style1"/>
    <w:basedOn w:val="Normal"/>
    <w:qFormat/>
    <w:pPr>
      <w:widowControl w:val="false"/>
      <w:autoSpaceDE w:val="false"/>
    </w:pPr>
    <w:rPr>
      <w:rFonts w:ascii="Arial" w:hAnsi="Arial" w:cs="Arial"/>
    </w:rPr>
  </w:style>
  <w:style w:type="paragraph" w:styleId="Style21">
    <w:name w:val="Style2"/>
    <w:basedOn w:val="Normal"/>
    <w:qFormat/>
    <w:pPr>
      <w:widowControl w:val="false"/>
      <w:autoSpaceDE w:val="false"/>
      <w:spacing w:lineRule="exact" w:line="290"/>
      <w:jc w:val="both"/>
    </w:pPr>
    <w:rPr>
      <w:rFonts w:ascii="Arial" w:hAnsi="Arial" w:cs="Arial"/>
    </w:rPr>
  </w:style>
  <w:style w:type="paragraph" w:styleId="Style31">
    <w:name w:val="Style3"/>
    <w:basedOn w:val="Normal"/>
    <w:qFormat/>
    <w:pPr>
      <w:widowControl w:val="false"/>
      <w:autoSpaceDE w:val="false"/>
    </w:pPr>
    <w:rPr>
      <w:rFonts w:ascii="Arial" w:hAnsi="Arial" w:cs="Arial"/>
    </w:rPr>
  </w:style>
  <w:style w:type="paragraph" w:styleId="Style5">
    <w:name w:val="Style5"/>
    <w:basedOn w:val="Normal"/>
    <w:qFormat/>
    <w:pPr>
      <w:widowControl w:val="false"/>
      <w:autoSpaceDE w:val="false"/>
    </w:pPr>
    <w:rPr>
      <w:rFonts w:ascii="Arial" w:hAnsi="Arial" w:cs="Arial"/>
    </w:rPr>
  </w:style>
  <w:style w:type="paragraph" w:styleId="Style7">
    <w:name w:val="Style7"/>
    <w:basedOn w:val="Normal"/>
    <w:qFormat/>
    <w:pPr>
      <w:widowControl w:val="false"/>
      <w:autoSpaceDE w:val="false"/>
    </w:pPr>
    <w:rPr>
      <w:rFonts w:ascii="Arial" w:hAnsi="Arial" w:cs="Arial"/>
    </w:rPr>
  </w:style>
  <w:style w:type="paragraph" w:styleId="Default">
    <w:name w:val="Default"/>
    <w:qFormat/>
    <w:pPr>
      <w:widowControl/>
      <w:autoSpaceDE w:val="false"/>
    </w:pPr>
    <w:rPr>
      <w:rFonts w:ascii="Calibri" w:hAnsi="Calibri" w:eastAsia="Batang;바탕" w:cs="Calibri"/>
      <w:color w:val="000000"/>
      <w:sz w:val="24"/>
      <w:szCs w:val="24"/>
      <w:lang w:val="cs-CZ" w:eastAsia="ko-KR" w:bidi="ar-SA"/>
    </w:rPr>
  </w:style>
  <w:style w:type="paragraph" w:styleId="Style39">
    <w:name w:val="Style39"/>
    <w:basedOn w:val="Normal"/>
    <w:qFormat/>
    <w:pPr>
      <w:widowControl w:val="false"/>
      <w:autoSpaceDE w:val="false"/>
      <w:spacing w:lineRule="exact" w:line="219"/>
      <w:jc w:val="both"/>
    </w:pPr>
    <w:rPr>
      <w:rFonts w:ascii="Arial" w:hAnsi="Arial" w:eastAsia="Batang;바탕" w:cs="Arial"/>
      <w:lang w:eastAsia="ko-KR"/>
    </w:rPr>
  </w:style>
  <w:style w:type="paragraph" w:styleId="Style43">
    <w:name w:val="Style43"/>
    <w:basedOn w:val="Normal"/>
    <w:qFormat/>
    <w:pPr>
      <w:widowControl w:val="false"/>
      <w:autoSpaceDE w:val="false"/>
      <w:spacing w:lineRule="exact" w:line="219"/>
      <w:ind w:hanging="350"/>
      <w:jc w:val="both"/>
    </w:pPr>
    <w:rPr>
      <w:rFonts w:ascii="Arial" w:hAnsi="Arial" w:eastAsia="Batang;바탕" w:cs="Arial"/>
      <w:lang w:eastAsia="ko-KR"/>
    </w:rPr>
  </w:style>
  <w:style w:type="paragraph" w:styleId="Style46">
    <w:name w:val="Style46"/>
    <w:basedOn w:val="Normal"/>
    <w:qFormat/>
    <w:pPr>
      <w:widowControl w:val="false"/>
      <w:autoSpaceDE w:val="false"/>
      <w:spacing w:lineRule="exact" w:line="215"/>
      <w:jc w:val="both"/>
    </w:pPr>
    <w:rPr>
      <w:rFonts w:ascii="Arial" w:hAnsi="Arial" w:eastAsia="Batang;바탕" w:cs="Arial"/>
      <w:lang w:eastAsia="ko-KR"/>
    </w:rPr>
  </w:style>
  <w:style w:type="paragraph" w:styleId="Style61">
    <w:name w:val="Style61"/>
    <w:basedOn w:val="Normal"/>
    <w:qFormat/>
    <w:pPr>
      <w:widowControl w:val="false"/>
      <w:autoSpaceDE w:val="false"/>
      <w:spacing w:lineRule="exact" w:line="219"/>
      <w:ind w:hanging="350"/>
    </w:pPr>
    <w:rPr>
      <w:rFonts w:ascii="Arial" w:hAnsi="Arial" w:eastAsia="Batang;바탕" w:cs="Arial"/>
      <w:lang w:eastAsia="ko-KR"/>
    </w:rPr>
  </w:style>
  <w:style w:type="paragraph" w:styleId="Style52">
    <w:name w:val="Style52"/>
    <w:basedOn w:val="Normal"/>
    <w:qFormat/>
    <w:pPr>
      <w:widowControl w:val="false"/>
      <w:autoSpaceDE w:val="false"/>
    </w:pPr>
    <w:rPr>
      <w:rFonts w:ascii="Arial" w:hAnsi="Arial" w:eastAsia="Batang;바탕" w:cs="Arial"/>
      <w:lang w:eastAsia="ko-KR"/>
    </w:rPr>
  </w:style>
  <w:style w:type="paragraph" w:styleId="Style72">
    <w:name w:val="Style72"/>
    <w:basedOn w:val="Normal"/>
    <w:qFormat/>
    <w:pPr>
      <w:widowControl w:val="false"/>
      <w:autoSpaceDE w:val="false"/>
    </w:pPr>
    <w:rPr>
      <w:rFonts w:ascii="Arial" w:hAnsi="Arial" w:eastAsia="Batang;바탕" w:cs="Arial"/>
      <w:lang w:eastAsia="ko-KR"/>
    </w:rPr>
  </w:style>
  <w:style w:type="paragraph" w:styleId="Nadpis">
    <w:name w:val="Nadpis"/>
    <w:basedOn w:val="Normal"/>
    <w:next w:val="TextBody"/>
    <w:qFormat/>
    <w:pPr>
      <w:keepNext/>
      <w:suppressAutoHyphens w:val="true"/>
      <w:spacing w:before="240" w:after="120"/>
    </w:pPr>
    <w:rPr>
      <w:rFonts w:ascii="Arial" w:hAnsi="Arial" w:eastAsia="SimSun;宋体" w:cs="Mangal"/>
      <w:sz w:val="28"/>
      <w:szCs w:val="28"/>
    </w:rPr>
  </w:style>
  <w:style w:type="paragraph" w:styleId="Popisek">
    <w:name w:val="Popisek"/>
    <w:basedOn w:val="Normal"/>
    <w:qFormat/>
    <w:pPr>
      <w:suppressLineNumbers/>
      <w:suppressAutoHyphens w:val="true"/>
      <w:spacing w:before="120" w:after="120"/>
    </w:pPr>
    <w:rPr>
      <w:rFonts w:cs="Mangal"/>
      <w:i/>
      <w:iCs/>
    </w:rPr>
  </w:style>
  <w:style w:type="paragraph" w:styleId="Rejstk">
    <w:name w:val="Rejstřík"/>
    <w:basedOn w:val="Normal"/>
    <w:qFormat/>
    <w:pPr>
      <w:suppressLineNumbers/>
      <w:suppressAutoHyphens w:val="true"/>
    </w:pPr>
    <w:rPr>
      <w:rFonts w:cs="Mangal"/>
      <w:sz w:val="20"/>
      <w:szCs w:val="20"/>
    </w:rPr>
  </w:style>
  <w:style w:type="paragraph" w:styleId="0">
    <w:name w:val="0"/>
    <w:basedOn w:val="Normal"/>
    <w:qFormat/>
    <w:pPr>
      <w:suppressAutoHyphens w:val="true"/>
      <w:ind w:firstLine="1134"/>
      <w:jc w:val="both"/>
    </w:pPr>
    <w:rPr>
      <w:sz w:val="26"/>
      <w:szCs w:val="20"/>
    </w:rPr>
  </w:style>
  <w:style w:type="paragraph" w:styleId="TextBodyIndent">
    <w:name w:val="Body Text Indent"/>
    <w:basedOn w:val="Normal"/>
    <w:pPr>
      <w:suppressAutoHyphens w:val="true"/>
      <w:ind w:firstLine="1134"/>
      <w:jc w:val="both"/>
    </w:pPr>
    <w:rPr>
      <w:sz w:val="26"/>
      <w:szCs w:val="20"/>
    </w:rPr>
  </w:style>
  <w:style w:type="paragraph" w:styleId="Zkladntextodsazen31">
    <w:name w:val="Základní text odsazený 31"/>
    <w:basedOn w:val="Normal"/>
    <w:qFormat/>
    <w:pPr>
      <w:suppressAutoHyphens w:val="true"/>
      <w:ind w:firstLine="1134"/>
      <w:jc w:val="both"/>
    </w:pPr>
    <w:rPr>
      <w:sz w:val="28"/>
      <w:szCs w:val="20"/>
    </w:rPr>
  </w:style>
  <w:style w:type="paragraph" w:styleId="Zkladntext21">
    <w:name w:val="Základní text 21"/>
    <w:basedOn w:val="Normal"/>
    <w:qFormat/>
    <w:pPr>
      <w:suppressAutoHyphens w:val="true"/>
      <w:jc w:val="both"/>
    </w:pPr>
    <w:rPr>
      <w:b/>
      <w:sz w:val="26"/>
      <w:szCs w:val="20"/>
    </w:rPr>
  </w:style>
  <w:style w:type="paragraph" w:styleId="Zkladntext31">
    <w:name w:val="Základní text 31"/>
    <w:basedOn w:val="Normal"/>
    <w:qFormat/>
    <w:pPr>
      <w:suppressAutoHyphens w:val="true"/>
    </w:pPr>
    <w:rPr>
      <w:szCs w:val="20"/>
    </w:rPr>
  </w:style>
  <w:style w:type="paragraph" w:styleId="NormalWeb1">
    <w:name w:val="Normal (Web)1"/>
    <w:basedOn w:val="Normal"/>
    <w:qFormat/>
    <w:pPr>
      <w:suppressAutoHyphens w:val="true"/>
      <w:spacing w:before="100" w:after="100"/>
    </w:pPr>
    <w:rPr>
      <w:szCs w:val="20"/>
    </w:rPr>
  </w:style>
  <w:style w:type="paragraph" w:styleId="Texttabulky">
    <w:name w:val="Text tabulky"/>
    <w:qFormat/>
    <w:pPr>
      <w:widowControl w:val="false"/>
      <w:suppressAutoHyphens w:val="true"/>
    </w:pPr>
    <w:rPr>
      <w:rFonts w:ascii="Times New Roman" w:hAnsi="Times New Roman" w:eastAsia="Arial" w:cs="Times New Roman"/>
      <w:color w:val="000000"/>
      <w:sz w:val="24"/>
      <w:szCs w:val="20"/>
      <w:lang w:val="cs-CZ" w:bidi="ar-SA" w:eastAsia="zh-CN"/>
    </w:rPr>
  </w:style>
  <w:style w:type="paragraph" w:styleId="Normlnodsazen1">
    <w:name w:val="Normální odsazený1"/>
    <w:basedOn w:val="Normal"/>
    <w:qFormat/>
    <w:pPr>
      <w:suppressAutoHyphens w:val="true"/>
      <w:ind w:left="567" w:hanging="0"/>
    </w:pPr>
    <w:rPr>
      <w:rFonts w:ascii="Book Antiqua" w:hAnsi="Book Antiqua" w:cs="Book Antiqua"/>
      <w:sz w:val="20"/>
      <w:szCs w:val="20"/>
    </w:rPr>
  </w:style>
  <w:style w:type="paragraph" w:styleId="Nadpis01">
    <w:name w:val="Nadpis01"/>
    <w:basedOn w:val="Heading4"/>
    <w:qFormat/>
    <w:pPr>
      <w:numPr>
        <w:ilvl w:val="0"/>
        <w:numId w:val="0"/>
      </w:numPr>
      <w:tabs>
        <w:tab w:val="left" w:pos="2160" w:leader="none"/>
      </w:tabs>
      <w:ind w:left="1728" w:hanging="648"/>
      <w:jc w:val="both"/>
    </w:pPr>
    <w:rPr>
      <w:rFonts w:ascii="Tahoma" w:hAnsi="Tahoma" w:cs="Tahoma"/>
      <w:color w:val="000000"/>
      <w:sz w:val="20"/>
      <w:u w:val="single"/>
    </w:rPr>
  </w:style>
  <w:style w:type="paragraph" w:styleId="Nadpis02">
    <w:name w:val="Nadpis02"/>
    <w:basedOn w:val="Normal"/>
    <w:qFormat/>
    <w:pPr>
      <w:tabs>
        <w:tab w:val="left" w:pos="1080" w:leader="none"/>
      </w:tabs>
      <w:suppressAutoHyphens w:val="true"/>
      <w:ind w:left="1080" w:hanging="360"/>
      <w:jc w:val="both"/>
    </w:pPr>
    <w:rPr>
      <w:rFonts w:ascii="Tahoma" w:hAnsi="Tahoma" w:cs="Tahoma"/>
      <w:b/>
      <w:sz w:val="20"/>
      <w:szCs w:val="20"/>
    </w:rPr>
  </w:style>
  <w:style w:type="paragraph" w:styleId="Nadpis001">
    <w:name w:val="Nadpis001"/>
    <w:basedOn w:val="Nadpis02"/>
    <w:qFormat/>
    <w:pPr/>
    <w:rPr/>
  </w:style>
  <w:style w:type="paragraph" w:styleId="Nadpis002">
    <w:name w:val="Nadpis002"/>
    <w:basedOn w:val="Normal"/>
    <w:qFormat/>
    <w:pPr>
      <w:tabs>
        <w:tab w:val="left" w:pos="1065" w:leader="none"/>
      </w:tabs>
      <w:suppressAutoHyphens w:val="true"/>
      <w:ind w:left="1065" w:hanging="705"/>
      <w:jc w:val="both"/>
    </w:pPr>
    <w:rPr>
      <w:rFonts w:ascii="Tahoma" w:hAnsi="Tahoma" w:cs="Tahoma"/>
      <w:b/>
      <w:sz w:val="20"/>
      <w:szCs w:val="20"/>
    </w:rPr>
  </w:style>
  <w:style w:type="paragraph" w:styleId="Nadpis003">
    <w:name w:val="Nadpis003"/>
    <w:basedOn w:val="Normal"/>
    <w:qFormat/>
    <w:pPr>
      <w:tabs>
        <w:tab w:val="left" w:pos="720" w:leader="none"/>
      </w:tabs>
      <w:suppressAutoHyphens w:val="true"/>
      <w:ind w:left="720" w:hanging="360"/>
      <w:jc w:val="both"/>
    </w:pPr>
    <w:rPr>
      <w:rFonts w:ascii="Tahoma" w:hAnsi="Tahoma" w:cs="Tahoma"/>
      <w:b/>
      <w:sz w:val="20"/>
      <w:szCs w:val="20"/>
    </w:rPr>
  </w:style>
  <w:style w:type="paragraph" w:styleId="Nadpis004">
    <w:name w:val="Nadpis004"/>
    <w:basedOn w:val="Normal"/>
    <w:qFormat/>
    <w:pPr>
      <w:tabs>
        <w:tab w:val="left" w:pos="540" w:leader="none"/>
      </w:tabs>
      <w:suppressAutoHyphens w:val="true"/>
      <w:ind w:left="540" w:hanging="360"/>
    </w:pPr>
    <w:rPr>
      <w:rFonts w:ascii="Tahoma" w:hAnsi="Tahoma" w:cs="Tahoma"/>
      <w:b/>
      <w:sz w:val="20"/>
      <w:szCs w:val="20"/>
    </w:rPr>
  </w:style>
  <w:style w:type="paragraph" w:styleId="Nadpis005">
    <w:name w:val="Nadpis005"/>
    <w:basedOn w:val="Normal"/>
    <w:qFormat/>
    <w:pPr>
      <w:tabs>
        <w:tab w:val="left" w:pos="426" w:leader="none"/>
        <w:tab w:val="left" w:pos="1440" w:leader="none"/>
      </w:tabs>
      <w:suppressAutoHyphens w:val="true"/>
      <w:ind w:left="1440" w:hanging="360"/>
      <w:jc w:val="both"/>
    </w:pPr>
    <w:rPr>
      <w:rFonts w:ascii="Tahoma" w:hAnsi="Tahoma" w:cs="Tahoma"/>
      <w:b/>
      <w:sz w:val="20"/>
      <w:szCs w:val="20"/>
    </w:rPr>
  </w:style>
  <w:style w:type="paragraph" w:styleId="Nadpis0006">
    <w:name w:val="Nadpis0006"/>
    <w:basedOn w:val="Normal"/>
    <w:qFormat/>
    <w:pPr>
      <w:tabs>
        <w:tab w:val="left" w:pos="717" w:leader="none"/>
        <w:tab w:val="left" w:pos="840" w:leader="none"/>
      </w:tabs>
      <w:suppressAutoHyphens w:val="true"/>
      <w:ind w:left="717" w:hanging="0"/>
    </w:pPr>
    <w:rPr>
      <w:rFonts w:ascii="Tahoma" w:hAnsi="Tahoma" w:cs="Tahoma"/>
      <w:b/>
      <w:sz w:val="20"/>
      <w:szCs w:val="20"/>
    </w:rPr>
  </w:style>
  <w:style w:type="paragraph" w:styleId="Nadpis0007">
    <w:name w:val="Nadpis0007"/>
    <w:basedOn w:val="Normal"/>
    <w:qFormat/>
    <w:pPr>
      <w:tabs>
        <w:tab w:val="left" w:pos="717" w:leader="none"/>
        <w:tab w:val="left" w:pos="1365" w:leader="none"/>
      </w:tabs>
      <w:suppressAutoHyphens w:val="true"/>
      <w:ind w:left="717" w:hanging="0"/>
    </w:pPr>
    <w:rPr>
      <w:rFonts w:ascii="Tahoma" w:hAnsi="Tahoma" w:cs="Tahoma"/>
      <w:b/>
      <w:sz w:val="20"/>
      <w:szCs w:val="20"/>
    </w:rPr>
  </w:style>
  <w:style w:type="paragraph" w:styleId="Nadpis0008">
    <w:name w:val="Nadpis0008"/>
    <w:basedOn w:val="Normal"/>
    <w:qFormat/>
    <w:pPr>
      <w:tabs>
        <w:tab w:val="left" w:pos="717" w:leader="none"/>
        <w:tab w:val="left" w:pos="1080" w:leader="none"/>
      </w:tabs>
      <w:suppressAutoHyphens w:val="true"/>
      <w:ind w:left="717" w:hanging="0"/>
    </w:pPr>
    <w:rPr>
      <w:rFonts w:ascii="Tahoma" w:hAnsi="Tahoma" w:cs="Tahoma"/>
      <w:b/>
      <w:sz w:val="20"/>
      <w:szCs w:val="20"/>
    </w:rPr>
  </w:style>
  <w:style w:type="paragraph" w:styleId="Nadpis009">
    <w:name w:val="Nadpis009"/>
    <w:basedOn w:val="Normal"/>
    <w:qFormat/>
    <w:pPr>
      <w:tabs>
        <w:tab w:val="left" w:pos="540" w:leader="none"/>
        <w:tab w:val="left" w:pos="717" w:leader="none"/>
      </w:tabs>
      <w:suppressAutoHyphens w:val="true"/>
      <w:ind w:left="717" w:hanging="0"/>
    </w:pPr>
    <w:rPr>
      <w:rFonts w:ascii="Tahoma" w:hAnsi="Tahoma" w:cs="Tahoma"/>
      <w:b/>
      <w:sz w:val="20"/>
      <w:szCs w:val="20"/>
    </w:rPr>
  </w:style>
  <w:style w:type="paragraph" w:styleId="Nadpis0009">
    <w:name w:val="Nadpis0009"/>
    <w:basedOn w:val="Nadpis009"/>
    <w:qFormat/>
    <w:pPr/>
    <w:rPr/>
  </w:style>
  <w:style w:type="paragraph" w:styleId="Zkladntextodsazen21">
    <w:name w:val="Základní text odsazený 21"/>
    <w:basedOn w:val="Normal"/>
    <w:qFormat/>
    <w:pPr>
      <w:suppressAutoHyphens w:val="true"/>
      <w:ind w:left="142" w:hanging="142"/>
      <w:jc w:val="both"/>
    </w:pPr>
    <w:rPr>
      <w:rFonts w:ascii="Tahoma" w:hAnsi="Tahoma" w:cs="Tahoma"/>
      <w:szCs w:val="20"/>
    </w:rPr>
  </w:style>
  <w:style w:type="paragraph" w:styleId="P1">
    <w:name w:val="P1"/>
    <w:basedOn w:val="Normal"/>
    <w:qFormat/>
    <w:pPr>
      <w:suppressAutoHyphens w:val="true"/>
      <w:ind w:firstLine="1134"/>
      <w:jc w:val="both"/>
    </w:pPr>
    <w:rPr>
      <w:sz w:val="26"/>
      <w:szCs w:val="20"/>
    </w:rPr>
  </w:style>
  <w:style w:type="paragraph" w:styleId="Evaodstavec">
    <w:name w:val="Eva_odstavec"/>
    <w:basedOn w:val="TextBody"/>
    <w:qFormat/>
    <w:pPr>
      <w:tabs>
        <w:tab w:val="left" w:pos="1701" w:leader="none"/>
        <w:tab w:val="left" w:pos="8080" w:leader="none"/>
      </w:tabs>
      <w:suppressAutoHyphens w:val="true"/>
      <w:spacing w:before="120" w:after="0"/>
      <w:ind w:firstLine="709"/>
    </w:pPr>
    <w:rPr>
      <w:sz w:val="22"/>
    </w:rPr>
  </w:style>
  <w:style w:type="paragraph" w:styleId="Mezera">
    <w:name w:val="Mezera"/>
    <w:basedOn w:val="Normal"/>
    <w:qFormat/>
    <w:pPr>
      <w:tabs>
        <w:tab w:val="left" w:pos="426" w:leader="none"/>
      </w:tabs>
      <w:suppressAutoHyphens w:val="true"/>
      <w:ind w:left="851" w:hanging="0"/>
      <w:jc w:val="both"/>
    </w:pPr>
    <w:rPr>
      <w:sz w:val="16"/>
      <w:szCs w:val="20"/>
    </w:rPr>
  </w:style>
  <w:style w:type="paragraph" w:styleId="Styl1">
    <w:name w:val="Styl1"/>
    <w:basedOn w:val="Normal"/>
    <w:qFormat/>
    <w:pPr>
      <w:suppressAutoHyphens w:val="true"/>
    </w:pPr>
    <w:rPr>
      <w:sz w:val="20"/>
      <w:szCs w:val="20"/>
    </w:rPr>
  </w:style>
  <w:style w:type="paragraph" w:styleId="Seznamsodrkami1">
    <w:name w:val="Seznam s odrážkami1"/>
    <w:basedOn w:val="Normal"/>
    <w:qFormat/>
    <w:pPr>
      <w:tabs>
        <w:tab w:val="left" w:pos="0" w:leader="none"/>
      </w:tabs>
      <w:suppressAutoHyphens w:val="true"/>
      <w:ind w:left="34" w:hanging="0"/>
      <w:jc w:val="center"/>
    </w:pPr>
    <w:rPr>
      <w:szCs w:val="20"/>
    </w:rPr>
  </w:style>
  <w:style w:type="paragraph" w:styleId="Nadpisist">
    <w:name w:val="Nadpis čistý"/>
    <w:basedOn w:val="Normal"/>
    <w:qFormat/>
    <w:pPr>
      <w:keepNext/>
      <w:suppressAutoHyphens w:val="true"/>
      <w:spacing w:before="240" w:after="60"/>
    </w:pPr>
    <w:rPr>
      <w:b/>
      <w:sz w:val="22"/>
      <w:szCs w:val="20"/>
    </w:rPr>
  </w:style>
  <w:style w:type="paragraph" w:styleId="Istnadpis">
    <w:name w:val="Čistý nadpis"/>
    <w:basedOn w:val="Normal"/>
    <w:qFormat/>
    <w:pPr>
      <w:keepNext/>
      <w:suppressAutoHyphens w:val="true"/>
      <w:spacing w:before="240" w:after="60"/>
      <w:jc w:val="both"/>
    </w:pPr>
    <w:rPr>
      <w:b/>
      <w:szCs w:val="20"/>
      <w:u w:val="single"/>
    </w:rPr>
  </w:style>
  <w:style w:type="paragraph" w:styleId="Contents6">
    <w:name w:val="TOC 6"/>
    <w:basedOn w:val="Normal"/>
    <w:next w:val="Normal"/>
    <w:pPr>
      <w:suppressAutoHyphens w:val="true"/>
      <w:ind w:left="1000" w:hanging="0"/>
    </w:pPr>
    <w:rPr>
      <w:sz w:val="18"/>
      <w:szCs w:val="20"/>
    </w:rPr>
  </w:style>
  <w:style w:type="paragraph" w:styleId="Contents7">
    <w:name w:val="TOC 7"/>
    <w:basedOn w:val="Normal"/>
    <w:next w:val="Normal"/>
    <w:pPr>
      <w:suppressAutoHyphens w:val="true"/>
      <w:ind w:left="1200" w:hanging="0"/>
    </w:pPr>
    <w:rPr>
      <w:sz w:val="18"/>
      <w:szCs w:val="20"/>
    </w:rPr>
  </w:style>
  <w:style w:type="paragraph" w:styleId="Contents8">
    <w:name w:val="TOC 8"/>
    <w:basedOn w:val="Normal"/>
    <w:next w:val="Normal"/>
    <w:pPr>
      <w:suppressAutoHyphens w:val="true"/>
      <w:ind w:left="1400" w:hanging="0"/>
    </w:pPr>
    <w:rPr>
      <w:sz w:val="18"/>
      <w:szCs w:val="20"/>
    </w:rPr>
  </w:style>
  <w:style w:type="paragraph" w:styleId="Contents9">
    <w:name w:val="TOC 9"/>
    <w:basedOn w:val="Normal"/>
    <w:next w:val="Normal"/>
    <w:pPr>
      <w:suppressAutoHyphens w:val="true"/>
      <w:ind w:left="1600" w:hanging="0"/>
    </w:pPr>
    <w:rPr>
      <w:sz w:val="18"/>
      <w:szCs w:val="20"/>
    </w:rPr>
  </w:style>
  <w:style w:type="paragraph" w:styleId="Subtitle">
    <w:name w:val="Subtitle"/>
    <w:basedOn w:val="Nadpis"/>
    <w:next w:val="TextBody"/>
    <w:qFormat/>
    <w:pPr>
      <w:jc w:val="center"/>
    </w:pPr>
    <w:rPr>
      <w:i/>
      <w:iCs/>
    </w:rPr>
  </w:style>
  <w:style w:type="paragraph" w:styleId="TOPKapitola">
    <w:name w:val="TOP-Kapitola"/>
    <w:basedOn w:val="Normal"/>
    <w:qFormat/>
    <w:pPr>
      <w:pBdr>
        <w:top w:val="single" w:sz="4" w:space="1" w:color="000000" w:shadow="1"/>
        <w:left w:val="single" w:sz="4" w:space="4" w:color="000000" w:shadow="1"/>
        <w:bottom w:val="single" w:sz="4" w:space="0" w:color="000000" w:shadow="1"/>
        <w:right w:val="single" w:sz="4" w:space="12" w:color="000000" w:shadow="1"/>
      </w:pBdr>
      <w:shd w:fill="CCFFFF" w:val="clear"/>
      <w:tabs>
        <w:tab w:val="left" w:pos="1365" w:leader="none"/>
      </w:tabs>
      <w:suppressAutoHyphens w:val="true"/>
      <w:spacing w:lineRule="exact" w:line="960" w:before="0" w:after="240"/>
      <w:ind w:left="1365" w:right="227" w:hanging="705"/>
      <w:jc w:val="center"/>
    </w:pPr>
    <w:rPr>
      <w:b/>
      <w:bCs/>
      <w:position w:val="20"/>
      <w:sz w:val="30"/>
      <w:szCs w:val="20"/>
    </w:rPr>
  </w:style>
  <w:style w:type="paragraph" w:styleId="TOPsubkap11">
    <w:name w:val="TOP-subkap 1.1."/>
    <w:basedOn w:val="Heading2"/>
    <w:qFormat/>
    <w:pPr>
      <w:numPr>
        <w:ilvl w:val="0"/>
        <w:numId w:val="0"/>
      </w:numPr>
      <w:suppressAutoHyphens w:val="true"/>
      <w:spacing w:before="0" w:after="0"/>
      <w:jc w:val="both"/>
    </w:pPr>
    <w:rPr>
      <w:rFonts w:ascii="Times New Roman" w:hAnsi="Times New Roman" w:cs="Times New Roman"/>
      <w:bCs w:val="false"/>
      <w:i w:val="false"/>
      <w:iCs w:val="false"/>
      <w:szCs w:val="24"/>
    </w:rPr>
  </w:style>
  <w:style w:type="paragraph" w:styleId="EVAodrky">
    <w:name w:val="EVA_odrážky"/>
    <w:basedOn w:val="Seznamsodrkami1"/>
    <w:qFormat/>
    <w:pPr>
      <w:tabs>
        <w:tab w:val="left" w:pos="0" w:leader="none"/>
        <w:tab w:val="left" w:pos="1440" w:leader="none"/>
      </w:tabs>
      <w:spacing w:before="60" w:after="0"/>
      <w:ind w:left="1440" w:hanging="360"/>
    </w:pPr>
    <w:rPr>
      <w:sz w:val="22"/>
      <w:szCs w:val="22"/>
    </w:rPr>
  </w:style>
  <w:style w:type="paragraph" w:styleId="Normln">
    <w:name w:val="Norm‡ln’"/>
    <w:qFormat/>
    <w:pPr>
      <w:widowControl w:val="false"/>
      <w:suppressAutoHyphens w:val="true"/>
    </w:pPr>
    <w:rPr>
      <w:rFonts w:ascii="Times New Roman" w:hAnsi="Times New Roman" w:eastAsia="Arial" w:cs="Times New Roman"/>
      <w:color w:val="auto"/>
      <w:sz w:val="20"/>
      <w:szCs w:val="20"/>
      <w:lang w:val="cs-CZ" w:bidi="ar-SA" w:eastAsia="zh-CN"/>
    </w:rPr>
  </w:style>
  <w:style w:type="paragraph" w:styleId="TOPspolenosti">
    <w:name w:val="TOP-společnosti"/>
    <w:basedOn w:val="TOPKapitola"/>
    <w:qFormat/>
    <w:pPr/>
    <w:rPr/>
  </w:style>
  <w:style w:type="paragraph" w:styleId="TOPsubkapitolika111">
    <w:name w:val="TOP-subkapitolička1.1.1."/>
    <w:basedOn w:val="Normal"/>
    <w:qFormat/>
    <w:pPr>
      <w:suppressAutoHyphens w:val="true"/>
    </w:pPr>
    <w:rPr>
      <w:b/>
      <w:szCs w:val="20"/>
      <w:u w:val="single"/>
    </w:rPr>
  </w:style>
  <w:style w:type="paragraph" w:styleId="Asti">
    <w:name w:val="účasti"/>
    <w:basedOn w:val="TOPKapitola"/>
    <w:qFormat/>
    <w:pPr/>
    <w:rPr/>
  </w:style>
  <w:style w:type="paragraph" w:styleId="Text2">
    <w:name w:val="text 2"/>
    <w:basedOn w:val="Text"/>
    <w:qFormat/>
    <w:pPr>
      <w:tabs>
        <w:tab w:val="left" w:pos="2127" w:leader="none"/>
      </w:tabs>
      <w:suppressAutoHyphens w:val="true"/>
      <w:spacing w:before="0" w:after="40"/>
      <w:jc w:val="both"/>
    </w:pPr>
    <w:rPr>
      <w:rFonts w:ascii="Times New Roman" w:hAnsi="Times New Roman" w:cs="Times New Roman"/>
      <w:color w:val="000000"/>
      <w:sz w:val="24"/>
      <w:szCs w:val="20"/>
    </w:rPr>
  </w:style>
  <w:style w:type="paragraph" w:styleId="Text0">
    <w:name w:val="text 0"/>
    <w:basedOn w:val="Text2"/>
    <w:qFormat/>
    <w:pPr>
      <w:spacing w:before="0" w:after="0"/>
    </w:pPr>
    <w:rPr/>
  </w:style>
  <w:style w:type="paragraph" w:styleId="Ne2">
    <w:name w:val="Ne2"/>
    <w:basedOn w:val="Normal"/>
    <w:qFormat/>
    <w:pPr>
      <w:tabs>
        <w:tab w:val="left" w:pos="851" w:leader="none"/>
      </w:tabs>
      <w:suppressAutoHyphens w:val="true"/>
      <w:overflowPunct w:val="false"/>
      <w:autoSpaceDE w:val="false"/>
      <w:spacing w:lineRule="atLeast" w:line="280" w:before="120" w:after="0"/>
      <w:ind w:left="426" w:hanging="0"/>
      <w:jc w:val="both"/>
      <w:textAlignment w:val="baseline"/>
    </w:pPr>
    <w:rPr>
      <w:sz w:val="22"/>
      <w:szCs w:val="20"/>
    </w:rPr>
  </w:style>
  <w:style w:type="paragraph" w:styleId="Ne3">
    <w:name w:val="Ne3"/>
    <w:basedOn w:val="Ne2"/>
    <w:qFormat/>
    <w:pPr>
      <w:ind w:left="851" w:hanging="0"/>
    </w:pPr>
    <w:rPr/>
  </w:style>
  <w:style w:type="paragraph" w:styleId="A">
    <w:name w:val="A"/>
    <w:basedOn w:val="Normal"/>
    <w:qFormat/>
    <w:pPr>
      <w:suppressAutoHyphens w:val="true"/>
    </w:pPr>
    <w:rPr>
      <w:b/>
      <w:u w:val="single"/>
    </w:rPr>
  </w:style>
  <w:style w:type="paragraph" w:styleId="B">
    <w:name w:val="B"/>
    <w:basedOn w:val="Normal"/>
    <w:qFormat/>
    <w:pPr>
      <w:suppressAutoHyphens w:val="true"/>
      <w:jc w:val="both"/>
    </w:pPr>
    <w:rPr/>
  </w:style>
  <w:style w:type="paragraph" w:styleId="A2">
    <w:name w:val="A2"/>
    <w:basedOn w:val="TOPKapitola"/>
    <w:qFormat/>
    <w:pPr>
      <w:numPr>
        <w:ilvl w:val="0"/>
        <w:numId w:val="0"/>
      </w:numPr>
      <w:spacing w:lineRule="auto" w:line="240"/>
      <w:ind w:right="0" w:hanging="0"/>
    </w:pPr>
    <w:rPr>
      <w:position w:val="0"/>
      <w:sz w:val="30"/>
      <w:vertAlign w:val="baseline"/>
    </w:rPr>
  </w:style>
  <w:style w:type="paragraph" w:styleId="A3">
    <w:name w:val="A3"/>
    <w:basedOn w:val="TOPKapitola"/>
    <w:qFormat/>
    <w:pPr>
      <w:pBdr>
        <w:top w:val="single" w:sz="4" w:space="0" w:color="000000" w:shadow="1"/>
        <w:left w:val="single" w:sz="4" w:space="0" w:color="000000" w:shadow="1"/>
        <w:bottom w:val="single" w:sz="4" w:space="0" w:color="000000" w:shadow="1"/>
        <w:right w:val="single" w:sz="4" w:space="0" w:color="000000" w:shadow="1"/>
      </w:pBdr>
    </w:pPr>
    <w:rPr/>
  </w:style>
  <w:style w:type="paragraph" w:styleId="A4">
    <w:name w:val="A4"/>
    <w:basedOn w:val="TOPKapitola"/>
    <w:qFormat/>
    <w:pPr/>
    <w:rPr/>
  </w:style>
  <w:style w:type="paragraph" w:styleId="AAA">
    <w:name w:val="AAA"/>
    <w:basedOn w:val="A3"/>
    <w:qFormat/>
    <w:pPr/>
    <w:rPr/>
  </w:style>
  <w:style w:type="paragraph" w:styleId="Dvousloupcov">
    <w:name w:val="Dvousloupcový"/>
    <w:basedOn w:val="Normal"/>
    <w:qFormat/>
    <w:pPr>
      <w:suppressAutoHyphens w:val="true"/>
      <w:ind w:firstLine="567"/>
      <w:jc w:val="both"/>
    </w:pPr>
    <w:rPr>
      <w:sz w:val="20"/>
    </w:rPr>
  </w:style>
  <w:style w:type="paragraph" w:styleId="Style63">
    <w:name w:val="Style63"/>
    <w:basedOn w:val="Normal"/>
    <w:qFormat/>
    <w:pPr>
      <w:widowControl w:val="false"/>
      <w:suppressAutoHyphens w:val="true"/>
      <w:autoSpaceDE w:val="false"/>
      <w:spacing w:lineRule="exact" w:line="277"/>
      <w:jc w:val="both"/>
    </w:pPr>
    <w:rPr>
      <w:rFonts w:ascii="Arial Narrow" w:hAnsi="Arial Narrow" w:cs="Arial Narrow"/>
    </w:rPr>
  </w:style>
  <w:style w:type="paragraph" w:styleId="Style14">
    <w:name w:val="Style14"/>
    <w:basedOn w:val="Normal"/>
    <w:qFormat/>
    <w:pPr>
      <w:widowControl w:val="false"/>
      <w:suppressAutoHyphens w:val="true"/>
      <w:autoSpaceDE w:val="false"/>
      <w:spacing w:lineRule="exact" w:line="232"/>
      <w:ind w:hanging="353"/>
    </w:pPr>
    <w:rPr>
      <w:rFonts w:ascii="Arial" w:hAnsi="Arial" w:cs="Arial"/>
    </w:rPr>
  </w:style>
  <w:style w:type="paragraph" w:styleId="Rozvrendokumentu1">
    <w:name w:val="Rozvržení dokumentu1"/>
    <w:basedOn w:val="Normal"/>
    <w:qFormat/>
    <w:pPr>
      <w:shd w:fill="000080" w:val="clear"/>
      <w:suppressAutoHyphens w:val="true"/>
    </w:pPr>
    <w:rPr>
      <w:rFonts w:ascii="Tahoma" w:hAnsi="Tahoma" w:cs="Tahoma"/>
      <w:sz w:val="20"/>
      <w:szCs w:val="20"/>
    </w:rPr>
  </w:style>
  <w:style w:type="paragraph" w:styleId="Katnadpis">
    <w:name w:val="katnadpis"/>
    <w:basedOn w:val="Normal"/>
    <w:qFormat/>
    <w:pPr>
      <w:suppressAutoHyphens w:val="true"/>
      <w:spacing w:before="280" w:after="280"/>
    </w:pPr>
    <w:rPr/>
  </w:style>
  <w:style w:type="paragraph" w:styleId="Titulek1">
    <w:name w:val="Titulek1"/>
    <w:basedOn w:val="Normal"/>
    <w:next w:val="Normal"/>
    <w:qFormat/>
    <w:pPr>
      <w:suppressAutoHyphens w:val="true"/>
      <w:spacing w:before="120" w:after="120"/>
    </w:pPr>
    <w:rPr>
      <w:rFonts w:ascii="Tahoma" w:hAnsi="Tahoma" w:cs="Tahoma"/>
      <w:bCs/>
      <w:i/>
      <w:color w:val="000032"/>
      <w:sz w:val="16"/>
      <w:szCs w:val="20"/>
    </w:rPr>
  </w:style>
  <w:style w:type="paragraph" w:styleId="StylNadpis2">
    <w:name w:val="Styl Nadpis 2"/>
    <w:basedOn w:val="Heading2"/>
    <w:qFormat/>
    <w:pPr>
      <w:numPr>
        <w:ilvl w:val="0"/>
        <w:numId w:val="0"/>
      </w:numPr>
      <w:suppressAutoHyphens w:val="true"/>
      <w:spacing w:before="240" w:after="240"/>
    </w:pPr>
    <w:rPr>
      <w:rFonts w:ascii="Times New Roman" w:hAnsi="Times New Roman" w:cs="Times New Roman"/>
      <w:i w:val="false"/>
      <w:iCs w:val="false"/>
      <w:color w:val="000000"/>
      <w:sz w:val="26"/>
      <w:szCs w:val="20"/>
      <w:u w:val="single"/>
    </w:rPr>
  </w:style>
  <w:style w:type="paragraph" w:styleId="TOPKapitolaI">
    <w:name w:val="TOP-Kapitola_I"/>
    <w:basedOn w:val="TOPKapitola"/>
    <w:qFormat/>
    <w:pPr>
      <w:spacing w:lineRule="auto" w:line="240" w:before="0" w:after="0"/>
      <w:ind w:left="57" w:right="227" w:hanging="705"/>
    </w:pPr>
    <w:rPr>
      <w:position w:val="-28"/>
    </w:rPr>
  </w:style>
  <w:style w:type="paragraph" w:styleId="TOPKapitolaII">
    <w:name w:val="TOP-Kapitola_II"/>
    <w:basedOn w:val="TOPKapitolaI"/>
    <w:qFormat/>
    <w:pPr>
      <w:numPr>
        <w:ilvl w:val="0"/>
        <w:numId w:val="0"/>
      </w:numPr>
      <w:spacing w:before="0" w:after="240"/>
      <w:ind w:left="57" w:right="0" w:hanging="0"/>
    </w:pPr>
    <w:rPr>
      <w:position w:val="0"/>
      <w:sz w:val="30"/>
      <w:vertAlign w:val="baseline"/>
    </w:rPr>
  </w:style>
  <w:style w:type="paragraph" w:styleId="Nadpis5text">
    <w:name w:val="Nadpis 5 text"/>
    <w:basedOn w:val="Heading3"/>
    <w:qFormat/>
    <w:pPr>
      <w:numPr>
        <w:ilvl w:val="0"/>
        <w:numId w:val="0"/>
      </w:numPr>
      <w:suppressAutoHyphens w:val="true"/>
      <w:spacing w:before="180" w:after="180"/>
      <w:jc w:val="both"/>
    </w:pPr>
    <w:rPr>
      <w:rFonts w:ascii="Times New Roman" w:hAnsi="Times New Roman" w:cs="Times New Roman"/>
      <w:bCs w:val="false"/>
      <w:sz w:val="24"/>
      <w:szCs w:val="20"/>
    </w:rPr>
  </w:style>
  <w:style w:type="paragraph" w:styleId="Nadpis4text">
    <w:name w:val="Nadpis 4 text"/>
    <w:basedOn w:val="Nadpis5text"/>
    <w:next w:val="Text"/>
    <w:qFormat/>
    <w:pPr>
      <w:spacing w:before="360" w:after="180"/>
    </w:pPr>
    <w:rPr/>
  </w:style>
  <w:style w:type="paragraph" w:styleId="Titulektop">
    <w:name w:val="Titulek_top"/>
    <w:basedOn w:val="Normal"/>
    <w:qFormat/>
    <w:pPr>
      <w:keepNext/>
      <w:tabs>
        <w:tab w:val="right" w:pos="-3686" w:leader="none"/>
        <w:tab w:val="right" w:pos="-3544" w:leader="none"/>
      </w:tabs>
      <w:suppressAutoHyphens w:val="true"/>
      <w:spacing w:before="0" w:after="20"/>
      <w:jc w:val="right"/>
    </w:pPr>
    <w:rPr>
      <w:bCs/>
      <w:i/>
      <w:sz w:val="20"/>
      <w:szCs w:val="20"/>
    </w:rPr>
  </w:style>
  <w:style w:type="paragraph" w:styleId="Tabulkovy">
    <w:name w:val="Tabulkovy"/>
    <w:basedOn w:val="Normal"/>
    <w:qFormat/>
    <w:pPr>
      <w:suppressAutoHyphens w:val="true"/>
      <w:spacing w:before="0" w:after="240"/>
      <w:jc w:val="center"/>
    </w:pPr>
    <w:rPr>
      <w:sz w:val="20"/>
      <w:szCs w:val="20"/>
    </w:rPr>
  </w:style>
  <w:style w:type="paragraph" w:styleId="Grafovy">
    <w:name w:val="Grafovy"/>
    <w:basedOn w:val="Tabulkovy"/>
    <w:qFormat/>
    <w:pPr>
      <w:spacing w:before="180" w:after="0"/>
    </w:pPr>
    <w:rPr/>
  </w:style>
  <w:style w:type="paragraph" w:styleId="Titulekdown">
    <w:name w:val="Titulek_down"/>
    <w:basedOn w:val="Titulektop"/>
    <w:qFormat/>
    <w:pPr>
      <w:keepNext/>
      <w:tabs>
        <w:tab w:val="right" w:pos="-3686" w:leader="none"/>
        <w:tab w:val="right" w:pos="-3544" w:leader="none"/>
        <w:tab w:val="left" w:pos="142" w:leader="none"/>
        <w:tab w:val="left" w:pos="284" w:leader="none"/>
        <w:tab w:val="left" w:pos="709" w:leader="none"/>
        <w:tab w:val="left" w:pos="1276" w:leader="none"/>
        <w:tab w:val="left" w:pos="1418" w:leader="none"/>
        <w:tab w:val="left" w:pos="1701" w:leader="none"/>
        <w:tab w:val="left" w:pos="1985" w:leader="none"/>
      </w:tabs>
      <w:spacing w:before="0" w:after="240"/>
      <w:jc w:val="left"/>
    </w:pPr>
    <w:rPr/>
  </w:style>
  <w:style w:type="paragraph" w:styleId="StylTabulkovyZa1b">
    <w:name w:val="Styl Tabulkovy + Za:  1 b."/>
    <w:basedOn w:val="Tabulkovy"/>
    <w:qFormat/>
    <w:pPr>
      <w:spacing w:before="0" w:after="60"/>
    </w:pPr>
    <w:rPr/>
  </w:style>
  <w:style w:type="paragraph" w:styleId="Titulektop1">
    <w:name w:val="Titulek top"/>
    <w:basedOn w:val="Titulek1"/>
    <w:qFormat/>
    <w:pPr>
      <w:keepNext/>
      <w:jc w:val="center"/>
    </w:pPr>
    <w:rPr/>
  </w:style>
  <w:style w:type="paragraph" w:styleId="Style6">
    <w:name w:val="Style6"/>
    <w:basedOn w:val="Normal"/>
    <w:qFormat/>
    <w:pPr>
      <w:widowControl w:val="false"/>
      <w:suppressAutoHyphens w:val="true"/>
      <w:autoSpaceDE w:val="false"/>
    </w:pPr>
    <w:rPr/>
  </w:style>
  <w:style w:type="paragraph" w:styleId="Styl2">
    <w:name w:val="Styl2"/>
    <w:basedOn w:val="Nadpis4text"/>
    <w:qFormat/>
    <w:pPr>
      <w:spacing w:before="180" w:after="120"/>
    </w:pPr>
    <w:rPr>
      <w:b w:val="false"/>
      <w:bCs/>
      <w:i/>
      <w:iCs/>
      <w:szCs w:val="24"/>
      <w:u w:val="single"/>
    </w:rPr>
  </w:style>
  <w:style w:type="paragraph" w:styleId="Nadpis2text">
    <w:name w:val="Nadpis 2 text"/>
    <w:basedOn w:val="StylNadpis2"/>
    <w:qFormat/>
    <w:pPr>
      <w:tabs>
        <w:tab w:val="left" w:pos="1365" w:leader="none"/>
      </w:tabs>
      <w:spacing w:before="480" w:after="120"/>
      <w:ind w:left="1365" w:hanging="705"/>
    </w:pPr>
    <w:rPr>
      <w:color w:val="000000"/>
      <w:sz w:val="28"/>
    </w:rPr>
  </w:style>
  <w:style w:type="paragraph" w:styleId="Textnadpiskurziva">
    <w:name w:val="text_nadpis_kurziva"/>
    <w:basedOn w:val="Text"/>
    <w:next w:val="Text"/>
    <w:qFormat/>
    <w:pPr>
      <w:keepNext/>
      <w:suppressAutoHyphens w:val="true"/>
      <w:spacing w:before="180" w:after="120"/>
      <w:jc w:val="both"/>
    </w:pPr>
    <w:rPr>
      <w:rFonts w:ascii="Times New Roman" w:hAnsi="Times New Roman" w:cs="Times New Roman"/>
      <w:b/>
      <w:bCs/>
      <w:i/>
      <w:iCs/>
      <w:color w:val="000000"/>
      <w:sz w:val="24"/>
      <w:szCs w:val="24"/>
      <w:u w:val="single"/>
    </w:rPr>
  </w:style>
  <w:style w:type="paragraph" w:styleId="TextnadpisII">
    <w:name w:val="Text_nadpis_II"/>
    <w:basedOn w:val="Nadpis4text"/>
    <w:next w:val="Text"/>
    <w:qFormat/>
    <w:pPr>
      <w:spacing w:before="180" w:after="180"/>
    </w:pPr>
    <w:rPr/>
  </w:style>
  <w:style w:type="paragraph" w:styleId="TitulekdownII">
    <w:name w:val="Titulek_down_II"/>
    <w:basedOn w:val="Titulekdown"/>
    <w:qFormat/>
    <w:pPr>
      <w:tabs>
        <w:tab w:val="right" w:pos="-3686" w:leader="none"/>
        <w:tab w:val="right" w:pos="-3544" w:leader="none"/>
        <w:tab w:val="left" w:pos="142" w:leader="none"/>
        <w:tab w:val="left" w:pos="1418" w:leader="none"/>
        <w:tab w:val="left" w:pos="1985" w:leader="none"/>
      </w:tabs>
      <w:ind w:left="1985" w:right="1842" w:hanging="0"/>
    </w:pPr>
    <w:rPr/>
  </w:style>
  <w:style w:type="paragraph" w:styleId="TitulekdownIII">
    <w:name w:val="Titulek_down_III"/>
    <w:basedOn w:val="Titulekdown"/>
    <w:qFormat/>
    <w:pPr>
      <w:spacing w:before="0" w:after="0"/>
    </w:pPr>
    <w:rPr>
      <w:szCs w:val="16"/>
    </w:rPr>
  </w:style>
  <w:style w:type="paragraph" w:styleId="TitulekdownIII9">
    <w:name w:val="Titulek_down_III9"/>
    <w:basedOn w:val="Titulekdown"/>
    <w:qFormat/>
    <w:pPr/>
    <w:rPr>
      <w:bCs w:val="false"/>
      <w:iCs/>
    </w:rPr>
  </w:style>
  <w:style w:type="paragraph" w:styleId="StylNadpis312bPodtrenZa9b">
    <w:name w:val="Styl Nadpis 3 + 12 b. Podtržení Za:  9 b."/>
    <w:basedOn w:val="Heading3"/>
    <w:qFormat/>
    <w:pPr>
      <w:numPr>
        <w:ilvl w:val="0"/>
        <w:numId w:val="0"/>
      </w:numPr>
      <w:suppressAutoHyphens w:val="true"/>
      <w:spacing w:before="120" w:after="180"/>
      <w:jc w:val="both"/>
    </w:pPr>
    <w:rPr>
      <w:rFonts w:ascii="Times New Roman" w:hAnsi="Times New Roman" w:cs="Times New Roman"/>
      <w:sz w:val="24"/>
      <w:szCs w:val="20"/>
      <w:u w:val="single"/>
    </w:rPr>
  </w:style>
  <w:style w:type="paragraph" w:styleId="TitulekdownIV">
    <w:name w:val="Titulek_down_IV"/>
    <w:basedOn w:val="TitulekdownIII"/>
    <w:qFormat/>
    <w:pPr>
      <w:tabs>
        <w:tab w:val="left" w:pos="-3686" w:leader="none"/>
        <w:tab w:val="right" w:pos="-3544" w:leader="none"/>
        <w:tab w:val="left" w:pos="142" w:leader="none"/>
        <w:tab w:val="left" w:pos="709" w:leader="none"/>
        <w:tab w:val="left" w:pos="851" w:leader="none"/>
        <w:tab w:val="left" w:pos="1276" w:leader="none"/>
        <w:tab w:val="left" w:pos="1418" w:leader="none"/>
        <w:tab w:val="left" w:pos="1985" w:leader="none"/>
      </w:tabs>
      <w:spacing w:before="0" w:after="240"/>
      <w:ind w:left="851" w:right="850" w:hanging="0"/>
    </w:pPr>
    <w:rPr>
      <w:szCs w:val="20"/>
    </w:rPr>
  </w:style>
  <w:style w:type="paragraph" w:styleId="Nadpis3v">
    <w:name w:val="Nadpis 3 v"/>
    <w:basedOn w:val="Heading3"/>
    <w:qFormat/>
    <w:pPr>
      <w:numPr>
        <w:ilvl w:val="0"/>
        <w:numId w:val="0"/>
      </w:numPr>
      <w:suppressAutoHyphens w:val="true"/>
      <w:spacing w:before="120" w:after="180"/>
      <w:jc w:val="both"/>
    </w:pPr>
    <w:rPr>
      <w:rFonts w:ascii="Times New Roman" w:hAnsi="Times New Roman" w:cs="Times New Roman"/>
      <w:sz w:val="24"/>
      <w:szCs w:val="20"/>
      <w:u w:val="single"/>
    </w:rPr>
  </w:style>
  <w:style w:type="paragraph" w:styleId="Styl3">
    <w:name w:val="Styl3"/>
    <w:basedOn w:val="Heading3"/>
    <w:qFormat/>
    <w:pPr>
      <w:numPr>
        <w:ilvl w:val="0"/>
        <w:numId w:val="0"/>
      </w:numPr>
      <w:suppressAutoHyphens w:val="true"/>
      <w:spacing w:before="120" w:after="180"/>
      <w:jc w:val="both"/>
    </w:pPr>
    <w:rPr>
      <w:rFonts w:ascii="Times New Roman" w:hAnsi="Times New Roman" w:cs="Times New Roman"/>
      <w:b w:val="false"/>
      <w:bCs w:val="false"/>
      <w:sz w:val="24"/>
      <w:szCs w:val="24"/>
      <w:u w:val="single"/>
    </w:rPr>
  </w:style>
  <w:style w:type="paragraph" w:styleId="Styl4">
    <w:name w:val="Styl4"/>
    <w:basedOn w:val="Heading3"/>
    <w:qFormat/>
    <w:pPr>
      <w:numPr>
        <w:ilvl w:val="0"/>
        <w:numId w:val="0"/>
      </w:numPr>
      <w:suppressAutoHyphens w:val="true"/>
      <w:spacing w:before="120" w:after="180"/>
      <w:jc w:val="both"/>
    </w:pPr>
    <w:rPr>
      <w:rFonts w:ascii="Times New Roman" w:hAnsi="Times New Roman" w:cs="Times New Roman"/>
      <w:b w:val="false"/>
      <w:bCs w:val="false"/>
      <w:sz w:val="24"/>
      <w:szCs w:val="24"/>
      <w:u w:val="single"/>
    </w:rPr>
  </w:style>
  <w:style w:type="paragraph" w:styleId="S">
    <w:name w:val="S"/>
    <w:basedOn w:val="Contents4"/>
    <w:qFormat/>
    <w:pPr>
      <w:keepNext/>
      <w:tabs>
        <w:tab w:val="right" w:pos="9062" w:leader="dot"/>
      </w:tabs>
      <w:suppressAutoHyphens w:val="true"/>
      <w:ind w:left="601" w:hanging="0"/>
      <w:jc w:val="both"/>
      <w:outlineLvl w:val="3"/>
    </w:pPr>
    <w:rPr>
      <w:b/>
      <w:i/>
      <w:color w:val="000000"/>
    </w:rPr>
  </w:style>
  <w:style w:type="paragraph" w:styleId="Styl5">
    <w:name w:val="Styl5"/>
    <w:basedOn w:val="Normal"/>
    <w:next w:val="Contents4"/>
    <w:qFormat/>
    <w:pPr>
      <w:suppressAutoHyphens w:val="true"/>
      <w:jc w:val="both"/>
    </w:pPr>
    <w:rPr>
      <w:b/>
    </w:rPr>
  </w:style>
  <w:style w:type="paragraph" w:styleId="TextnadpisIII">
    <w:name w:val="Text_nadpis_III"/>
    <w:basedOn w:val="Normal"/>
    <w:qFormat/>
    <w:pPr>
      <w:suppressAutoHyphens w:val="true"/>
      <w:spacing w:before="120" w:after="120"/>
      <w:jc w:val="both"/>
    </w:pPr>
    <w:rPr>
      <w:b/>
      <w:i/>
    </w:rPr>
  </w:style>
  <w:style w:type="paragraph" w:styleId="Textodrazky3">
    <w:name w:val="Text_odrazky_3"/>
    <w:basedOn w:val="Text"/>
    <w:qFormat/>
    <w:pPr>
      <w:tabs>
        <w:tab w:val="left" w:pos="360" w:leader="none"/>
      </w:tabs>
      <w:suppressAutoHyphens w:val="true"/>
      <w:spacing w:before="0" w:after="60"/>
      <w:ind w:left="360" w:hanging="360"/>
      <w:jc w:val="both"/>
    </w:pPr>
    <w:rPr>
      <w:rFonts w:ascii="Times New Roman" w:hAnsi="Times New Roman" w:cs="Times New Roman"/>
      <w:color w:val="000000"/>
      <w:sz w:val="24"/>
      <w:szCs w:val="20"/>
    </w:rPr>
  </w:style>
  <w:style w:type="paragraph" w:styleId="Textodrazky9">
    <w:name w:val="Text_odrazky_9"/>
    <w:basedOn w:val="Textodrazky3"/>
    <w:qFormat/>
    <w:pPr>
      <w:tabs>
        <w:tab w:val="left" w:pos="1440" w:leader="none"/>
      </w:tabs>
      <w:spacing w:before="0" w:after="180"/>
      <w:ind w:left="1440" w:hanging="360"/>
    </w:pPr>
    <w:rPr/>
  </w:style>
  <w:style w:type="paragraph" w:styleId="Textodsazeny">
    <w:name w:val="Text_odsazeny"/>
    <w:basedOn w:val="Text"/>
    <w:qFormat/>
    <w:pPr>
      <w:suppressAutoHyphens w:val="true"/>
      <w:spacing w:before="0" w:after="60"/>
      <w:ind w:left="357" w:hanging="0"/>
      <w:jc w:val="both"/>
    </w:pPr>
    <w:rPr>
      <w:rFonts w:ascii="Times New Roman" w:hAnsi="Times New Roman" w:cs="Times New Roman"/>
      <w:color w:val="000000"/>
      <w:sz w:val="24"/>
      <w:szCs w:val="20"/>
    </w:rPr>
  </w:style>
  <w:style w:type="paragraph" w:styleId="StylTextodrazkyIITun">
    <w:name w:val="Styl Text_odrazky_II + Tučné"/>
    <w:basedOn w:val="Textodrazky9"/>
    <w:qFormat/>
    <w:pPr/>
    <w:rPr>
      <w:b/>
      <w:bCs/>
    </w:rPr>
  </w:style>
  <w:style w:type="paragraph" w:styleId="Saleandleaseback">
    <w:name w:val="Sale and leaseback"/>
    <w:basedOn w:val="Normal"/>
    <w:qFormat/>
    <w:pPr>
      <w:tabs>
        <w:tab w:val="left" w:pos="900" w:leader="none"/>
      </w:tabs>
      <w:suppressAutoHyphens w:val="true"/>
      <w:ind w:left="900" w:hanging="360"/>
    </w:pPr>
    <w:rPr>
      <w:lang w:val="en-US"/>
    </w:rPr>
  </w:style>
  <w:style w:type="paragraph" w:styleId="Textpodtop">
    <w:name w:val="Text_podtop"/>
    <w:basedOn w:val="TextBody"/>
    <w:qFormat/>
    <w:pPr>
      <w:pBdr>
        <w:top w:val="single" w:sz="4" w:space="4" w:color="C0C0C0" w:shadow="1"/>
        <w:left w:val="single" w:sz="4" w:space="0" w:color="C0C0C0" w:shadow="1"/>
        <w:bottom w:val="single" w:sz="4" w:space="1" w:color="C0C0C0" w:shadow="1"/>
        <w:right w:val="single" w:sz="4" w:space="0" w:color="C0C0C0" w:shadow="1"/>
      </w:pBdr>
      <w:shd w:fill="CCFFFF" w:val="clear"/>
      <w:suppressAutoHyphens w:val="true"/>
      <w:spacing w:before="0" w:after="180"/>
    </w:pPr>
    <w:rPr>
      <w:b/>
      <w:bCs/>
      <w:sz w:val="24"/>
    </w:rPr>
  </w:style>
  <w:style w:type="paragraph" w:styleId="Tabulkovy3">
    <w:name w:val="Tabulkovy 3"/>
    <w:basedOn w:val="Tabulkovy"/>
    <w:qFormat/>
    <w:pPr>
      <w:spacing w:before="0" w:after="60"/>
    </w:pPr>
    <w:rPr/>
  </w:style>
  <w:style w:type="paragraph" w:styleId="Nadpis3text">
    <w:name w:val="Nadpis 3 text"/>
    <w:basedOn w:val="Text"/>
    <w:qFormat/>
    <w:pPr>
      <w:keepNext/>
      <w:tabs>
        <w:tab w:val="left" w:pos="0" w:leader="none"/>
      </w:tabs>
      <w:suppressAutoHyphens w:val="true"/>
      <w:spacing w:before="240" w:after="120"/>
      <w:jc w:val="both"/>
    </w:pPr>
    <w:rPr>
      <w:rFonts w:ascii="Times New Roman" w:hAnsi="Times New Roman" w:cs="Times New Roman"/>
      <w:b/>
      <w:color w:val="000000"/>
      <w:sz w:val="26"/>
      <w:szCs w:val="20"/>
      <w:u w:val="single"/>
    </w:rPr>
  </w:style>
  <w:style w:type="paragraph" w:styleId="Textodrazky2ods">
    <w:name w:val="Text_odrazky_2ods"/>
    <w:basedOn w:val="Textodrazky3"/>
    <w:qFormat/>
    <w:pPr>
      <w:tabs>
        <w:tab w:val="left" w:pos="697" w:leader="none"/>
      </w:tabs>
      <w:spacing w:before="0" w:after="40"/>
      <w:ind w:left="697" w:hanging="357"/>
    </w:pPr>
    <w:rPr/>
  </w:style>
  <w:style w:type="paragraph" w:styleId="Vzorcovy">
    <w:name w:val="Vzorcovy"/>
    <w:basedOn w:val="Grafovy"/>
    <w:next w:val="Text"/>
    <w:qFormat/>
    <w:pPr>
      <w:spacing w:before="120" w:after="120"/>
      <w:ind w:left="720" w:hanging="0"/>
      <w:jc w:val="both"/>
    </w:pPr>
    <w:rPr/>
  </w:style>
  <w:style w:type="paragraph" w:styleId="Text9">
    <w:name w:val="text 9"/>
    <w:basedOn w:val="Text2"/>
    <w:qFormat/>
    <w:pPr>
      <w:spacing w:before="0" w:after="180"/>
    </w:pPr>
    <w:rPr/>
  </w:style>
  <w:style w:type="paragraph" w:styleId="Textvysvetlivky0">
    <w:name w:val="Text vysvetlivky 0"/>
    <w:basedOn w:val="Text"/>
    <w:qFormat/>
    <w:pPr>
      <w:tabs>
        <w:tab w:val="left" w:pos="426" w:leader="none"/>
        <w:tab w:val="left" w:pos="1418" w:leader="none"/>
      </w:tabs>
      <w:suppressAutoHyphens w:val="true"/>
      <w:spacing w:before="0" w:after="0"/>
      <w:ind w:left="1418" w:hanging="1418"/>
      <w:jc w:val="both"/>
    </w:pPr>
    <w:rPr>
      <w:rFonts w:ascii="Times New Roman" w:hAnsi="Times New Roman" w:cs="Times New Roman"/>
      <w:color w:val="000000"/>
      <w:sz w:val="24"/>
      <w:szCs w:val="20"/>
    </w:rPr>
  </w:style>
  <w:style w:type="paragraph" w:styleId="Textvysvetlivky9">
    <w:name w:val="Text vysvetlivky 9"/>
    <w:basedOn w:val="Textvysvetlivky0"/>
    <w:qFormat/>
    <w:pPr>
      <w:spacing w:before="0" w:after="180"/>
    </w:pPr>
    <w:rPr/>
  </w:style>
  <w:style w:type="paragraph" w:styleId="ListParagraph">
    <w:name w:val="List Paragraph"/>
    <w:basedOn w:val="Normal"/>
    <w:qFormat/>
    <w:pPr>
      <w:suppressAutoHyphens w:val="true"/>
      <w:spacing w:lineRule="auto" w:line="276" w:before="0" w:after="200"/>
      <w:ind w:left="720" w:hanging="0"/>
    </w:pPr>
    <w:rPr>
      <w:rFonts w:ascii="Calibri" w:hAnsi="Calibri" w:cs="Calibri"/>
      <w:sz w:val="22"/>
      <w:szCs w:val="22"/>
    </w:rPr>
  </w:style>
  <w:style w:type="paragraph" w:styleId="Nadpis33">
    <w:name w:val="Nadpis 33"/>
    <w:basedOn w:val="Heading3"/>
    <w:qFormat/>
    <w:pPr>
      <w:numPr>
        <w:ilvl w:val="0"/>
        <w:numId w:val="0"/>
      </w:numPr>
      <w:suppressAutoHyphens w:val="true"/>
      <w:spacing w:before="120" w:after="180"/>
      <w:jc w:val="both"/>
    </w:pPr>
    <w:rPr>
      <w:rFonts w:ascii="Times New Roman" w:hAnsi="Times New Roman" w:cs="Times New Roman"/>
      <w:b w:val="false"/>
      <w:bCs w:val="false"/>
      <w:i/>
      <w:sz w:val="24"/>
      <w:szCs w:val="20"/>
      <w:u w:val="single"/>
    </w:rPr>
  </w:style>
  <w:style w:type="paragraph" w:styleId="Msolistparagraph">
    <w:name w:val="msolistparagraph"/>
    <w:basedOn w:val="Normal"/>
    <w:qFormat/>
    <w:pPr>
      <w:suppressAutoHyphens w:val="true"/>
      <w:ind w:left="720" w:hanging="0"/>
    </w:pPr>
    <w:rPr/>
  </w:style>
  <w:style w:type="paragraph" w:styleId="Textodrazky9ods">
    <w:name w:val="Text_odrazky_9ods"/>
    <w:basedOn w:val="Textodrazky2ods"/>
    <w:qFormat/>
    <w:pPr>
      <w:spacing w:before="0" w:after="180"/>
    </w:pPr>
    <w:rPr/>
  </w:style>
  <w:style w:type="paragraph" w:styleId="Bodytext">
    <w:name w:val="bodytext"/>
    <w:basedOn w:val="Normal"/>
    <w:qFormat/>
    <w:pPr>
      <w:suppressAutoHyphens w:val="true"/>
      <w:spacing w:before="280" w:after="280"/>
    </w:pPr>
    <w:rPr/>
  </w:style>
  <w:style w:type="paragraph" w:styleId="StylStylNadpis2">
    <w:name w:val="Styl Styl Nadpis 2"/>
    <w:basedOn w:val="StylNadpis2"/>
    <w:qFormat/>
    <w:pPr/>
    <w:rPr>
      <w:color w:val="000000"/>
    </w:rPr>
  </w:style>
  <w:style w:type="paragraph" w:styleId="Fs">
    <w:name w:val="fs"/>
    <w:basedOn w:val="Normal"/>
    <w:qFormat/>
    <w:pPr>
      <w:suppressAutoHyphens w:val="true"/>
      <w:spacing w:before="0" w:after="120"/>
      <w:ind w:firstLine="709"/>
    </w:pPr>
    <w:rPr>
      <w:sz w:val="20"/>
      <w:szCs w:val="20"/>
    </w:rPr>
  </w:style>
  <w:style w:type="paragraph" w:styleId="Textodrazky3ods">
    <w:name w:val="Text_odrazky_3ods"/>
    <w:basedOn w:val="Textodrazky3"/>
    <w:qFormat/>
    <w:pPr>
      <w:numPr>
        <w:ilvl w:val="0"/>
        <w:numId w:val="0"/>
      </w:numPr>
      <w:tabs>
        <w:tab w:val="left" w:pos="360" w:leader="none"/>
        <w:tab w:val="left" w:pos="697" w:leader="none"/>
      </w:tabs>
      <w:spacing w:before="0" w:after="180"/>
      <w:ind w:left="697" w:hanging="357"/>
    </w:pPr>
    <w:rPr/>
  </w:style>
  <w:style w:type="paragraph" w:styleId="TitulekdownI">
    <w:name w:val="Titulek_down I"/>
    <w:basedOn w:val="Titulekdown"/>
    <w:qFormat/>
    <w:pPr/>
    <w:rPr/>
  </w:style>
  <w:style w:type="paragraph" w:styleId="Textodrazky2odsPed3b">
    <w:name w:val="Text_odrazky_2ods + Před:  3 b."/>
    <w:basedOn w:val="Textodrazky2ods"/>
    <w:qFormat/>
    <w:pPr>
      <w:spacing w:before="60" w:after="0"/>
    </w:pPr>
    <w:rPr/>
  </w:style>
  <w:style w:type="paragraph" w:styleId="Textpodpis">
    <w:name w:val="text_podpis"/>
    <w:basedOn w:val="Text"/>
    <w:qFormat/>
    <w:pPr>
      <w:tabs>
        <w:tab w:val="center" w:pos="6804" w:leader="none"/>
      </w:tabs>
      <w:suppressAutoHyphens w:val="true"/>
      <w:spacing w:before="0" w:after="60"/>
      <w:jc w:val="both"/>
    </w:pPr>
    <w:rPr>
      <w:rFonts w:ascii="Times New Roman" w:hAnsi="Times New Roman" w:cs="Times New Roman"/>
      <w:color w:val="000000"/>
      <w:sz w:val="24"/>
      <w:szCs w:val="20"/>
    </w:rPr>
  </w:style>
  <w:style w:type="paragraph" w:styleId="Nadpis6text">
    <w:name w:val="Nadpis 6 text"/>
    <w:basedOn w:val="Nadpis5text"/>
    <w:next w:val="Text"/>
    <w:qFormat/>
    <w:pPr>
      <w:spacing w:before="360" w:after="180"/>
    </w:pPr>
    <w:rPr/>
  </w:style>
  <w:style w:type="paragraph" w:styleId="Modenormln">
    <w:name w:val="Modře normální"/>
    <w:basedOn w:val="Normal"/>
    <w:qFormat/>
    <w:pPr>
      <w:suppressAutoHyphens w:val="true"/>
      <w:overflowPunct w:val="false"/>
      <w:autoSpaceDE w:val="false"/>
      <w:textAlignment w:val="baseline"/>
    </w:pPr>
    <w:rPr>
      <w:color w:val="0000FF"/>
      <w:szCs w:val="20"/>
    </w:rPr>
  </w:style>
  <w:style w:type="paragraph" w:styleId="Ervennormln">
    <w:name w:val="Červeně normální"/>
    <w:basedOn w:val="Normal"/>
    <w:qFormat/>
    <w:pPr>
      <w:suppressAutoHyphens w:val="true"/>
      <w:overflowPunct w:val="false"/>
      <w:autoSpaceDE w:val="false"/>
      <w:textAlignment w:val="baseline"/>
    </w:pPr>
    <w:rPr>
      <w:color w:val="FF0000"/>
      <w:szCs w:val="20"/>
    </w:rPr>
  </w:style>
  <w:style w:type="paragraph" w:styleId="Zelennormln">
    <w:name w:val="Zeleně normální"/>
    <w:basedOn w:val="Normal"/>
    <w:qFormat/>
    <w:pPr>
      <w:suppressAutoHyphens w:val="true"/>
      <w:overflowPunct w:val="false"/>
      <w:autoSpaceDE w:val="false"/>
      <w:textAlignment w:val="baseline"/>
    </w:pPr>
    <w:rPr>
      <w:color w:val="00FF00"/>
      <w:szCs w:val="20"/>
    </w:rPr>
  </w:style>
  <w:style w:type="paragraph" w:styleId="Hlavnnadpis">
    <w:name w:val="Hlavní nadpis"/>
    <w:basedOn w:val="Normal"/>
    <w:qFormat/>
    <w:pPr>
      <w:suppressAutoHyphens w:val="true"/>
      <w:overflowPunct w:val="false"/>
      <w:autoSpaceDE w:val="false"/>
      <w:jc w:val="center"/>
      <w:textAlignment w:val="baseline"/>
    </w:pPr>
    <w:rPr>
      <w:b/>
      <w:smallCaps/>
      <w:sz w:val="48"/>
      <w:szCs w:val="48"/>
    </w:rPr>
  </w:style>
  <w:style w:type="paragraph" w:styleId="Seznamsodrkami21">
    <w:name w:val="Seznam s odrážkami 21"/>
    <w:basedOn w:val="Normal"/>
    <w:qFormat/>
    <w:pPr>
      <w:tabs>
        <w:tab w:val="left" w:pos="1065" w:leader="none"/>
      </w:tabs>
      <w:suppressAutoHyphens w:val="true"/>
      <w:overflowPunct w:val="false"/>
      <w:autoSpaceDE w:val="false"/>
      <w:ind w:left="566" w:hanging="705"/>
      <w:textAlignment w:val="baseline"/>
    </w:pPr>
    <w:rPr>
      <w:szCs w:val="20"/>
    </w:rPr>
  </w:style>
  <w:style w:type="paragraph" w:styleId="BodyTextIndent21">
    <w:name w:val="Body Text Indent 21"/>
    <w:basedOn w:val="Normal"/>
    <w:qFormat/>
    <w:pPr>
      <w:widowControl w:val="false"/>
      <w:suppressAutoHyphens w:val="true"/>
      <w:overflowPunct w:val="false"/>
      <w:autoSpaceDE w:val="false"/>
      <w:spacing w:before="0" w:after="120"/>
      <w:ind w:left="300" w:firstLine="708"/>
      <w:jc w:val="both"/>
      <w:textAlignment w:val="baseline"/>
    </w:pPr>
    <w:rPr>
      <w:rFonts w:ascii="Arial" w:hAnsi="Arial" w:cs="Arial"/>
      <w:szCs w:val="20"/>
    </w:rPr>
  </w:style>
  <w:style w:type="paragraph" w:styleId="BodyTextIndent31">
    <w:name w:val="Body Text Indent 31"/>
    <w:basedOn w:val="Normal"/>
    <w:qFormat/>
    <w:pPr>
      <w:widowControl w:val="false"/>
      <w:suppressAutoHyphens w:val="true"/>
      <w:overflowPunct w:val="false"/>
      <w:autoSpaceDE w:val="false"/>
      <w:ind w:left="851" w:hanging="851"/>
      <w:jc w:val="both"/>
      <w:textAlignment w:val="baseline"/>
    </w:pPr>
    <w:rPr>
      <w:sz w:val="26"/>
      <w:szCs w:val="20"/>
    </w:rPr>
  </w:style>
  <w:style w:type="paragraph" w:styleId="Textparagrafu">
    <w:name w:val="Text paragrafu"/>
    <w:basedOn w:val="Normal"/>
    <w:qFormat/>
    <w:pPr>
      <w:suppressAutoHyphens w:val="true"/>
      <w:overflowPunct w:val="false"/>
      <w:autoSpaceDE w:val="false"/>
      <w:spacing w:before="240" w:after="0"/>
      <w:ind w:firstLine="425"/>
      <w:textAlignment w:val="baseline"/>
    </w:pPr>
    <w:rPr>
      <w:szCs w:val="20"/>
    </w:rPr>
  </w:style>
  <w:style w:type="paragraph" w:styleId="Textodstavce">
    <w:name w:val="Text odstavce"/>
    <w:basedOn w:val="Normal"/>
    <w:qFormat/>
    <w:pPr>
      <w:tabs>
        <w:tab w:val="left" w:pos="785" w:leader="none"/>
        <w:tab w:val="left" w:pos="851" w:leader="none"/>
      </w:tabs>
      <w:suppressAutoHyphens w:val="true"/>
      <w:overflowPunct w:val="false"/>
      <w:autoSpaceDE w:val="false"/>
      <w:spacing w:before="120" w:after="120"/>
      <w:ind w:firstLine="425"/>
      <w:textAlignment w:val="baseline"/>
    </w:pPr>
    <w:rPr>
      <w:szCs w:val="20"/>
    </w:rPr>
  </w:style>
  <w:style w:type="paragraph" w:styleId="Paragraf">
    <w:name w:val="Paragraf"/>
    <w:basedOn w:val="Normal"/>
    <w:next w:val="Textodstavce"/>
    <w:qFormat/>
    <w:pPr>
      <w:keepNext/>
      <w:keepLines/>
      <w:suppressAutoHyphens w:val="true"/>
      <w:overflowPunct w:val="false"/>
      <w:autoSpaceDE w:val="false"/>
      <w:spacing w:before="240" w:after="0"/>
      <w:jc w:val="center"/>
      <w:textAlignment w:val="baseline"/>
    </w:pPr>
    <w:rPr>
      <w:szCs w:val="20"/>
    </w:rPr>
  </w:style>
  <w:style w:type="paragraph" w:styleId="NADPISSTI">
    <w:name w:val="NADPIS ČÁSTI"/>
    <w:basedOn w:val="Normal"/>
    <w:next w:val="Normal"/>
    <w:qFormat/>
    <w:pPr>
      <w:keepNext/>
      <w:keepLines/>
      <w:suppressAutoHyphens w:val="true"/>
      <w:overflowPunct w:val="false"/>
      <w:autoSpaceDE w:val="false"/>
      <w:jc w:val="center"/>
      <w:textAlignment w:val="baseline"/>
    </w:pPr>
    <w:rPr>
      <w:b/>
      <w:caps/>
      <w:szCs w:val="20"/>
    </w:rPr>
  </w:style>
  <w:style w:type="paragraph" w:styleId="Styl16bTunzarovnnnasted">
    <w:name w:val="Styl 16 b. Tučné zarovnání na střed"/>
    <w:basedOn w:val="Normal"/>
    <w:qFormat/>
    <w:pPr>
      <w:suppressAutoHyphens w:val="true"/>
      <w:overflowPunct w:val="false"/>
      <w:autoSpaceDE w:val="false"/>
      <w:jc w:val="center"/>
      <w:textAlignment w:val="baseline"/>
    </w:pPr>
    <w:rPr>
      <w:b/>
      <w:bCs/>
      <w:sz w:val="36"/>
      <w:szCs w:val="20"/>
    </w:rPr>
  </w:style>
  <w:style w:type="paragraph" w:styleId="NormalWeb2">
    <w:name w:val="Normal (Web)2"/>
    <w:basedOn w:val="Normal"/>
    <w:qFormat/>
    <w:pPr>
      <w:suppressAutoHyphens w:val="true"/>
      <w:spacing w:before="100" w:after="100"/>
    </w:pPr>
    <w:rPr>
      <w:szCs w:val="20"/>
    </w:rPr>
  </w:style>
  <w:style w:type="paragraph" w:styleId="Styl41">
    <w:name w:val="styl4"/>
    <w:basedOn w:val="Heading4"/>
    <w:next w:val="Normal"/>
    <w:qFormat/>
    <w:pPr>
      <w:numPr>
        <w:ilvl w:val="0"/>
        <w:numId w:val="0"/>
      </w:numPr>
      <w:tabs>
        <w:tab w:val="left" w:pos="864" w:leader="none"/>
      </w:tabs>
      <w:spacing w:before="240" w:after="60"/>
      <w:ind w:left="864" w:hanging="144"/>
      <w:jc w:val="both"/>
    </w:pPr>
    <w:rPr>
      <w:bCs/>
      <w:i/>
      <w:color w:val="000000"/>
      <w:sz w:val="28"/>
      <w:szCs w:val="28"/>
    </w:rPr>
  </w:style>
  <w:style w:type="paragraph" w:styleId="Contentsinglearticledescription">
    <w:name w:val="content_single_article_description"/>
    <w:basedOn w:val="Normal"/>
    <w:qFormat/>
    <w:pPr>
      <w:pBdr>
        <w:top w:val="single" w:sz="4" w:space="2" w:color="C0C0C0"/>
        <w:left w:val="single" w:sz="4" w:space="4" w:color="C0C0C0"/>
        <w:bottom w:val="single" w:sz="4" w:space="2" w:color="C0C0C0"/>
        <w:right w:val="single" w:sz="4" w:space="4" w:color="C0C0C0"/>
      </w:pBdr>
      <w:shd w:fill="F5F5F5" w:val="clear"/>
      <w:suppressAutoHyphens w:val="true"/>
      <w:spacing w:before="280" w:after="280"/>
    </w:pPr>
    <w:rPr>
      <w:rFonts w:ascii="Tahoma" w:hAnsi="Tahoma" w:cs="Tahoma"/>
      <w:color w:val="000000"/>
      <w:sz w:val="16"/>
      <w:szCs w:val="16"/>
    </w:rPr>
  </w:style>
  <w:style w:type="paragraph" w:styleId="NormlnZarovnatdobloku">
    <w:name w:val="Normální + Zarovnat do bloku"/>
    <w:basedOn w:val="Normal"/>
    <w:qFormat/>
    <w:pPr>
      <w:suppressAutoHyphens w:val="true"/>
      <w:jc w:val="both"/>
    </w:pPr>
    <w:rPr/>
  </w:style>
  <w:style w:type="paragraph" w:styleId="StylNadpis3zarovnnnastedPed18b">
    <w:name w:val="Styl Nadpis 3 + zarovnání na střed Před:  18 b."/>
    <w:basedOn w:val="Normal"/>
    <w:qFormat/>
    <w:pPr>
      <w:suppressAutoHyphens w:val="true"/>
      <w:spacing w:before="360" w:after="0"/>
      <w:jc w:val="center"/>
    </w:pPr>
    <w:rPr>
      <w:sz w:val="20"/>
      <w:szCs w:val="20"/>
    </w:rPr>
  </w:style>
  <w:style w:type="paragraph" w:styleId="Styl12bTunKurzvaernZarovnatdoblokuPed12b">
    <w:name w:val="Styl 12 b. Tučné Kurzíva Černá Zarovnat do bloku Před:  12 b...."/>
    <w:basedOn w:val="Heading3"/>
    <w:qFormat/>
    <w:pPr>
      <w:numPr>
        <w:ilvl w:val="0"/>
        <w:numId w:val="0"/>
      </w:numPr>
      <w:tabs>
        <w:tab w:val="left" w:pos="720" w:leader="none"/>
      </w:tabs>
      <w:suppressAutoHyphens w:val="true"/>
      <w:ind w:left="720" w:hanging="432"/>
      <w:jc w:val="both"/>
    </w:pPr>
    <w:rPr>
      <w:rFonts w:ascii="Times New Roman" w:hAnsi="Times New Roman" w:cs="Times New Roman"/>
      <w:b w:val="false"/>
      <w:bCs w:val="false"/>
      <w:iCs/>
      <w:color w:val="000000"/>
      <w:sz w:val="24"/>
    </w:rPr>
  </w:style>
  <w:style w:type="paragraph" w:styleId="StylStyl12bTunKurzvaernZarovnatdoblokuPed12b">
    <w:name w:val="Styl Styl 12 b. Tučné Kurzíva Černá Zarovnat do bloku Před:  12 b...."/>
    <w:basedOn w:val="Heading3"/>
    <w:next w:val="StylNadpis3zarovnnnastedPed18b"/>
    <w:qFormat/>
    <w:pPr>
      <w:numPr>
        <w:ilvl w:val="0"/>
        <w:numId w:val="0"/>
      </w:numPr>
      <w:tabs>
        <w:tab w:val="left" w:pos="720" w:leader="none"/>
      </w:tabs>
      <w:suppressAutoHyphens w:val="true"/>
      <w:ind w:left="720" w:hanging="432"/>
    </w:pPr>
    <w:rPr>
      <w:rFonts w:ascii="Times New Roman" w:hAnsi="Times New Roman" w:cs="Times New Roman"/>
      <w:bCs w:val="false"/>
      <w:sz w:val="24"/>
    </w:rPr>
  </w:style>
  <w:style w:type="paragraph" w:styleId="Styl12bTunKurzvaern">
    <w:name w:val="Styl 12 b. Tučné Kurzíva Černá"/>
    <w:basedOn w:val="Normal"/>
    <w:qFormat/>
    <w:pPr>
      <w:suppressAutoHyphens w:val="true"/>
      <w:jc w:val="both"/>
    </w:pPr>
    <w:rPr>
      <w:bCs/>
      <w:i/>
      <w:color w:val="000000"/>
    </w:rPr>
  </w:style>
  <w:style w:type="paragraph" w:styleId="StylNadpis3TimesNewRoman12bKurzvaPed0bZa">
    <w:name w:val="Styl Nadpis 3 + Times New Roman 12 b. Kurzíva Před:  0 b. Za: ..."/>
    <w:basedOn w:val="Normal"/>
    <w:qFormat/>
    <w:pPr>
      <w:suppressAutoHyphens w:val="true"/>
      <w:spacing w:before="0" w:after="120"/>
    </w:pPr>
    <w:rPr>
      <w:i/>
      <w:iCs/>
      <w:szCs w:val="20"/>
    </w:rPr>
  </w:style>
  <w:style w:type="paragraph" w:styleId="StylStyl12bTunKurzvaernTun">
    <w:name w:val="Styl Styl 12 b. Tučné Kurzíva Černá + Tučné"/>
    <w:basedOn w:val="Normal"/>
    <w:qFormat/>
    <w:pPr>
      <w:suppressAutoHyphens w:val="true"/>
    </w:pPr>
    <w:rPr>
      <w:b/>
      <w:iCs/>
      <w:sz w:val="20"/>
      <w:szCs w:val="20"/>
    </w:rPr>
  </w:style>
  <w:style w:type="paragraph" w:styleId="StylStylStyl12bTunKurzvaernTun12bKurzva">
    <w:name w:val="Styl Styl Styl 12 b. Tučné Kurzíva Černá + Tučné + 12 b. Kurzíva"/>
    <w:basedOn w:val="Heading3"/>
    <w:next w:val="StylNadpis3zarovnnnastedPed18b"/>
    <w:qFormat/>
    <w:pPr>
      <w:numPr>
        <w:ilvl w:val="0"/>
        <w:numId w:val="0"/>
      </w:numPr>
      <w:tabs>
        <w:tab w:val="left" w:pos="720" w:leader="none"/>
      </w:tabs>
      <w:suppressAutoHyphens w:val="true"/>
      <w:ind w:left="720" w:hanging="432"/>
    </w:pPr>
    <w:rPr>
      <w:rFonts w:ascii="Times New Roman" w:hAnsi="Times New Roman" w:cs="Times New Roman"/>
      <w:bCs w:val="false"/>
      <w:sz w:val="24"/>
      <w:u w:val="single"/>
    </w:rPr>
  </w:style>
  <w:style w:type="paragraph" w:styleId="StylNadpis3TimesNewRoman12bKurzvaPed0bZa1">
    <w:name w:val="Styl Nadpis 3 + Times New Roman 12 b. Kurzíva Před:  0 b. Za: ...1"/>
    <w:basedOn w:val="Heading3"/>
    <w:next w:val="StylNadpis3zarovnnnastedPed18b"/>
    <w:qFormat/>
    <w:pPr>
      <w:numPr>
        <w:ilvl w:val="0"/>
        <w:numId w:val="0"/>
      </w:numPr>
      <w:tabs>
        <w:tab w:val="left" w:pos="720" w:leader="none"/>
      </w:tabs>
      <w:suppressAutoHyphens w:val="true"/>
      <w:spacing w:before="0" w:after="0"/>
      <w:ind w:left="720" w:hanging="432"/>
    </w:pPr>
    <w:rPr>
      <w:rFonts w:ascii="Times New Roman" w:hAnsi="Times New Roman" w:cs="Times New Roman"/>
      <w:iCs/>
      <w:sz w:val="24"/>
      <w:szCs w:val="20"/>
    </w:rPr>
  </w:style>
  <w:style w:type="paragraph" w:styleId="StylNormlnwebKurzvaModrPodtren">
    <w:name w:val="Styl Normální (web) + Kurzíva Modrá Podtržení"/>
    <w:basedOn w:val="Normlnweb"/>
    <w:qFormat/>
    <w:pPr>
      <w:suppressAutoHyphens w:val="true"/>
      <w:spacing w:before="280" w:after="280"/>
    </w:pPr>
    <w:rPr>
      <w:b/>
      <w:i/>
      <w:iCs/>
      <w:u w:val="single"/>
    </w:rPr>
  </w:style>
  <w:style w:type="paragraph" w:styleId="StylNadpis3Vlevo0cmPrvndek125cm">
    <w:name w:val="Styl Nadpis 3 + Vlevo:  0 cm První řádek:  125 cm"/>
    <w:basedOn w:val="Heading3"/>
    <w:qFormat/>
    <w:pPr>
      <w:numPr>
        <w:ilvl w:val="0"/>
        <w:numId w:val="0"/>
      </w:numPr>
      <w:tabs>
        <w:tab w:val="left" w:pos="720" w:leader="none"/>
      </w:tabs>
      <w:suppressAutoHyphens w:val="true"/>
      <w:spacing w:before="120" w:after="120"/>
      <w:ind w:left="720" w:hanging="432"/>
    </w:pPr>
    <w:rPr>
      <w:rFonts w:ascii="Georgia" w:hAnsi="Georgia" w:cs="Times New Roman"/>
      <w:b w:val="false"/>
      <w:color w:val="5F5F5F"/>
      <w:sz w:val="24"/>
      <w:szCs w:val="20"/>
    </w:rPr>
  </w:style>
  <w:style w:type="paragraph" w:styleId="Normal1">
    <w:name w:val="Normal1"/>
    <w:basedOn w:val="Normal"/>
    <w:qFormat/>
    <w:pPr>
      <w:widowControl w:val="false"/>
      <w:suppressAutoHyphens w:val="true"/>
      <w:spacing w:before="60" w:after="0"/>
      <w:ind w:firstLine="902"/>
      <w:jc w:val="both"/>
    </w:pPr>
    <w:rPr>
      <w:color w:val="000000"/>
      <w:szCs w:val="20"/>
    </w:rPr>
  </w:style>
  <w:style w:type="paragraph" w:styleId="Xl24">
    <w:name w:val="xl24"/>
    <w:basedOn w:val="Normal"/>
    <w:qFormat/>
    <w:pPr>
      <w:suppressAutoHyphens w:val="true"/>
      <w:spacing w:before="280" w:after="280"/>
    </w:pPr>
    <w:rPr>
      <w:rFonts w:ascii="Arial" w:hAnsi="Arial" w:cs="Arial"/>
      <w:b/>
      <w:bCs/>
    </w:rPr>
  </w:style>
  <w:style w:type="paragraph" w:styleId="Prosttext1">
    <w:name w:val="Prostý text1"/>
    <w:basedOn w:val="Normal"/>
    <w:qFormat/>
    <w:pPr>
      <w:suppressAutoHyphens w:val="true"/>
    </w:pPr>
    <w:rPr>
      <w:rFonts w:ascii="Courier New" w:hAnsi="Courier New" w:cs="Courier New"/>
      <w:sz w:val="20"/>
      <w:szCs w:val="20"/>
    </w:rPr>
  </w:style>
  <w:style w:type="paragraph" w:styleId="Zdroj">
    <w:name w:val="Zdroj"/>
    <w:basedOn w:val="Normal"/>
    <w:qFormat/>
    <w:pPr>
      <w:suppressAutoHyphens w:val="true"/>
      <w:jc w:val="both"/>
    </w:pPr>
    <w:rPr/>
  </w:style>
  <w:style w:type="paragraph" w:styleId="Textkomente1">
    <w:name w:val="Text komentáře1"/>
    <w:basedOn w:val="Normal"/>
    <w:qFormat/>
    <w:pPr>
      <w:suppressAutoHyphens w:val="true"/>
    </w:pPr>
    <w:rPr>
      <w:sz w:val="20"/>
      <w:szCs w:val="20"/>
    </w:rPr>
  </w:style>
  <w:style w:type="paragraph" w:styleId="Comtxt">
    <w:name w:val="com_txt"/>
    <w:basedOn w:val="Normal"/>
    <w:qFormat/>
    <w:pPr>
      <w:suppressAutoHyphens w:val="true"/>
      <w:spacing w:before="280" w:after="280"/>
    </w:pPr>
    <w:rPr>
      <w:color w:val="3D6A86"/>
    </w:rPr>
  </w:style>
  <w:style w:type="paragraph" w:styleId="BodyText21">
    <w:name w:val="Body Text 21"/>
    <w:basedOn w:val="Normal"/>
    <w:qFormat/>
    <w:pPr>
      <w:suppressAutoHyphens w:val="true"/>
      <w:overflowPunct w:val="false"/>
      <w:autoSpaceDE w:val="false"/>
      <w:spacing w:before="0" w:after="120"/>
      <w:ind w:left="283" w:hanging="0"/>
      <w:textAlignment w:val="baseline"/>
    </w:pPr>
    <w:rPr>
      <w:szCs w:val="20"/>
    </w:rPr>
  </w:style>
  <w:style w:type="paragraph" w:styleId="Xl84">
    <w:name w:val="xl84"/>
    <w:basedOn w:val="Normal"/>
    <w:qFormat/>
    <w:pPr>
      <w:pBdr>
        <w:top w:val="single" w:sz="4" w:space="0" w:color="000000"/>
        <w:left w:val="single" w:sz="4" w:space="0" w:color="000000"/>
        <w:bottom w:val="single" w:sz="4" w:space="0" w:color="000000"/>
        <w:right w:val="single" w:sz="4" w:space="0" w:color="000000"/>
      </w:pBdr>
      <w:suppressAutoHyphens w:val="true"/>
      <w:spacing w:before="280" w:after="280"/>
    </w:pPr>
    <w:rPr>
      <w:rFonts w:ascii="Calibri" w:hAnsi="Calibri" w:cs="Calibri"/>
    </w:rPr>
  </w:style>
  <w:style w:type="paragraph" w:styleId="Xl85">
    <w:name w:val="xl85"/>
    <w:basedOn w:val="Normal"/>
    <w:qFormat/>
    <w:pPr>
      <w:pBdr>
        <w:top w:val="single" w:sz="4" w:space="0" w:color="000000"/>
        <w:left w:val="single" w:sz="4" w:space="0" w:color="000000"/>
        <w:bottom w:val="single" w:sz="4" w:space="0" w:color="000000"/>
        <w:right w:val="single" w:sz="4" w:space="0" w:color="000000"/>
      </w:pBdr>
      <w:shd w:fill="CCFFCC" w:val="clear"/>
      <w:suppressAutoHyphens w:val="true"/>
      <w:spacing w:before="280" w:after="280"/>
    </w:pPr>
    <w:rPr>
      <w:rFonts w:ascii="Calibri" w:hAnsi="Calibri" w:cs="Calibri"/>
      <w:b/>
      <w:bCs/>
    </w:rPr>
  </w:style>
  <w:style w:type="paragraph" w:styleId="Xl86">
    <w:name w:val="xl86"/>
    <w:basedOn w:val="Normal"/>
    <w:qFormat/>
    <w:pPr>
      <w:pBdr>
        <w:top w:val="single" w:sz="4" w:space="0" w:color="000000"/>
        <w:left w:val="single" w:sz="4" w:space="0" w:color="000000"/>
        <w:bottom w:val="single" w:sz="4" w:space="0" w:color="000000"/>
        <w:right w:val="single" w:sz="4" w:space="0" w:color="000000"/>
      </w:pBdr>
      <w:shd w:fill="CCFFCC" w:val="clear"/>
      <w:suppressAutoHyphens w:val="true"/>
      <w:spacing w:before="280" w:after="280"/>
      <w:jc w:val="center"/>
      <w:textAlignment w:val="center"/>
    </w:pPr>
    <w:rPr>
      <w:rFonts w:ascii="Calibri" w:hAnsi="Calibri" w:cs="Calibri"/>
    </w:rPr>
  </w:style>
  <w:style w:type="paragraph" w:styleId="Xl87">
    <w:name w:val="xl87"/>
    <w:basedOn w:val="Normal"/>
    <w:qFormat/>
    <w:pPr>
      <w:pBdr>
        <w:top w:val="single" w:sz="4" w:space="0" w:color="000000"/>
        <w:left w:val="single" w:sz="4" w:space="0" w:color="000000"/>
        <w:bottom w:val="single" w:sz="4" w:space="0" w:color="000000"/>
        <w:right w:val="single" w:sz="4" w:space="0" w:color="000000"/>
      </w:pBdr>
      <w:suppressAutoHyphens w:val="true"/>
      <w:spacing w:before="280" w:after="280"/>
    </w:pPr>
    <w:rPr>
      <w:rFonts w:ascii="Calibri" w:hAnsi="Calibri" w:cs="Calibri"/>
    </w:rPr>
  </w:style>
  <w:style w:type="paragraph" w:styleId="Xl88">
    <w:name w:val="xl88"/>
    <w:basedOn w:val="Normal"/>
    <w:qFormat/>
    <w:pPr>
      <w:pBdr>
        <w:top w:val="single" w:sz="4" w:space="0" w:color="000000"/>
        <w:left w:val="single" w:sz="4" w:space="0" w:color="000000"/>
        <w:bottom w:val="single" w:sz="4" w:space="0" w:color="000000"/>
        <w:right w:val="single" w:sz="4" w:space="0" w:color="000000"/>
      </w:pBdr>
      <w:suppressAutoHyphens w:val="true"/>
      <w:spacing w:before="280" w:after="280"/>
    </w:pPr>
    <w:rPr>
      <w:rFonts w:ascii="Calibri" w:hAnsi="Calibri" w:cs="Calibri"/>
    </w:rPr>
  </w:style>
  <w:style w:type="paragraph" w:styleId="Xl89">
    <w:name w:val="xl89"/>
    <w:basedOn w:val="Normal"/>
    <w:qFormat/>
    <w:pPr>
      <w:pBdr>
        <w:top w:val="single" w:sz="4" w:space="0" w:color="000000"/>
        <w:left w:val="single" w:sz="4" w:space="0" w:color="000000"/>
        <w:bottom w:val="single" w:sz="4" w:space="0" w:color="000000"/>
        <w:right w:val="single" w:sz="4" w:space="0" w:color="000000"/>
      </w:pBdr>
      <w:shd w:fill="FFFF99" w:val="clear"/>
      <w:suppressAutoHyphens w:val="true"/>
      <w:spacing w:before="280" w:after="280"/>
    </w:pPr>
    <w:rPr>
      <w:rFonts w:ascii="Calibri" w:hAnsi="Calibri" w:cs="Calibri"/>
      <w:b/>
      <w:bCs/>
    </w:rPr>
  </w:style>
  <w:style w:type="paragraph" w:styleId="Xl90">
    <w:name w:val="xl90"/>
    <w:basedOn w:val="Normal"/>
    <w:qFormat/>
    <w:pPr>
      <w:pBdr>
        <w:top w:val="single" w:sz="4" w:space="0" w:color="000000"/>
        <w:left w:val="single" w:sz="4" w:space="0" w:color="000000"/>
        <w:bottom w:val="single" w:sz="4" w:space="0" w:color="000000"/>
        <w:right w:val="single" w:sz="4" w:space="0" w:color="000000"/>
      </w:pBdr>
      <w:shd w:fill="FFFF99" w:val="clear"/>
      <w:suppressAutoHyphens w:val="true"/>
      <w:spacing w:before="280" w:after="280"/>
    </w:pPr>
    <w:rPr>
      <w:rFonts w:ascii="Calibri" w:hAnsi="Calibri" w:cs="Calibri"/>
    </w:rPr>
  </w:style>
  <w:style w:type="paragraph" w:styleId="Xl91">
    <w:name w:val="xl91"/>
    <w:basedOn w:val="Normal"/>
    <w:qFormat/>
    <w:pPr>
      <w:pBdr>
        <w:top w:val="single" w:sz="4" w:space="0" w:color="000000"/>
        <w:left w:val="single" w:sz="4" w:space="0" w:color="000000"/>
        <w:bottom w:val="single" w:sz="4" w:space="0" w:color="000000"/>
        <w:right w:val="single" w:sz="4" w:space="0" w:color="000000"/>
      </w:pBdr>
      <w:shd w:fill="FFFF99" w:val="clear"/>
      <w:suppressAutoHyphens w:val="true"/>
      <w:spacing w:before="280" w:after="280"/>
    </w:pPr>
    <w:rPr>
      <w:rFonts w:ascii="Calibri" w:hAnsi="Calibri" w:cs="Calibri"/>
      <w:b/>
      <w:bCs/>
    </w:rPr>
  </w:style>
  <w:style w:type="paragraph" w:styleId="Xl92">
    <w:name w:val="xl92"/>
    <w:basedOn w:val="Normal"/>
    <w:qFormat/>
    <w:pPr>
      <w:pBdr>
        <w:top w:val="single" w:sz="4" w:space="0" w:color="000000"/>
        <w:left w:val="single" w:sz="4" w:space="0" w:color="000000"/>
        <w:bottom w:val="single" w:sz="4" w:space="0" w:color="000000"/>
        <w:right w:val="single" w:sz="4" w:space="0" w:color="000000"/>
      </w:pBdr>
      <w:shd w:fill="FFFF99" w:val="clear"/>
      <w:suppressAutoHyphens w:val="true"/>
      <w:spacing w:before="280" w:after="280"/>
    </w:pPr>
    <w:rPr>
      <w:rFonts w:ascii="Calibri" w:hAnsi="Calibri" w:cs="Calibri"/>
      <w:b/>
      <w:bCs/>
    </w:rPr>
  </w:style>
  <w:style w:type="paragraph" w:styleId="Xl93">
    <w:name w:val="xl93"/>
    <w:basedOn w:val="Normal"/>
    <w:qFormat/>
    <w:pPr>
      <w:pBdr>
        <w:top w:val="single" w:sz="4" w:space="0" w:color="000000"/>
        <w:left w:val="single" w:sz="4" w:space="0" w:color="000000"/>
        <w:bottom w:val="single" w:sz="4" w:space="0" w:color="000000"/>
        <w:right w:val="single" w:sz="4" w:space="0" w:color="000000"/>
      </w:pBdr>
      <w:shd w:fill="CCFFCC" w:val="clear"/>
      <w:suppressAutoHyphens w:val="true"/>
      <w:spacing w:before="280" w:after="280"/>
    </w:pPr>
    <w:rPr>
      <w:rFonts w:ascii="Calibri" w:hAnsi="Calibri" w:cs="Calibri"/>
      <w:b/>
      <w:bCs/>
    </w:rPr>
  </w:style>
  <w:style w:type="paragraph" w:styleId="Xl94">
    <w:name w:val="xl94"/>
    <w:basedOn w:val="Normal"/>
    <w:qFormat/>
    <w:pPr>
      <w:pBdr>
        <w:top w:val="single" w:sz="4" w:space="0" w:color="000000"/>
        <w:left w:val="single" w:sz="4" w:space="0" w:color="000000"/>
        <w:bottom w:val="single" w:sz="4" w:space="0" w:color="000000"/>
        <w:right w:val="single" w:sz="4" w:space="0" w:color="000000"/>
      </w:pBdr>
      <w:shd w:fill="CCFFCC" w:val="clear"/>
      <w:suppressAutoHyphens w:val="true"/>
      <w:spacing w:before="280" w:after="280"/>
    </w:pPr>
    <w:rPr>
      <w:rFonts w:ascii="Calibri" w:hAnsi="Calibri" w:cs="Calibri"/>
    </w:rPr>
  </w:style>
  <w:style w:type="paragraph" w:styleId="Xl95">
    <w:name w:val="xl95"/>
    <w:basedOn w:val="Normal"/>
    <w:qFormat/>
    <w:pPr>
      <w:pBdr>
        <w:top w:val="single" w:sz="4" w:space="0" w:color="000000"/>
        <w:left w:val="single" w:sz="4" w:space="0" w:color="000000"/>
        <w:bottom w:val="single" w:sz="4" w:space="0" w:color="000000"/>
        <w:right w:val="single" w:sz="4" w:space="0" w:color="000000"/>
      </w:pBdr>
      <w:shd w:fill="CCFFCC" w:val="clear"/>
      <w:suppressAutoHyphens w:val="true"/>
      <w:spacing w:before="280" w:after="280"/>
    </w:pPr>
    <w:rPr>
      <w:rFonts w:ascii="Calibri" w:hAnsi="Calibri" w:cs="Calibri"/>
      <w:b/>
      <w:bCs/>
    </w:rPr>
  </w:style>
  <w:style w:type="paragraph" w:styleId="Font5">
    <w:name w:val="font5"/>
    <w:basedOn w:val="Normal"/>
    <w:qFormat/>
    <w:pPr>
      <w:suppressAutoHyphens w:val="true"/>
      <w:spacing w:before="280" w:after="280"/>
    </w:pPr>
    <w:rPr>
      <w:rFonts w:ascii="Calibri" w:hAnsi="Calibri" w:cs="Calibri"/>
      <w:b/>
      <w:bCs/>
      <w:sz w:val="20"/>
      <w:szCs w:val="20"/>
    </w:rPr>
  </w:style>
  <w:style w:type="paragraph" w:styleId="Xl96">
    <w:name w:val="xl96"/>
    <w:basedOn w:val="Normal"/>
    <w:qFormat/>
    <w:pPr>
      <w:suppressAutoHyphens w:val="true"/>
      <w:spacing w:before="280" w:after="280"/>
    </w:pPr>
    <w:rPr>
      <w:rFonts w:ascii="Calibri" w:hAnsi="Calibri" w:cs="Calibri"/>
      <w:b/>
      <w:bCs/>
    </w:rPr>
  </w:style>
  <w:style w:type="paragraph" w:styleId="Xl97">
    <w:name w:val="xl97"/>
    <w:basedOn w:val="Normal"/>
    <w:qFormat/>
    <w:pPr>
      <w:pBdr>
        <w:top w:val="single" w:sz="4" w:space="0" w:color="000000"/>
        <w:left w:val="single" w:sz="4" w:space="0" w:color="000000"/>
        <w:bottom w:val="single" w:sz="4" w:space="0" w:color="000000"/>
        <w:right w:val="single" w:sz="4" w:space="0" w:color="000000"/>
      </w:pBdr>
      <w:shd w:fill="CCFFCC" w:val="clear"/>
      <w:suppressAutoHyphens w:val="true"/>
      <w:spacing w:before="280" w:after="280"/>
    </w:pPr>
    <w:rPr>
      <w:rFonts w:ascii="Calibri" w:hAnsi="Calibri" w:cs="Calibri"/>
      <w:b/>
      <w:bCs/>
    </w:rPr>
  </w:style>
  <w:style w:type="paragraph" w:styleId="Xl98">
    <w:name w:val="xl98"/>
    <w:basedOn w:val="Normal"/>
    <w:qFormat/>
    <w:pPr>
      <w:pBdr>
        <w:top w:val="single" w:sz="4" w:space="0" w:color="000000"/>
        <w:left w:val="single" w:sz="4" w:space="0" w:color="000000"/>
        <w:bottom w:val="single" w:sz="4" w:space="0" w:color="000000"/>
        <w:right w:val="single" w:sz="4" w:space="0" w:color="000000"/>
      </w:pBdr>
      <w:shd w:fill="CCFFCC" w:val="clear"/>
      <w:suppressAutoHyphens w:val="true"/>
      <w:spacing w:before="280" w:after="280"/>
    </w:pPr>
    <w:rPr>
      <w:rFonts w:ascii="Calibri" w:hAnsi="Calibri" w:cs="Calibri"/>
      <w:b/>
      <w:bCs/>
    </w:rPr>
  </w:style>
  <w:style w:type="paragraph" w:styleId="Xl99">
    <w:name w:val="xl99"/>
    <w:basedOn w:val="Normal"/>
    <w:qFormat/>
    <w:pPr>
      <w:pBdr>
        <w:top w:val="single" w:sz="4" w:space="0" w:color="000000"/>
        <w:left w:val="single" w:sz="4" w:space="0" w:color="000000"/>
        <w:bottom w:val="single" w:sz="4" w:space="0" w:color="000000"/>
        <w:right w:val="single" w:sz="4" w:space="0" w:color="000000"/>
      </w:pBdr>
      <w:shd w:fill="CCFFCC" w:val="clear"/>
      <w:suppressAutoHyphens w:val="true"/>
      <w:spacing w:before="280" w:after="280"/>
    </w:pPr>
    <w:rPr>
      <w:rFonts w:ascii="Calibri" w:hAnsi="Calibri" w:cs="Calibri"/>
      <w:b/>
      <w:bCs/>
    </w:rPr>
  </w:style>
  <w:style w:type="paragraph" w:styleId="Xl100">
    <w:name w:val="xl100"/>
    <w:basedOn w:val="Normal"/>
    <w:qFormat/>
    <w:pPr>
      <w:pBdr>
        <w:top w:val="single" w:sz="4" w:space="0" w:color="000000"/>
        <w:left w:val="single" w:sz="4" w:space="0" w:color="000000"/>
        <w:bottom w:val="single" w:sz="4" w:space="0" w:color="000000"/>
        <w:right w:val="single" w:sz="4" w:space="0" w:color="000000"/>
      </w:pBdr>
      <w:shd w:fill="00FF00" w:val="clear"/>
      <w:suppressAutoHyphens w:val="true"/>
      <w:spacing w:before="280" w:after="280"/>
      <w:jc w:val="center"/>
    </w:pPr>
    <w:rPr>
      <w:rFonts w:ascii="Calibri" w:hAnsi="Calibri" w:cs="Calibri"/>
      <w:b/>
      <w:bCs/>
    </w:rPr>
  </w:style>
  <w:style w:type="paragraph" w:styleId="Xl101">
    <w:name w:val="xl101"/>
    <w:basedOn w:val="Normal"/>
    <w:qFormat/>
    <w:pPr>
      <w:pBdr>
        <w:top w:val="single" w:sz="4" w:space="0" w:color="000000"/>
        <w:left w:val="single" w:sz="4" w:space="0" w:color="000000"/>
        <w:bottom w:val="single" w:sz="4" w:space="0" w:color="000000"/>
      </w:pBdr>
      <w:shd w:fill="00FF00" w:val="clear"/>
      <w:suppressAutoHyphens w:val="true"/>
      <w:spacing w:before="280" w:after="280"/>
    </w:pPr>
    <w:rPr>
      <w:rFonts w:ascii="Calibri" w:hAnsi="Calibri" w:cs="Calibri"/>
      <w:b/>
      <w:bCs/>
    </w:rPr>
  </w:style>
  <w:style w:type="paragraph" w:styleId="Xl102">
    <w:name w:val="xl102"/>
    <w:basedOn w:val="Normal"/>
    <w:qFormat/>
    <w:pPr>
      <w:pBdr>
        <w:top w:val="single" w:sz="4" w:space="0" w:color="000000"/>
        <w:bottom w:val="single" w:sz="4" w:space="0" w:color="000000"/>
      </w:pBdr>
      <w:shd w:fill="00FF00" w:val="clear"/>
      <w:suppressAutoHyphens w:val="true"/>
      <w:spacing w:before="280" w:after="280"/>
    </w:pPr>
    <w:rPr>
      <w:rFonts w:ascii="Calibri" w:hAnsi="Calibri" w:cs="Calibri"/>
      <w:b/>
      <w:bCs/>
    </w:rPr>
  </w:style>
  <w:style w:type="paragraph" w:styleId="Xl103">
    <w:name w:val="xl103"/>
    <w:basedOn w:val="Normal"/>
    <w:qFormat/>
    <w:pPr>
      <w:pBdr>
        <w:top w:val="single" w:sz="4" w:space="0" w:color="000000"/>
        <w:left w:val="single" w:sz="4" w:space="0" w:color="000000"/>
        <w:bottom w:val="single" w:sz="4" w:space="0" w:color="000000"/>
        <w:right w:val="single" w:sz="4" w:space="0" w:color="000000"/>
      </w:pBdr>
      <w:shd w:fill="00FF00" w:val="clear"/>
      <w:suppressAutoHyphens w:val="true"/>
      <w:spacing w:before="280" w:after="280"/>
    </w:pPr>
    <w:rPr>
      <w:rFonts w:ascii="Calibri" w:hAnsi="Calibri" w:cs="Calibri"/>
      <w:b/>
      <w:bCs/>
    </w:rPr>
  </w:style>
  <w:style w:type="paragraph" w:styleId="Xl104">
    <w:name w:val="xl104"/>
    <w:basedOn w:val="Normal"/>
    <w:qFormat/>
    <w:pPr>
      <w:shd w:fill="0000FF" w:val="clear"/>
      <w:suppressAutoHyphens w:val="true"/>
      <w:spacing w:before="280" w:after="280"/>
      <w:jc w:val="center"/>
    </w:pPr>
    <w:rPr>
      <w:rFonts w:ascii="Calibri" w:hAnsi="Calibri" w:cs="Calibri"/>
      <w:color w:val="FF0000"/>
    </w:rPr>
  </w:style>
  <w:style w:type="paragraph" w:styleId="Xl105">
    <w:name w:val="xl105"/>
    <w:basedOn w:val="Normal"/>
    <w:qFormat/>
    <w:pPr>
      <w:pBdr>
        <w:top w:val="single" w:sz="4" w:space="0" w:color="000000"/>
        <w:left w:val="single" w:sz="4" w:space="0" w:color="000000"/>
        <w:bottom w:val="single" w:sz="4" w:space="0" w:color="000000"/>
      </w:pBdr>
      <w:shd w:fill="CCFFCC" w:val="clear"/>
      <w:suppressAutoHyphens w:val="true"/>
      <w:spacing w:before="280" w:after="280"/>
      <w:jc w:val="center"/>
    </w:pPr>
    <w:rPr>
      <w:rFonts w:ascii="Calibri" w:hAnsi="Calibri" w:cs="Calibri"/>
      <w:b/>
      <w:bCs/>
    </w:rPr>
  </w:style>
  <w:style w:type="paragraph" w:styleId="Xl106">
    <w:name w:val="xl106"/>
    <w:basedOn w:val="Normal"/>
    <w:qFormat/>
    <w:pPr>
      <w:shd w:fill="FFCC99" w:val="clear"/>
      <w:suppressAutoHyphens w:val="true"/>
      <w:spacing w:before="280" w:after="280"/>
      <w:jc w:val="center"/>
    </w:pPr>
    <w:rPr>
      <w:rFonts w:ascii="Calibri" w:hAnsi="Calibri" w:cs="Calibri"/>
      <w:color w:val="FF0000"/>
    </w:rPr>
  </w:style>
  <w:style w:type="paragraph" w:styleId="Xl107">
    <w:name w:val="xl107"/>
    <w:basedOn w:val="Normal"/>
    <w:qFormat/>
    <w:pPr>
      <w:pBdr>
        <w:top w:val="single" w:sz="4" w:space="0" w:color="000000"/>
        <w:bottom w:val="single" w:sz="4" w:space="0" w:color="000000"/>
      </w:pBdr>
      <w:shd w:fill="CCFFCC" w:val="clear"/>
      <w:suppressAutoHyphens w:val="true"/>
      <w:spacing w:before="280" w:after="280"/>
      <w:jc w:val="center"/>
    </w:pPr>
    <w:rPr>
      <w:rFonts w:ascii="Calibri" w:hAnsi="Calibri" w:cs="Calibri"/>
      <w:b/>
      <w:bCs/>
    </w:rPr>
  </w:style>
  <w:style w:type="paragraph" w:styleId="Xl108">
    <w:name w:val="xl108"/>
    <w:basedOn w:val="Normal"/>
    <w:qFormat/>
    <w:pPr>
      <w:suppressAutoHyphens w:val="true"/>
      <w:spacing w:before="280" w:after="280"/>
    </w:pPr>
    <w:rPr>
      <w:rFonts w:ascii="Calibri" w:hAnsi="Calibri" w:cs="Calibri"/>
      <w:b/>
      <w:bCs/>
    </w:rPr>
  </w:style>
  <w:style w:type="paragraph" w:styleId="Xl109">
    <w:name w:val="xl109"/>
    <w:basedOn w:val="Normal"/>
    <w:qFormat/>
    <w:pPr>
      <w:shd w:fill="0000FF" w:val="clear"/>
      <w:suppressAutoHyphens w:val="true"/>
      <w:spacing w:before="280" w:after="280"/>
      <w:jc w:val="center"/>
    </w:pPr>
    <w:rPr>
      <w:rFonts w:ascii="Calibri" w:hAnsi="Calibri" w:cs="Calibri"/>
    </w:rPr>
  </w:style>
  <w:style w:type="paragraph" w:styleId="Xl110">
    <w:name w:val="xl110"/>
    <w:basedOn w:val="Normal"/>
    <w:qFormat/>
    <w:pPr>
      <w:pBdr>
        <w:top w:val="single" w:sz="4" w:space="0" w:color="000000"/>
        <w:bottom w:val="single" w:sz="4" w:space="0" w:color="000000"/>
      </w:pBdr>
      <w:shd w:fill="00FF00" w:val="clear"/>
      <w:suppressAutoHyphens w:val="true"/>
      <w:spacing w:before="280" w:after="280"/>
      <w:jc w:val="center"/>
    </w:pPr>
    <w:rPr>
      <w:rFonts w:ascii="Calibri" w:hAnsi="Calibri" w:cs="Calibri"/>
      <w:b/>
      <w:bCs/>
    </w:rPr>
  </w:style>
  <w:style w:type="paragraph" w:styleId="Xl111">
    <w:name w:val="xl111"/>
    <w:basedOn w:val="Normal"/>
    <w:qFormat/>
    <w:pPr>
      <w:pBdr>
        <w:top w:val="single" w:sz="4" w:space="0" w:color="000000"/>
        <w:left w:val="single" w:sz="4" w:space="0" w:color="000000"/>
        <w:bottom w:val="single" w:sz="4" w:space="0" w:color="000000"/>
        <w:right w:val="single" w:sz="4" w:space="0" w:color="000000"/>
      </w:pBdr>
      <w:shd w:fill="FFFFCC" w:val="clear"/>
      <w:suppressAutoHyphens w:val="true"/>
      <w:spacing w:before="280" w:after="280"/>
      <w:jc w:val="center"/>
    </w:pPr>
    <w:rPr>
      <w:rFonts w:ascii="Calibri" w:hAnsi="Calibri" w:cs="Calibri"/>
    </w:rPr>
  </w:style>
  <w:style w:type="paragraph" w:styleId="Xl112">
    <w:name w:val="xl112"/>
    <w:basedOn w:val="Normal"/>
    <w:qFormat/>
    <w:pPr>
      <w:pBdr>
        <w:top w:val="single" w:sz="4" w:space="0" w:color="000000"/>
        <w:left w:val="single" w:sz="4" w:space="0" w:color="000000"/>
        <w:bottom w:val="single" w:sz="4" w:space="0" w:color="000000"/>
        <w:right w:val="single" w:sz="4" w:space="0" w:color="000000"/>
      </w:pBdr>
      <w:shd w:fill="CCFFCC" w:val="clear"/>
      <w:suppressAutoHyphens w:val="true"/>
      <w:spacing w:before="280" w:after="280"/>
      <w:jc w:val="center"/>
    </w:pPr>
    <w:rPr>
      <w:rFonts w:ascii="Calibri" w:hAnsi="Calibri" w:cs="Calibri"/>
      <w:b/>
      <w:bCs/>
    </w:rPr>
  </w:style>
  <w:style w:type="paragraph" w:styleId="Xl113">
    <w:name w:val="xl113"/>
    <w:basedOn w:val="Normal"/>
    <w:qFormat/>
    <w:pPr>
      <w:pBdr>
        <w:top w:val="single" w:sz="4" w:space="0" w:color="000000"/>
        <w:left w:val="single" w:sz="4" w:space="0" w:color="000000"/>
        <w:bottom w:val="single" w:sz="4" w:space="0" w:color="000000"/>
        <w:right w:val="single" w:sz="4" w:space="0" w:color="000000"/>
      </w:pBdr>
      <w:shd w:fill="FFFFCC" w:val="clear"/>
      <w:suppressAutoHyphens w:val="true"/>
      <w:spacing w:before="280" w:after="280"/>
      <w:jc w:val="center"/>
    </w:pPr>
    <w:rPr>
      <w:rFonts w:ascii="Calibri" w:hAnsi="Calibri" w:cs="Calibri"/>
    </w:rPr>
  </w:style>
  <w:style w:type="paragraph" w:styleId="Xl114">
    <w:name w:val="xl114"/>
    <w:basedOn w:val="Normal"/>
    <w:qFormat/>
    <w:pPr>
      <w:pBdr>
        <w:top w:val="single" w:sz="4" w:space="0" w:color="000000"/>
        <w:left w:val="single" w:sz="4" w:space="0" w:color="000000"/>
        <w:bottom w:val="single" w:sz="4" w:space="0" w:color="000000"/>
        <w:right w:val="single" w:sz="4" w:space="0" w:color="000000"/>
      </w:pBdr>
      <w:shd w:fill="CCFFFF" w:val="clear"/>
      <w:suppressAutoHyphens w:val="true"/>
      <w:spacing w:before="280" w:after="280"/>
    </w:pPr>
    <w:rPr>
      <w:rFonts w:ascii="Calibri" w:hAnsi="Calibri" w:cs="Calibri"/>
    </w:rPr>
  </w:style>
  <w:style w:type="paragraph" w:styleId="Xl115">
    <w:name w:val="xl115"/>
    <w:basedOn w:val="Normal"/>
    <w:qFormat/>
    <w:pPr>
      <w:pBdr>
        <w:top w:val="single" w:sz="4" w:space="0" w:color="000000"/>
        <w:left w:val="single" w:sz="4" w:space="0" w:color="000000"/>
        <w:bottom w:val="single" w:sz="4" w:space="0" w:color="000000"/>
        <w:right w:val="single" w:sz="4" w:space="0" w:color="000000"/>
      </w:pBdr>
      <w:shd w:fill="FFFF00" w:val="clear"/>
      <w:suppressAutoHyphens w:val="true"/>
      <w:spacing w:before="280" w:after="280"/>
      <w:jc w:val="center"/>
    </w:pPr>
    <w:rPr>
      <w:rFonts w:ascii="Calibri" w:hAnsi="Calibri" w:cs="Calibri"/>
    </w:rPr>
  </w:style>
  <w:style w:type="paragraph" w:styleId="Xl116">
    <w:name w:val="xl116"/>
    <w:basedOn w:val="Normal"/>
    <w:qFormat/>
    <w:pPr>
      <w:pBdr>
        <w:top w:val="single" w:sz="4" w:space="0" w:color="000000"/>
        <w:left w:val="single" w:sz="4" w:space="0" w:color="000000"/>
        <w:bottom w:val="single" w:sz="4" w:space="0" w:color="000000"/>
      </w:pBdr>
      <w:shd w:fill="FFFF00" w:val="clear"/>
      <w:suppressAutoHyphens w:val="true"/>
      <w:spacing w:before="280" w:after="280"/>
      <w:jc w:val="center"/>
    </w:pPr>
    <w:rPr>
      <w:rFonts w:ascii="Calibri" w:hAnsi="Calibri" w:cs="Calibri"/>
    </w:rPr>
  </w:style>
  <w:style w:type="paragraph" w:styleId="Xl117">
    <w:name w:val="xl117"/>
    <w:basedOn w:val="Normal"/>
    <w:qFormat/>
    <w:pPr>
      <w:pBdr>
        <w:top w:val="single" w:sz="4" w:space="0" w:color="000000"/>
        <w:left w:val="single" w:sz="4" w:space="0" w:color="000000"/>
        <w:bottom w:val="single" w:sz="4" w:space="0" w:color="000000"/>
        <w:right w:val="single" w:sz="4" w:space="0" w:color="000000"/>
      </w:pBdr>
      <w:shd w:fill="FFFF00" w:val="clear"/>
      <w:suppressAutoHyphens w:val="true"/>
      <w:spacing w:before="280" w:after="280"/>
    </w:pPr>
    <w:rPr>
      <w:rFonts w:ascii="Calibri" w:hAnsi="Calibri" w:cs="Calibri"/>
    </w:rPr>
  </w:style>
  <w:style w:type="paragraph" w:styleId="Xl118">
    <w:name w:val="xl118"/>
    <w:basedOn w:val="Normal"/>
    <w:qFormat/>
    <w:pPr>
      <w:pBdr>
        <w:top w:val="single" w:sz="4" w:space="0" w:color="000000"/>
        <w:left w:val="single" w:sz="4" w:space="0" w:color="000000"/>
        <w:bottom w:val="single" w:sz="4" w:space="0" w:color="000000"/>
        <w:right w:val="single" w:sz="4" w:space="0" w:color="000000"/>
      </w:pBdr>
      <w:shd w:fill="FFFF00" w:val="clear"/>
      <w:suppressAutoHyphens w:val="true"/>
      <w:spacing w:before="280" w:after="280"/>
      <w:jc w:val="center"/>
    </w:pPr>
    <w:rPr>
      <w:rFonts w:ascii="Calibri" w:hAnsi="Calibri" w:cs="Calibri"/>
    </w:rPr>
  </w:style>
  <w:style w:type="paragraph" w:styleId="Xl119">
    <w:name w:val="xl119"/>
    <w:basedOn w:val="Normal"/>
    <w:qFormat/>
    <w:pPr>
      <w:pBdr>
        <w:top w:val="single" w:sz="4" w:space="0" w:color="000000"/>
        <w:bottom w:val="single" w:sz="4" w:space="0" w:color="000000"/>
      </w:pBdr>
      <w:shd w:fill="FFFF00" w:val="clear"/>
      <w:suppressAutoHyphens w:val="true"/>
      <w:spacing w:before="280" w:after="280"/>
      <w:jc w:val="center"/>
    </w:pPr>
    <w:rPr>
      <w:rFonts w:ascii="Calibri" w:hAnsi="Calibri" w:cs="Calibri"/>
    </w:rPr>
  </w:style>
  <w:style w:type="paragraph" w:styleId="Xl120">
    <w:name w:val="xl120"/>
    <w:basedOn w:val="Normal"/>
    <w:qFormat/>
    <w:pPr>
      <w:pBdr>
        <w:top w:val="single" w:sz="4" w:space="0" w:color="000000"/>
        <w:left w:val="single" w:sz="4" w:space="0" w:color="000000"/>
        <w:bottom w:val="single" w:sz="4" w:space="0" w:color="000000"/>
        <w:right w:val="single" w:sz="4" w:space="0" w:color="000000"/>
      </w:pBdr>
      <w:shd w:fill="FFFF00" w:val="clear"/>
      <w:suppressAutoHyphens w:val="true"/>
      <w:spacing w:before="280" w:after="280"/>
    </w:pPr>
    <w:rPr>
      <w:rFonts w:ascii="Calibri" w:hAnsi="Calibri" w:cs="Calibri"/>
    </w:rPr>
  </w:style>
  <w:style w:type="paragraph" w:styleId="Xl121">
    <w:name w:val="xl121"/>
    <w:basedOn w:val="Normal"/>
    <w:qFormat/>
    <w:pPr>
      <w:pBdr>
        <w:top w:val="single" w:sz="4" w:space="0" w:color="000000"/>
        <w:left w:val="single" w:sz="4" w:space="0" w:color="000000"/>
        <w:bottom w:val="single" w:sz="4" w:space="0" w:color="000000"/>
        <w:right w:val="single" w:sz="4" w:space="0" w:color="000000"/>
      </w:pBdr>
      <w:suppressAutoHyphens w:val="true"/>
      <w:spacing w:before="280" w:after="280"/>
    </w:pPr>
    <w:rPr>
      <w:rFonts w:ascii="Calibri" w:hAnsi="Calibri" w:cs="Calibri"/>
    </w:rPr>
  </w:style>
  <w:style w:type="paragraph" w:styleId="Xl122">
    <w:name w:val="xl122"/>
    <w:basedOn w:val="Normal"/>
    <w:qFormat/>
    <w:pPr>
      <w:shd w:fill="0000FF" w:val="clear"/>
      <w:suppressAutoHyphens w:val="true"/>
      <w:spacing w:before="280" w:after="280"/>
    </w:pPr>
    <w:rPr>
      <w:rFonts w:ascii="Calibri" w:hAnsi="Calibri" w:cs="Calibri"/>
      <w:b/>
      <w:bCs/>
      <w:color w:val="FFFFFF"/>
    </w:rPr>
  </w:style>
  <w:style w:type="paragraph" w:styleId="Xl123">
    <w:name w:val="xl123"/>
    <w:basedOn w:val="Normal"/>
    <w:qFormat/>
    <w:pPr>
      <w:shd w:fill="0000FF" w:val="clear"/>
      <w:suppressAutoHyphens w:val="true"/>
      <w:spacing w:before="280" w:after="280"/>
    </w:pPr>
    <w:rPr>
      <w:rFonts w:ascii="Calibri" w:hAnsi="Calibri" w:cs="Calibri"/>
      <w:b/>
      <w:bCs/>
      <w:color w:val="FF0000"/>
    </w:rPr>
  </w:style>
  <w:style w:type="paragraph" w:styleId="Xl124">
    <w:name w:val="xl124"/>
    <w:basedOn w:val="Normal"/>
    <w:qFormat/>
    <w:pPr>
      <w:pBdr>
        <w:top w:val="single" w:sz="4" w:space="0" w:color="000000"/>
        <w:left w:val="single" w:sz="4" w:space="0" w:color="000000"/>
        <w:bottom w:val="single" w:sz="4" w:space="0" w:color="000000"/>
        <w:right w:val="single" w:sz="4" w:space="0" w:color="000000"/>
      </w:pBdr>
      <w:shd w:fill="CCFFFF" w:val="clear"/>
      <w:suppressAutoHyphens w:val="true"/>
      <w:spacing w:before="280" w:after="280"/>
      <w:jc w:val="center"/>
    </w:pPr>
    <w:rPr>
      <w:rFonts w:ascii="Calibri" w:hAnsi="Calibri" w:cs="Calibri"/>
    </w:rPr>
  </w:style>
  <w:style w:type="paragraph" w:styleId="Style8">
    <w:name w:val="Style8"/>
    <w:basedOn w:val="Normal"/>
    <w:qFormat/>
    <w:pPr>
      <w:widowControl w:val="false"/>
      <w:suppressAutoHyphens w:val="true"/>
      <w:autoSpaceDE w:val="false"/>
      <w:spacing w:lineRule="exact" w:line="274"/>
      <w:jc w:val="both"/>
    </w:pPr>
    <w:rPr/>
  </w:style>
  <w:style w:type="paragraph" w:styleId="Style29">
    <w:name w:val="Style29"/>
    <w:basedOn w:val="Normal"/>
    <w:qFormat/>
    <w:pPr>
      <w:widowControl w:val="false"/>
      <w:suppressAutoHyphens w:val="true"/>
      <w:autoSpaceDE w:val="false"/>
      <w:spacing w:lineRule="exact" w:line="274"/>
      <w:jc w:val="both"/>
    </w:pPr>
    <w:rPr/>
  </w:style>
  <w:style w:type="paragraph" w:styleId="Style12">
    <w:name w:val="Style12"/>
    <w:basedOn w:val="Normal"/>
    <w:qFormat/>
    <w:pPr>
      <w:widowControl w:val="false"/>
      <w:suppressAutoHyphens w:val="true"/>
      <w:autoSpaceDE w:val="false"/>
      <w:spacing w:lineRule="exact" w:line="274"/>
      <w:ind w:hanging="353"/>
      <w:jc w:val="both"/>
    </w:pPr>
    <w:rPr/>
  </w:style>
  <w:style w:type="paragraph" w:styleId="Style18">
    <w:name w:val="Style18"/>
    <w:basedOn w:val="Normal"/>
    <w:qFormat/>
    <w:pPr>
      <w:widowControl w:val="false"/>
      <w:suppressAutoHyphens w:val="true"/>
      <w:autoSpaceDE w:val="false"/>
      <w:spacing w:lineRule="exact" w:line="284"/>
    </w:pPr>
    <w:rPr/>
  </w:style>
  <w:style w:type="paragraph" w:styleId="Style41">
    <w:name w:val="Style4"/>
    <w:basedOn w:val="Normal"/>
    <w:qFormat/>
    <w:pPr>
      <w:widowControl w:val="false"/>
      <w:suppressAutoHyphens w:val="true"/>
      <w:autoSpaceDE w:val="false"/>
    </w:pPr>
    <w:rPr/>
  </w:style>
  <w:style w:type="paragraph" w:styleId="Textodrky">
    <w:name w:val="text odrážky"/>
    <w:basedOn w:val="Normal"/>
    <w:qFormat/>
    <w:pPr>
      <w:tabs>
        <w:tab w:val="left" w:pos="360" w:leader="none"/>
      </w:tabs>
      <w:suppressAutoHyphens w:val="true"/>
      <w:overflowPunct w:val="false"/>
      <w:autoSpaceDE w:val="false"/>
      <w:spacing w:before="120" w:after="0"/>
      <w:ind w:left="504" w:hanging="502"/>
      <w:jc w:val="both"/>
      <w:textAlignment w:val="baseline"/>
    </w:pPr>
    <w:rPr>
      <w:sz w:val="20"/>
      <w:szCs w:val="20"/>
    </w:rPr>
  </w:style>
  <w:style w:type="paragraph" w:styleId="Textodsazeny9">
    <w:name w:val="Text_odsazeny 9"/>
    <w:basedOn w:val="Textodsazeny"/>
    <w:qFormat/>
    <w:pPr>
      <w:spacing w:before="0" w:after="180"/>
    </w:pPr>
    <w:rPr/>
  </w:style>
  <w:style w:type="paragraph" w:styleId="Nadpis5textZa12b">
    <w:name w:val="Nadpis 5 text + Za:  12 b."/>
    <w:basedOn w:val="Nadpis3text"/>
    <w:qFormat/>
    <w:pPr>
      <w:spacing w:before="240" w:after="240"/>
    </w:pPr>
    <w:rPr/>
  </w:style>
  <w:style w:type="paragraph" w:styleId="Priloha">
    <w:name w:val="Priloha"/>
    <w:basedOn w:val="Nadpis5text"/>
    <w:qFormat/>
    <w:pPr>
      <w:tabs>
        <w:tab w:val="left" w:pos="1440" w:leader="none"/>
      </w:tabs>
      <w:ind w:left="1440" w:hanging="360"/>
    </w:pPr>
    <w:rPr/>
  </w:style>
  <w:style w:type="paragraph" w:styleId="Textodrods">
    <w:name w:val="Text_odr_ods"/>
    <w:basedOn w:val="Text0"/>
    <w:qFormat/>
    <w:pPr>
      <w:tabs>
        <w:tab w:val="left" w:pos="232" w:leader="none"/>
        <w:tab w:val="left" w:pos="1080" w:leader="none"/>
      </w:tabs>
      <w:ind w:left="232" w:hanging="232"/>
      <w:jc w:val="left"/>
    </w:pPr>
    <w:rPr/>
  </w:style>
  <w:style w:type="paragraph" w:styleId="Seznamobrzk1">
    <w:name w:val="Seznam obrázků1"/>
    <w:basedOn w:val="Normal"/>
    <w:next w:val="Normal"/>
    <w:qFormat/>
    <w:pPr>
      <w:suppressAutoHyphens w:val="true"/>
      <w:spacing w:before="0" w:after="60"/>
      <w:ind w:left="1418" w:hanging="1418"/>
    </w:pPr>
    <w:rPr>
      <w:szCs w:val="20"/>
    </w:rPr>
  </w:style>
  <w:style w:type="paragraph" w:styleId="BodyText1">
    <w:name w:val="Body Text 1"/>
    <w:basedOn w:val="Normal"/>
    <w:qFormat/>
    <w:pPr>
      <w:suppressAutoHyphens w:val="true"/>
      <w:spacing w:before="0" w:after="240"/>
      <w:ind w:left="720" w:hanging="0"/>
      <w:jc w:val="both"/>
    </w:pPr>
    <w:rPr>
      <w:rFonts w:eastAsia="SimSun;宋体" w:cs="Simplified Arabic;Times New Roman"/>
      <w:lang w:val="en-GB" w:bidi="ar-AE"/>
    </w:rPr>
  </w:style>
  <w:style w:type="paragraph" w:styleId="Textern">
    <w:name w:val="Text černá"/>
    <w:basedOn w:val="Text2"/>
    <w:qFormat/>
    <w:pPr>
      <w:spacing w:before="0" w:after="120"/>
    </w:pPr>
    <w:rPr/>
  </w:style>
  <w:style w:type="paragraph" w:styleId="Styltextern">
    <w:name w:val="Styl text + Černá"/>
    <w:basedOn w:val="Text"/>
    <w:qFormat/>
    <w:pPr>
      <w:suppressAutoHyphens w:val="true"/>
      <w:spacing w:before="0" w:after="0"/>
      <w:jc w:val="both"/>
    </w:pPr>
    <w:rPr>
      <w:rFonts w:ascii="Times New Roman" w:hAnsi="Times New Roman" w:cs="Times New Roman"/>
      <w:sz w:val="24"/>
      <w:szCs w:val="20"/>
    </w:rPr>
  </w:style>
  <w:style w:type="paragraph" w:styleId="StylNadpis2textern">
    <w:name w:val="Styl Nadpis 2 text + Černá"/>
    <w:basedOn w:val="Nadpis2text"/>
    <w:qFormat/>
    <w:pPr>
      <w:spacing w:before="180" w:after="180"/>
    </w:pPr>
    <w:rPr>
      <w:color w:val="000000"/>
    </w:rPr>
  </w:style>
  <w:style w:type="paragraph" w:styleId="Text3">
    <w:name w:val="text 3"/>
    <w:basedOn w:val="Text"/>
    <w:qFormat/>
    <w:pPr>
      <w:tabs>
        <w:tab w:val="left" w:pos="2127" w:leader="none"/>
      </w:tabs>
      <w:suppressAutoHyphens w:val="true"/>
      <w:spacing w:before="0" w:after="60"/>
      <w:jc w:val="both"/>
    </w:pPr>
    <w:rPr>
      <w:rFonts w:ascii="Times New Roman" w:hAnsi="Times New Roman" w:cs="Times New Roman"/>
      <w:color w:val="000000"/>
      <w:sz w:val="24"/>
      <w:szCs w:val="20"/>
    </w:rPr>
  </w:style>
  <w:style w:type="paragraph" w:styleId="Tabulkov">
    <w:name w:val="Tabulkový"/>
    <w:basedOn w:val="Text"/>
    <w:qFormat/>
    <w:pPr>
      <w:suppressAutoHyphens w:val="true"/>
      <w:spacing w:before="0" w:after="120"/>
      <w:jc w:val="both"/>
    </w:pPr>
    <w:rPr>
      <w:rFonts w:ascii="Times New Roman" w:hAnsi="Times New Roman" w:cs="Times New Roman"/>
      <w:color w:val="000000"/>
      <w:sz w:val="24"/>
      <w:szCs w:val="20"/>
    </w:rPr>
  </w:style>
  <w:style w:type="paragraph" w:styleId="Nadpis2prilohy">
    <w:name w:val="Nadpis 2 prilohy"/>
    <w:basedOn w:val="Nadpis2text"/>
    <w:qFormat/>
    <w:pPr>
      <w:tabs>
        <w:tab w:val="left" w:pos="624" w:leader="none"/>
        <w:tab w:val="left" w:pos="1365" w:leader="none"/>
      </w:tabs>
      <w:spacing w:before="0" w:after="180"/>
      <w:ind w:left="624" w:hanging="624"/>
    </w:pPr>
    <w:rPr>
      <w:b w:val="false"/>
      <w:sz w:val="24"/>
      <w:u w:val="none"/>
    </w:rPr>
  </w:style>
  <w:style w:type="paragraph" w:styleId="Xl25">
    <w:name w:val="xl25"/>
    <w:basedOn w:val="Normal"/>
    <w:qFormat/>
    <w:pPr>
      <w:pBdr>
        <w:top w:val="single" w:sz="8" w:space="0" w:color="000000"/>
        <w:left w:val="single" w:sz="8" w:space="0" w:color="000000"/>
        <w:bottom w:val="single" w:sz="8" w:space="0" w:color="000000"/>
        <w:right w:val="single" w:sz="4" w:space="0" w:color="000000"/>
      </w:pBdr>
      <w:suppressAutoHyphens w:val="true"/>
      <w:spacing w:before="280" w:after="280"/>
    </w:pPr>
    <w:rPr>
      <w:b/>
      <w:bCs/>
    </w:rPr>
  </w:style>
  <w:style w:type="paragraph" w:styleId="Xl26">
    <w:name w:val="xl26"/>
    <w:basedOn w:val="Normal"/>
    <w:qFormat/>
    <w:pPr>
      <w:pBdr>
        <w:top w:val="single" w:sz="8" w:space="0" w:color="000000"/>
        <w:left w:val="single" w:sz="4" w:space="0" w:color="000000"/>
        <w:bottom w:val="single" w:sz="8" w:space="0" w:color="000000"/>
        <w:right w:val="single" w:sz="4" w:space="0" w:color="000000"/>
      </w:pBdr>
      <w:suppressAutoHyphens w:val="true"/>
      <w:spacing w:before="280" w:after="280"/>
    </w:pPr>
    <w:rPr>
      <w:b/>
      <w:bCs/>
    </w:rPr>
  </w:style>
  <w:style w:type="paragraph" w:styleId="Xl27">
    <w:name w:val="xl27"/>
    <w:basedOn w:val="Normal"/>
    <w:qFormat/>
    <w:pPr>
      <w:pBdr>
        <w:top w:val="single" w:sz="8" w:space="0" w:color="000000"/>
        <w:left w:val="single" w:sz="4" w:space="0" w:color="000000"/>
        <w:bottom w:val="single" w:sz="8" w:space="0" w:color="000000"/>
        <w:right w:val="single" w:sz="4" w:space="0" w:color="000000"/>
      </w:pBdr>
      <w:suppressAutoHyphens w:val="true"/>
      <w:spacing w:before="280" w:after="280"/>
      <w:jc w:val="right"/>
    </w:pPr>
    <w:rPr>
      <w:b/>
      <w:bCs/>
    </w:rPr>
  </w:style>
  <w:style w:type="paragraph" w:styleId="Xl28">
    <w:name w:val="xl28"/>
    <w:basedOn w:val="Normal"/>
    <w:qFormat/>
    <w:pPr>
      <w:pBdr>
        <w:top w:val="single" w:sz="8" w:space="0" w:color="000000"/>
        <w:left w:val="single" w:sz="4" w:space="0" w:color="000000"/>
        <w:bottom w:val="single" w:sz="8" w:space="0" w:color="000000"/>
        <w:right w:val="single" w:sz="8" w:space="0" w:color="000000"/>
      </w:pBdr>
      <w:suppressAutoHyphens w:val="true"/>
      <w:spacing w:before="280" w:after="280"/>
      <w:jc w:val="right"/>
    </w:pPr>
    <w:rPr>
      <w:b/>
      <w:bCs/>
    </w:rPr>
  </w:style>
  <w:style w:type="paragraph" w:styleId="Xl29">
    <w:name w:val="xl29"/>
    <w:basedOn w:val="Normal"/>
    <w:qFormat/>
    <w:pPr>
      <w:pBdr>
        <w:left w:val="single" w:sz="4" w:space="0" w:color="000000"/>
        <w:bottom w:val="single" w:sz="4" w:space="0" w:color="000000"/>
        <w:right w:val="single" w:sz="4" w:space="0" w:color="000000"/>
      </w:pBdr>
      <w:suppressAutoHyphens w:val="true"/>
      <w:spacing w:before="280" w:after="280"/>
      <w:jc w:val="center"/>
    </w:pPr>
    <w:rPr/>
  </w:style>
  <w:style w:type="paragraph" w:styleId="Xl30">
    <w:name w:val="xl30"/>
    <w:basedOn w:val="Normal"/>
    <w:qFormat/>
    <w:pPr>
      <w:pBdr>
        <w:top w:val="double" w:sz="2" w:space="0" w:color="000000"/>
        <w:left w:val="single" w:sz="4" w:space="0" w:color="000000"/>
        <w:bottom w:val="single" w:sz="4" w:space="0" w:color="000000"/>
        <w:right w:val="single" w:sz="4" w:space="0" w:color="000000"/>
      </w:pBdr>
      <w:suppressAutoHyphens w:val="true"/>
      <w:spacing w:before="280" w:after="280"/>
    </w:pPr>
    <w:rPr/>
  </w:style>
  <w:style w:type="paragraph" w:styleId="Xl31">
    <w:name w:val="xl31"/>
    <w:basedOn w:val="Normal"/>
    <w:qFormat/>
    <w:pPr>
      <w:pBdr>
        <w:top w:val="double" w:sz="2" w:space="0" w:color="000000"/>
        <w:left w:val="single" w:sz="4" w:space="0" w:color="000000"/>
        <w:bottom w:val="single" w:sz="4" w:space="0" w:color="000000"/>
        <w:right w:val="single" w:sz="4" w:space="0" w:color="000000"/>
      </w:pBdr>
      <w:suppressAutoHyphens w:val="true"/>
      <w:spacing w:before="280" w:after="280"/>
      <w:jc w:val="right"/>
    </w:pPr>
    <w:rPr/>
  </w:style>
  <w:style w:type="paragraph" w:styleId="Xl32">
    <w:name w:val="xl32"/>
    <w:basedOn w:val="Normal"/>
    <w:qFormat/>
    <w:pPr>
      <w:pBdr>
        <w:top w:val="single" w:sz="4" w:space="0" w:color="000000"/>
        <w:left w:val="single" w:sz="4" w:space="0" w:color="000000"/>
        <w:bottom w:val="single" w:sz="4" w:space="0" w:color="000000"/>
        <w:right w:val="single" w:sz="4" w:space="0" w:color="000000"/>
      </w:pBdr>
      <w:suppressAutoHyphens w:val="true"/>
      <w:spacing w:before="280" w:after="280"/>
      <w:jc w:val="center"/>
    </w:pPr>
    <w:rPr/>
  </w:style>
  <w:style w:type="paragraph" w:styleId="Xl33">
    <w:name w:val="xl33"/>
    <w:basedOn w:val="Normal"/>
    <w:qFormat/>
    <w:pPr>
      <w:pBdr>
        <w:top w:val="single" w:sz="4" w:space="0" w:color="000000"/>
        <w:left w:val="single" w:sz="4" w:space="0" w:color="000000"/>
        <w:bottom w:val="single" w:sz="4" w:space="0" w:color="000000"/>
        <w:right w:val="single" w:sz="4" w:space="0" w:color="000000"/>
      </w:pBdr>
      <w:suppressAutoHyphens w:val="true"/>
      <w:spacing w:before="280" w:after="280"/>
    </w:pPr>
    <w:rPr/>
  </w:style>
  <w:style w:type="paragraph" w:styleId="Xl34">
    <w:name w:val="xl34"/>
    <w:basedOn w:val="Normal"/>
    <w:qFormat/>
    <w:pPr>
      <w:pBdr>
        <w:top w:val="single" w:sz="4" w:space="0" w:color="000000"/>
        <w:left w:val="single" w:sz="4" w:space="0" w:color="000000"/>
        <w:bottom w:val="single" w:sz="4" w:space="0" w:color="000000"/>
        <w:right w:val="single" w:sz="4" w:space="0" w:color="000000"/>
      </w:pBdr>
      <w:suppressAutoHyphens w:val="true"/>
      <w:spacing w:before="280" w:after="280"/>
      <w:jc w:val="right"/>
    </w:pPr>
    <w:rPr/>
  </w:style>
  <w:style w:type="paragraph" w:styleId="Xl35">
    <w:name w:val="xl35"/>
    <w:basedOn w:val="Normal"/>
    <w:qFormat/>
    <w:pPr>
      <w:pBdr>
        <w:top w:val="single" w:sz="4" w:space="0" w:color="000000"/>
        <w:left w:val="single" w:sz="4" w:space="0" w:color="000000"/>
        <w:bottom w:val="single" w:sz="4" w:space="0" w:color="000000"/>
        <w:right w:val="single" w:sz="4" w:space="0" w:color="000000"/>
      </w:pBdr>
      <w:suppressAutoHyphens w:val="true"/>
      <w:spacing w:before="280" w:after="280"/>
      <w:jc w:val="center"/>
    </w:pPr>
    <w:rPr/>
  </w:style>
  <w:style w:type="paragraph" w:styleId="Xl36">
    <w:name w:val="xl36"/>
    <w:basedOn w:val="Normal"/>
    <w:qFormat/>
    <w:pPr>
      <w:pBdr>
        <w:top w:val="single" w:sz="4" w:space="0" w:color="000000"/>
        <w:left w:val="single" w:sz="4" w:space="0" w:color="000000"/>
        <w:right w:val="single" w:sz="4" w:space="0" w:color="000000"/>
      </w:pBdr>
      <w:suppressAutoHyphens w:val="true"/>
      <w:spacing w:before="280" w:after="280"/>
      <w:jc w:val="center"/>
    </w:pPr>
    <w:rPr/>
  </w:style>
  <w:style w:type="paragraph" w:styleId="Xl37">
    <w:name w:val="xl37"/>
    <w:basedOn w:val="Normal"/>
    <w:qFormat/>
    <w:pPr>
      <w:pBdr>
        <w:top w:val="single" w:sz="4" w:space="0" w:color="000000"/>
        <w:left w:val="single" w:sz="4" w:space="0" w:color="000000"/>
        <w:right w:val="single" w:sz="4" w:space="0" w:color="000000"/>
      </w:pBdr>
      <w:suppressAutoHyphens w:val="true"/>
      <w:spacing w:before="280" w:after="280"/>
    </w:pPr>
    <w:rPr/>
  </w:style>
  <w:style w:type="paragraph" w:styleId="Xl38">
    <w:name w:val="xl38"/>
    <w:basedOn w:val="Normal"/>
    <w:qFormat/>
    <w:pPr>
      <w:pBdr>
        <w:top w:val="single" w:sz="4" w:space="0" w:color="000000"/>
        <w:left w:val="single" w:sz="4" w:space="0" w:color="000000"/>
        <w:right w:val="single" w:sz="4" w:space="0" w:color="000000"/>
      </w:pBdr>
      <w:suppressAutoHyphens w:val="true"/>
      <w:spacing w:before="280" w:after="280"/>
      <w:jc w:val="right"/>
    </w:pPr>
    <w:rPr/>
  </w:style>
  <w:style w:type="paragraph" w:styleId="Xl39">
    <w:name w:val="xl39"/>
    <w:basedOn w:val="Normal"/>
    <w:qFormat/>
    <w:pPr>
      <w:pBdr>
        <w:top w:val="single" w:sz="4" w:space="0" w:color="000000"/>
        <w:left w:val="single" w:sz="4" w:space="0" w:color="000000"/>
        <w:bottom w:val="double" w:sz="2" w:space="0" w:color="000000"/>
      </w:pBdr>
      <w:shd w:fill="CCFFFF" w:val="clear"/>
      <w:suppressAutoHyphens w:val="true"/>
      <w:spacing w:before="280" w:after="280"/>
      <w:jc w:val="center"/>
      <w:textAlignment w:val="center"/>
    </w:pPr>
    <w:rPr>
      <w:b/>
      <w:bCs/>
      <w:color w:val="000000"/>
    </w:rPr>
  </w:style>
  <w:style w:type="paragraph" w:styleId="Xl40">
    <w:name w:val="xl40"/>
    <w:basedOn w:val="Normal"/>
    <w:qFormat/>
    <w:pPr>
      <w:pBdr>
        <w:top w:val="single" w:sz="4" w:space="0" w:color="000000"/>
        <w:left w:val="single" w:sz="4" w:space="0" w:color="000000"/>
        <w:bottom w:val="double" w:sz="2" w:space="0" w:color="000000"/>
        <w:right w:val="single" w:sz="4" w:space="0" w:color="000000"/>
      </w:pBdr>
      <w:shd w:fill="CCFFFF" w:val="clear"/>
      <w:suppressAutoHyphens w:val="true"/>
      <w:spacing w:before="280" w:after="280"/>
      <w:jc w:val="center"/>
      <w:textAlignment w:val="center"/>
    </w:pPr>
    <w:rPr>
      <w:b/>
      <w:bCs/>
      <w:color w:val="000000"/>
    </w:rPr>
  </w:style>
  <w:style w:type="paragraph" w:styleId="Style16">
    <w:name w:val="Style16"/>
    <w:basedOn w:val="Normal"/>
    <w:qFormat/>
    <w:pPr>
      <w:widowControl w:val="false"/>
      <w:suppressAutoHyphens w:val="true"/>
      <w:autoSpaceDE w:val="false"/>
      <w:spacing w:lineRule="exact" w:line="241"/>
      <w:jc w:val="both"/>
    </w:pPr>
    <w:rPr>
      <w:rFonts w:ascii="Arial" w:hAnsi="Arial" w:cs="Arial"/>
    </w:rPr>
  </w:style>
  <w:style w:type="paragraph" w:styleId="Style65">
    <w:name w:val="Style65"/>
    <w:basedOn w:val="Normal"/>
    <w:qFormat/>
    <w:pPr>
      <w:widowControl w:val="false"/>
      <w:suppressAutoHyphens w:val="true"/>
      <w:autoSpaceDE w:val="false"/>
      <w:spacing w:lineRule="exact" w:line="252"/>
    </w:pPr>
    <w:rPr/>
  </w:style>
  <w:style w:type="paragraph" w:styleId="StylNadpis2textZa6b">
    <w:name w:val="Styl Nadpis 2 text + Za:  6 b."/>
    <w:basedOn w:val="Nadpis2text"/>
    <w:qFormat/>
    <w:pPr>
      <w:tabs>
        <w:tab w:val="left" w:pos="624" w:leader="none"/>
        <w:tab w:val="left" w:pos="1365" w:leader="none"/>
      </w:tabs>
      <w:spacing w:before="240" w:after="120"/>
      <w:ind w:left="624" w:hanging="624"/>
    </w:pPr>
    <w:rPr/>
  </w:style>
  <w:style w:type="paragraph" w:styleId="Textodrazkym3ods">
    <w:name w:val="Text_odrazky_m_3ods"/>
    <w:basedOn w:val="Textodrazky9ods"/>
    <w:qFormat/>
    <w:pPr>
      <w:tabs>
        <w:tab w:val="left" w:pos="1065" w:leader="none"/>
      </w:tabs>
      <w:spacing w:before="0" w:after="60"/>
      <w:ind w:left="1065" w:hanging="705"/>
    </w:pPr>
    <w:rPr/>
  </w:style>
  <w:style w:type="paragraph" w:styleId="Textodrazkym9ods">
    <w:name w:val="text_odrazky_m_9ods"/>
    <w:basedOn w:val="Textodrazky9ods"/>
    <w:qFormat/>
    <w:pPr>
      <w:numPr>
        <w:ilvl w:val="0"/>
        <w:numId w:val="0"/>
      </w:numPr>
      <w:tabs>
        <w:tab w:val="left" w:pos="697" w:leader="none"/>
      </w:tabs>
      <w:ind w:left="697" w:hanging="357"/>
    </w:pPr>
    <w:rPr>
      <w:szCs w:val="24"/>
    </w:rPr>
  </w:style>
  <w:style w:type="paragraph" w:styleId="Textnadpiscislo">
    <w:name w:val="Text_nadpis_cislo"/>
    <w:basedOn w:val="Normal"/>
    <w:next w:val="Text"/>
    <w:qFormat/>
    <w:pPr>
      <w:keepNext/>
      <w:tabs>
        <w:tab w:val="left" w:pos="720" w:leader="none"/>
      </w:tabs>
      <w:suppressAutoHyphens w:val="true"/>
      <w:spacing w:before="120" w:after="120"/>
      <w:ind w:left="720" w:hanging="360"/>
      <w:jc w:val="both"/>
    </w:pPr>
    <w:rPr>
      <w:b/>
      <w:i/>
    </w:rPr>
  </w:style>
  <w:style w:type="paragraph" w:styleId="Textodrazky">
    <w:name w:val="Text_odrazky"/>
    <w:basedOn w:val="Text"/>
    <w:qFormat/>
    <w:pPr>
      <w:tabs>
        <w:tab w:val="left" w:pos="720" w:leader="none"/>
      </w:tabs>
      <w:suppressAutoHyphens w:val="true"/>
      <w:spacing w:before="0" w:after="120"/>
      <w:ind w:left="714" w:hanging="357"/>
      <w:jc w:val="both"/>
    </w:pPr>
    <w:rPr>
      <w:rFonts w:ascii="Times New Roman" w:hAnsi="Times New Roman" w:cs="Times New Roman"/>
      <w:color w:val="000000"/>
      <w:sz w:val="24"/>
      <w:szCs w:val="20"/>
    </w:rPr>
  </w:style>
  <w:style w:type="paragraph" w:styleId="TextodrazkyII">
    <w:name w:val="Text_odrazky_II"/>
    <w:basedOn w:val="Textodrazky"/>
    <w:qFormat/>
    <w:pPr>
      <w:tabs>
        <w:tab w:val="left" w:pos="357" w:leader="none"/>
      </w:tabs>
      <w:ind w:left="357" w:hanging="357"/>
    </w:pPr>
    <w:rPr/>
  </w:style>
  <w:style w:type="paragraph" w:styleId="Nadpis4textModr">
    <w:name w:val="Nadpis 4 text + Modrá"/>
    <w:basedOn w:val="Nadpis3text"/>
    <w:qFormat/>
    <w:pPr>
      <w:keepNext/>
    </w:pPr>
    <w:rPr>
      <w:color w:val="0000FF"/>
    </w:rPr>
  </w:style>
  <w:style w:type="paragraph" w:styleId="TitulekdownIII1">
    <w:name w:val="Titulek_down III"/>
    <w:basedOn w:val="Normal"/>
    <w:qFormat/>
    <w:pPr>
      <w:suppressAutoHyphens w:val="true"/>
      <w:autoSpaceDE w:val="false"/>
      <w:spacing w:before="0" w:after="240"/>
      <w:ind w:left="28" w:hanging="0"/>
    </w:pPr>
    <w:rPr>
      <w:i/>
      <w:color w:val="000000"/>
      <w:sz w:val="20"/>
      <w:szCs w:val="20"/>
    </w:rPr>
  </w:style>
  <w:style w:type="paragraph" w:styleId="Nadpis2textModr">
    <w:name w:val="Nadpis 2 text + Modrá"/>
    <w:basedOn w:val="Nadpis3text"/>
    <w:qFormat/>
    <w:pPr>
      <w:keepNext/>
    </w:pPr>
    <w:rPr>
      <w:color w:val="0000FF"/>
    </w:rPr>
  </w:style>
  <w:style w:type="paragraph" w:styleId="Text01">
    <w:name w:val="text0"/>
    <w:basedOn w:val="Text"/>
    <w:qFormat/>
    <w:pPr>
      <w:suppressAutoHyphens w:val="true"/>
      <w:spacing w:before="0" w:after="120"/>
      <w:jc w:val="both"/>
    </w:pPr>
    <w:rPr>
      <w:rFonts w:ascii="Times New Roman" w:hAnsi="Times New Roman" w:cs="Times New Roman"/>
      <w:color w:val="000000"/>
      <w:sz w:val="24"/>
      <w:szCs w:val="24"/>
    </w:rPr>
  </w:style>
  <w:style w:type="paragraph" w:styleId="Style9">
    <w:name w:val="Style9"/>
    <w:basedOn w:val="Normal"/>
    <w:qFormat/>
    <w:pPr>
      <w:widowControl w:val="false"/>
      <w:suppressAutoHyphens w:val="true"/>
      <w:autoSpaceDE w:val="false"/>
      <w:spacing w:lineRule="exact" w:line="217"/>
      <w:ind w:firstLine="600"/>
      <w:jc w:val="both"/>
    </w:pPr>
    <w:rPr>
      <w:rFonts w:ascii="Arial" w:hAnsi="Arial" w:cs="Arial"/>
    </w:rPr>
  </w:style>
  <w:style w:type="paragraph" w:styleId="Style10">
    <w:name w:val="Style10"/>
    <w:basedOn w:val="Normal"/>
    <w:qFormat/>
    <w:pPr>
      <w:widowControl w:val="false"/>
      <w:suppressAutoHyphens w:val="true"/>
      <w:autoSpaceDE w:val="false"/>
      <w:spacing w:lineRule="exact" w:line="202"/>
      <w:jc w:val="both"/>
    </w:pPr>
    <w:rPr>
      <w:rFonts w:ascii="Arial" w:hAnsi="Arial" w:cs="Arial"/>
    </w:rPr>
  </w:style>
  <w:style w:type="paragraph" w:styleId="Style19">
    <w:name w:val="Style19"/>
    <w:basedOn w:val="Normal"/>
    <w:qFormat/>
    <w:pPr>
      <w:widowControl w:val="false"/>
      <w:suppressAutoHyphens w:val="true"/>
      <w:autoSpaceDE w:val="false"/>
    </w:pPr>
    <w:rPr>
      <w:rFonts w:ascii="Arial" w:hAnsi="Arial" w:cs="Arial"/>
    </w:rPr>
  </w:style>
  <w:style w:type="paragraph" w:styleId="Ernodrky">
    <w:name w:val="Černá - odrážky"/>
    <w:basedOn w:val="Normal"/>
    <w:qFormat/>
    <w:pPr>
      <w:tabs>
        <w:tab w:val="left" w:pos="540" w:leader="none"/>
      </w:tabs>
      <w:suppressAutoHyphens w:val="true"/>
      <w:ind w:left="540" w:hanging="360"/>
    </w:pPr>
    <w:rPr>
      <w:sz w:val="20"/>
      <w:szCs w:val="20"/>
    </w:rPr>
  </w:style>
  <w:style w:type="paragraph" w:styleId="Obsah10">
    <w:name w:val="Obsah 10"/>
    <w:basedOn w:val="Rejstk"/>
    <w:qFormat/>
    <w:pPr>
      <w:tabs>
        <w:tab w:val="right" w:pos="7091" w:leader="dot"/>
      </w:tabs>
      <w:ind w:left="2547" w:hanging="0"/>
    </w:pPr>
    <w:rPr/>
  </w:style>
  <w:style w:type="paragraph" w:styleId="Obsahtabulky">
    <w:name w:val="Obsah tabulky"/>
    <w:basedOn w:val="Normal"/>
    <w:qFormat/>
    <w:pPr>
      <w:suppressLineNumbers/>
      <w:suppressAutoHyphens w:val="true"/>
    </w:pPr>
    <w:rPr>
      <w:sz w:val="20"/>
      <w:szCs w:val="20"/>
    </w:rPr>
  </w:style>
  <w:style w:type="paragraph" w:styleId="Nadpistabulky">
    <w:name w:val="Nadpis tabulky"/>
    <w:basedOn w:val="Obsahtabulky"/>
    <w:qFormat/>
    <w:pPr>
      <w:jc w:val="center"/>
    </w:pPr>
    <w:rPr>
      <w:b/>
      <w:bCs/>
    </w:rPr>
  </w:style>
  <w:style w:type="paragraph" w:styleId="Obsahrmce">
    <w:name w:val="Obsah rámce"/>
    <w:basedOn w:val="TextBody"/>
    <w:qFormat/>
    <w:pPr>
      <w:suppressAutoHyphens w:val="true"/>
    </w:pPr>
    <w:rPr/>
  </w:style>
  <w:style w:type="paragraph" w:styleId="Odstavecodraky">
    <w:name w:val="odstavec_odražky"/>
    <w:basedOn w:val="Normal"/>
    <w:qFormat/>
    <w:pPr>
      <w:tabs>
        <w:tab w:val="left" w:pos="720" w:leader="none"/>
      </w:tabs>
      <w:suppressAutoHyphens w:val="true"/>
      <w:ind w:left="720" w:hanging="360"/>
    </w:pPr>
    <w:rPr>
      <w:sz w:val="20"/>
      <w:szCs w:val="20"/>
    </w:rPr>
  </w:style>
  <w:style w:type="paragraph" w:styleId="Seznamobrzk">
    <w:name w:val="Seznam obrázků"/>
    <w:basedOn w:val="Normal"/>
    <w:next w:val="Normal"/>
    <w:qFormat/>
    <w:pPr>
      <w:spacing w:before="0" w:after="60"/>
      <w:ind w:left="1418" w:hanging="1418"/>
    </w:pPr>
    <w:rPr>
      <w:szCs w:val="20"/>
    </w:rPr>
  </w:style>
  <w:style w:type="paragraph" w:styleId="Stanoviskotext">
    <w:name w:val="Stanovisko text"/>
    <w:basedOn w:val="Normal"/>
    <w:qFormat/>
    <w:pPr>
      <w:spacing w:lineRule="auto" w:line="360" w:before="240" w:after="240"/>
      <w:jc w:val="both"/>
    </w:pPr>
    <w:rPr>
      <w:rFonts w:ascii="Verdana" w:hAnsi="Verdana" w:cs="Verdana"/>
      <w:sz w:val="20"/>
      <w:szCs w:val="20"/>
    </w:rPr>
  </w:style>
  <w:style w:type="paragraph" w:styleId="Stanoviskozdroj">
    <w:name w:val="Stanovisko zdroj"/>
    <w:basedOn w:val="Normal"/>
    <w:qFormat/>
    <w:pPr>
      <w:spacing w:before="80" w:after="120"/>
      <w:jc w:val="both"/>
    </w:pPr>
    <w:rPr>
      <w:rFonts w:ascii="Arial" w:hAnsi="Arial" w:cs="Arial"/>
      <w:i/>
      <w:iCs/>
      <w:sz w:val="16"/>
      <w:szCs w:val="20"/>
    </w:rPr>
  </w:style>
  <w:style w:type="paragraph" w:styleId="Stanoviskopopistabulekagrafu">
    <w:name w:val="Stanovisko popis tabulek a grafu"/>
    <w:basedOn w:val="Normal"/>
    <w:qFormat/>
    <w:pPr>
      <w:jc w:val="center"/>
    </w:pPr>
    <w:rPr>
      <w:rFonts w:ascii="Arial" w:hAnsi="Arial" w:cs="Arial"/>
      <w:i/>
      <w:iCs/>
      <w:sz w:val="20"/>
      <w:szCs w:val="20"/>
    </w:rPr>
  </w:style>
  <w:style w:type="paragraph" w:styleId="Odstavecseseznamem">
    <w:name w:val="Odstavec se seznamem"/>
    <w:basedOn w:val="Normal"/>
    <w:qFormat/>
    <w:pPr>
      <w:spacing w:lineRule="auto" w:line="300" w:before="0" w:after="0"/>
      <w:ind w:left="720" w:hanging="0"/>
      <w:contextualSpacing/>
      <w:jc w:val="both"/>
    </w:pPr>
    <w:rPr>
      <w:rFonts w:eastAsia="Calibri"/>
      <w:szCs w:val="22"/>
    </w:rPr>
  </w:style>
  <w:style w:type="paragraph" w:styleId="Import26">
    <w:name w:val="Import 26"/>
    <w:next w:val="Normal"/>
    <w:qFormat/>
    <w:pPr>
      <w:widowControl/>
      <w:ind w:left="3024" w:hanging="0"/>
    </w:pPr>
    <w:rPr>
      <w:rFonts w:ascii="Times New Roman" w:hAnsi="Times New Roman" w:eastAsia="Times New Roman" w:cs="Times New Roman"/>
      <w:b/>
      <w:color w:val="auto"/>
      <w:sz w:val="24"/>
      <w:szCs w:val="20"/>
      <w:lang w:val="cs-CZ" w:bidi="ar-SA" w:eastAsia="zh-CN"/>
    </w:rPr>
  </w:style>
  <w:style w:type="paragraph" w:styleId="Import27">
    <w:name w:val="Import 27"/>
    <w:next w:val="Import26"/>
    <w:qFormat/>
    <w:pPr>
      <w:widowControl/>
      <w:ind w:left="4464" w:hanging="0"/>
    </w:pPr>
    <w:rPr>
      <w:rFonts w:ascii="Times New Roman" w:hAnsi="Times New Roman" w:eastAsia="Times New Roman" w:cs="Times New Roman"/>
      <w:b/>
      <w:color w:val="auto"/>
      <w:sz w:val="24"/>
      <w:szCs w:val="20"/>
      <w:lang w:val="cs-CZ" w:bidi="ar-SA" w:eastAsia="zh-CN"/>
    </w:rPr>
  </w:style>
  <w:style w:type="paragraph" w:styleId="Import28">
    <w:name w:val="Import 28"/>
    <w:next w:val="Import27"/>
    <w:qFormat/>
    <w:pPr>
      <w:widowControl/>
      <w:ind w:left="-720" w:hanging="0"/>
    </w:pPr>
    <w:rPr>
      <w:rFonts w:ascii="Times New Roman" w:hAnsi="Times New Roman" w:eastAsia="Times New Roman" w:cs="Times New Roman"/>
      <w:color w:val="auto"/>
      <w:sz w:val="24"/>
      <w:szCs w:val="20"/>
      <w:lang w:val="cs-CZ" w:bidi="ar-SA" w:eastAsia="zh-C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image" Target="media/image18.wmf"/><Relationship Id="rId22" Type="http://schemas.openxmlformats.org/officeDocument/2006/relationships/image" Target="media/image19.wmf"/><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image" Target="media/image24.wmf"/><Relationship Id="rId32" Type="http://schemas.openxmlformats.org/officeDocument/2006/relationships/image" Target="media/image25.wmf"/><Relationship Id="rId33" Type="http://schemas.openxmlformats.org/officeDocument/2006/relationships/header" Target="header7.xml"/><Relationship Id="rId34" Type="http://schemas.openxmlformats.org/officeDocument/2006/relationships/header" Target="header8.xml"/><Relationship Id="rId35" Type="http://schemas.openxmlformats.org/officeDocument/2006/relationships/footer" Target="footer7.xml"/><Relationship Id="rId36" Type="http://schemas.openxmlformats.org/officeDocument/2006/relationships/footer" Target="footer8.xml"/><Relationship Id="rId37" Type="http://schemas.openxmlformats.org/officeDocument/2006/relationships/image" Target="media/image28.wmf"/><Relationship Id="rId38" Type="http://schemas.openxmlformats.org/officeDocument/2006/relationships/image" Target="media/image29.wmf"/><Relationship Id="rId39" Type="http://schemas.openxmlformats.org/officeDocument/2006/relationships/image" Target="media/image30.wmf"/><Relationship Id="rId40" Type="http://schemas.openxmlformats.org/officeDocument/2006/relationships/image" Target="media/image31.wmf"/><Relationship Id="rId41" Type="http://schemas.openxmlformats.org/officeDocument/2006/relationships/image" Target="media/image32.wmf"/><Relationship Id="rId42" Type="http://schemas.openxmlformats.org/officeDocument/2006/relationships/hyperlink" Target="http://www.ucetnikavarna.cz/document/enactment?no=262/2006 Sb.h339&amp;effect=1.7.2009" TargetMode="External"/><Relationship Id="rId43" Type="http://schemas.openxmlformats.org/officeDocument/2006/relationships/header" Target="header9.xml"/><Relationship Id="rId44" Type="http://schemas.openxmlformats.org/officeDocument/2006/relationships/header" Target="header10.xml"/><Relationship Id="rId45" Type="http://schemas.openxmlformats.org/officeDocument/2006/relationships/footer" Target="footer9.xml"/><Relationship Id="rId46" Type="http://schemas.openxmlformats.org/officeDocument/2006/relationships/footer" Target="footer10.xml"/><Relationship Id="rId47" Type="http://schemas.openxmlformats.org/officeDocument/2006/relationships/header" Target="header11.xml"/><Relationship Id="rId48" Type="http://schemas.openxmlformats.org/officeDocument/2006/relationships/header" Target="header12.xml"/><Relationship Id="rId49" Type="http://schemas.openxmlformats.org/officeDocument/2006/relationships/footer" Target="footer11.xml"/><Relationship Id="rId50" Type="http://schemas.openxmlformats.org/officeDocument/2006/relationships/footer" Target="footer12.xml"/><Relationship Id="rId51" Type="http://schemas.openxmlformats.org/officeDocument/2006/relationships/header" Target="header13.xml"/><Relationship Id="rId52" Type="http://schemas.openxmlformats.org/officeDocument/2006/relationships/header" Target="header14.xml"/><Relationship Id="rId53" Type="http://schemas.openxmlformats.org/officeDocument/2006/relationships/footer" Target="footer13.xml"/><Relationship Id="rId54" Type="http://schemas.openxmlformats.org/officeDocument/2006/relationships/footer" Target="footer14.xml"/><Relationship Id="rId55" Type="http://schemas.openxmlformats.org/officeDocument/2006/relationships/footnotes" Target="footnotes.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_rels/header2.xml.rels><?xml version="1.0" encoding="UTF-8"?>
<Relationships xmlns="http://schemas.openxmlformats.org/package/2006/relationships"><Relationship Id="rId1" Type="http://schemas.openxmlformats.org/officeDocument/2006/relationships/image" Target="media/image17.png"/>
</Relationships>
</file>

<file path=word/_rels/header3.xml.rels><?xml version="1.0" encoding="UTF-8"?>
<Relationships xmlns="http://schemas.openxmlformats.org/package/2006/relationships"><Relationship Id="rId1" Type="http://schemas.openxmlformats.org/officeDocument/2006/relationships/image" Target="media/image20.png"/>
</Relationships>
</file>

<file path=word/_rels/header4.xml.rels><?xml version="1.0" encoding="UTF-8"?>
<Relationships xmlns="http://schemas.openxmlformats.org/package/2006/relationships"><Relationship Id="rId1" Type="http://schemas.openxmlformats.org/officeDocument/2006/relationships/image" Target="media/image21.png"/>
</Relationships>
</file>

<file path=word/_rels/header5.xml.rels><?xml version="1.0" encoding="UTF-8"?>
<Relationships xmlns="http://schemas.openxmlformats.org/package/2006/relationships"><Relationship Id="rId1" Type="http://schemas.openxmlformats.org/officeDocument/2006/relationships/image" Target="media/image22.png"/>
</Relationships>
</file>

<file path=word/_rels/header6.xml.rels><?xml version="1.0" encoding="UTF-8"?>
<Relationships xmlns="http://schemas.openxmlformats.org/package/2006/relationships"><Relationship Id="rId1" Type="http://schemas.openxmlformats.org/officeDocument/2006/relationships/image" Target="media/image23.png"/>
</Relationships>
</file>

<file path=word/_rels/header7.xml.rels><?xml version="1.0" encoding="UTF-8"?>
<Relationships xmlns="http://schemas.openxmlformats.org/package/2006/relationships"><Relationship Id="rId1" Type="http://schemas.openxmlformats.org/officeDocument/2006/relationships/image" Target="media/image26.png"/>
</Relationships>
</file>

<file path=word/_rels/header8.xml.rels><?xml version="1.0" encoding="UTF-8"?>
<Relationships xmlns="http://schemas.openxmlformats.org/package/2006/relationships"><Relationship Id="rId1" Type="http://schemas.openxmlformats.org/officeDocument/2006/relationships/image" Target="media/image27.png"/>
</Relationships>
</file>

<file path=docProps/app.xml><?xml version="1.0" encoding="utf-8"?>
<Properties xmlns="http://schemas.openxmlformats.org/officeDocument/2006/extended-properties" xmlns:vt="http://schemas.openxmlformats.org/officeDocument/2006/docPropsVTypes">
  <Template>Normal</Template>
  <TotalTime>200</TotalTime>
  <Application>LibreOffice/5.2.3.3$Linux_X86_64 LibreOffice_project/20$Build-3</Application>
  <Pages>57</Pages>
  <Words>12237</Words>
  <Characters>69827</Characters>
  <CharactersWithSpaces>80554</CharactersWithSpaces>
  <Paragraphs>1793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2014-03-20T13:06:00Z</dcterms:created>
  <dc:creator>Kristýna Šimáčková</dc:creator>
  <dc:description/>
  <dc:language>en-US</dc:language>
  <cp:lastModifiedBy>vblazkova</cp:lastModifiedBy>
  <cp:lastPrinted>2014-03-14T18:59:00Z</cp:lastPrinted>
  <dcterms:modified xsi:type="dcterms:W3CDTF">2014-03-20T17:53:00Z</dcterms:modified>
  <cp:revision>30</cp:revision>
  <dc:subject/>
  <dc:title>Nechat si potvrdit, že používají kurz ČNB platný 1</dc:title>
</cp:coreProperties>
</file>