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tl w:val="0"/>
        </w:rPr>
        <w:t xml:space="preserve">Siaga Padang: Sistem Navigasi Evakuasi Tsunami Luring Berbasis Pemodelan Pergerakan Kolektif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Helvetica Neue" w:cs="Helvetica Neue" w:eastAsia="Helvetica Neue" w:hAnsi="Helvetica Neue"/>
          <w:b w:val="1"/>
          <w:bCs w:val="1"/>
          <w:i w:val="0"/>
          <w:iCs w:val="0"/>
          <w:smallCaps w:val="0"/>
          <w:strike w:val="0"/>
          <w:color w:val="000000"/>
          <w:sz w:val="18"/>
          <w:szCs w:val="18"/>
          <w:u w:val="none"/>
          <w:shd w:fill="auto" w:val="clear"/>
          <w:vertAlign w:val="superscript"/>
        </w:rPr>
      </w:pP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Mikail Samyth Habibillah</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superscript"/>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 Muhammad Habib</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superscript"/>
          <w:rtl w:val="0"/>
        </w:rPr>
        <w:t xml:space="preserve">2</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 Sheva Ramadhan</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superscript"/>
          <w:rtl w:val="0"/>
        </w:rPr>
        <w:t xml:space="preserve">3</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 Nisa Dwi Angresti</w:t>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superscript"/>
          <w:rtl w:val="0"/>
        </w:rPr>
        <w:t xml:space="preserve">4</w:t>
      </w:r>
    </w:p>
    <w:p w:rsidR="00000000" w:rsidDel="00000000" w:rsidP="00000000" w:rsidRDefault="00000000" w:rsidRPr="00000000" w14:paraId="00000003">
      <w:pPr>
        <w:jc w:val="center"/>
        <w:rPr/>
      </w:pPr>
      <w:r w:rsidDel="00000000" w:rsidR="00000000" w:rsidRPr="00000000">
        <w:rPr>
          <w:color w:val="000000"/>
          <w:sz w:val="14"/>
          <w:szCs w:val="14"/>
          <w:vertAlign w:val="superscript"/>
          <w:rtl w:val="0"/>
        </w:rPr>
        <w:t xml:space="preserve">1</w:t>
      </w:r>
      <w:r w:rsidDel="00000000" w:rsidR="00000000" w:rsidRPr="00000000">
        <w:rPr>
          <w:color w:val="000000"/>
          <w:sz w:val="14"/>
          <w:szCs w:val="14"/>
          <w:rtl w:val="0"/>
        </w:rPr>
        <w:t xml:space="preserve">Fakultas Teknologi Informasi Universitas Andalas, Padang, 25163, email: </w:t>
      </w:r>
      <w:hyperlink r:id="rId9">
        <w:r w:rsidDel="00000000" w:rsidR="00000000" w:rsidRPr="00000000">
          <w:rPr>
            <w:color w:val="1155cc"/>
            <w:sz w:val="14"/>
            <w:szCs w:val="14"/>
            <w:u w:val="single"/>
            <w:rtl w:val="0"/>
          </w:rPr>
          <w:t xml:space="preserve">2411523016_mikail@student.unand.ac.id</w:t>
        </w:r>
      </w:hyperlink>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000000"/>
          <w:sz w:val="14"/>
          <w:szCs w:val="14"/>
          <w:vertAlign w:val="superscript"/>
          <w:rtl w:val="0"/>
        </w:rPr>
        <w:t xml:space="preserve">2</w:t>
      </w:r>
      <w:r w:rsidDel="00000000" w:rsidR="00000000" w:rsidRPr="00000000">
        <w:rPr>
          <w:color w:val="000000"/>
          <w:sz w:val="14"/>
          <w:szCs w:val="14"/>
          <w:rtl w:val="0"/>
        </w:rPr>
        <w:t xml:space="preserve">Fakultas Teknologi Informasi Universitas Andalas, Padang, 25163, email: </w:t>
      </w:r>
      <w:hyperlink r:id="rId10">
        <w:r w:rsidDel="00000000" w:rsidR="00000000" w:rsidRPr="00000000">
          <w:rPr>
            <w:color w:val="1155cc"/>
            <w:sz w:val="14"/>
            <w:szCs w:val="14"/>
            <w:u w:val="single"/>
            <w:rtl w:val="0"/>
          </w:rPr>
          <w:t xml:space="preserve">2411522024_muhammad@student.unand.ac.id</w:t>
        </w:r>
      </w:hyperlink>
      <w:r w:rsidDel="00000000" w:rsidR="00000000" w:rsidRPr="00000000">
        <w:rPr>
          <w:rtl w:val="0"/>
        </w:rPr>
        <w:t xml:space="preserve"> </w:t>
      </w:r>
    </w:p>
    <w:p w:rsidR="00000000" w:rsidDel="00000000" w:rsidP="00000000" w:rsidRDefault="00000000" w:rsidRPr="00000000" w14:paraId="00000005">
      <w:pPr>
        <w:jc w:val="center"/>
        <w:rPr/>
      </w:pPr>
      <w:r w:rsidDel="00000000" w:rsidR="00000000" w:rsidRPr="00000000">
        <w:rPr>
          <w:color w:val="000000"/>
          <w:sz w:val="14"/>
          <w:szCs w:val="14"/>
          <w:vertAlign w:val="superscript"/>
          <w:rtl w:val="0"/>
        </w:rPr>
        <w:t xml:space="preserve">3</w:t>
      </w:r>
      <w:r w:rsidDel="00000000" w:rsidR="00000000" w:rsidRPr="00000000">
        <w:rPr>
          <w:color w:val="000000"/>
          <w:sz w:val="14"/>
          <w:szCs w:val="14"/>
          <w:rtl w:val="0"/>
        </w:rPr>
        <w:t xml:space="preserve">Fakultas Teknologi Informasi Universitas Andalas, Padang, 25163, email: </w:t>
      </w:r>
      <w:hyperlink r:id="rId11">
        <w:r w:rsidDel="00000000" w:rsidR="00000000" w:rsidRPr="00000000">
          <w:rPr>
            <w:color w:val="1155cc"/>
            <w:sz w:val="14"/>
            <w:szCs w:val="14"/>
            <w:u w:val="single"/>
            <w:rtl w:val="0"/>
          </w:rPr>
          <w:t xml:space="preserve">2411523020_sheva@student.unand.ac.id</w:t>
        </w:r>
      </w:hyperlink>
      <w:r w:rsidDel="00000000" w:rsidR="00000000" w:rsidRPr="00000000">
        <w:rPr>
          <w:rtl w:val="0"/>
        </w:rPr>
      </w:r>
    </w:p>
    <w:p w:rsidR="00000000" w:rsidDel="00000000" w:rsidP="00000000" w:rsidRDefault="00000000" w:rsidRPr="00000000" w14:paraId="00000006">
      <w:pPr>
        <w:jc w:val="center"/>
        <w:rPr>
          <w:color w:val="000000"/>
          <w:sz w:val="14"/>
          <w:szCs w:val="14"/>
        </w:rPr>
      </w:pPr>
      <w:r w:rsidDel="00000000" w:rsidR="00000000" w:rsidRPr="00000000">
        <w:rPr>
          <w:color w:val="000000"/>
          <w:sz w:val="14"/>
          <w:szCs w:val="14"/>
          <w:vertAlign w:val="superscript"/>
          <w:rtl w:val="0"/>
        </w:rPr>
        <w:t xml:space="preserve">4</w:t>
      </w:r>
      <w:r w:rsidDel="00000000" w:rsidR="00000000" w:rsidRPr="00000000">
        <w:rPr>
          <w:color w:val="000000"/>
          <w:sz w:val="14"/>
          <w:szCs w:val="14"/>
          <w:rtl w:val="0"/>
        </w:rPr>
        <w:t xml:space="preserve">Fakultas Teknologi Informasi Universitas Andalas, Padang, 25163, email: </w:t>
      </w:r>
      <w:hyperlink r:id="rId12">
        <w:r w:rsidDel="00000000" w:rsidR="00000000" w:rsidRPr="00000000">
          <w:rPr>
            <w:color w:val="0563c1"/>
            <w:sz w:val="14"/>
            <w:szCs w:val="14"/>
            <w:u w:val="single"/>
            <w:rtl w:val="0"/>
          </w:rPr>
          <w:t xml:space="preserve">nisadwi@it.unand.ac.id</w:t>
        </w:r>
      </w:hyperlink>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i w:val="1"/>
          <w:iCs w:val="1"/>
          <w:color w:val="000000"/>
          <w:sz w:val="14"/>
          <w:szCs w:val="14"/>
          <w:rtl w:val="0"/>
        </w:rPr>
        <w:t xml:space="preserve">Corresponding Author</w:t>
      </w:r>
      <w:r w:rsidDel="00000000" w:rsidR="00000000" w:rsidRPr="00000000">
        <w:rPr>
          <w:color w:val="000000"/>
          <w:sz w:val="14"/>
          <w:szCs w:val="14"/>
          <w:rtl w:val="0"/>
        </w:rPr>
        <w:t xml:space="preserve">: Mikail Samyth Habibillah</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284"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INTISARI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Kota Padang menghadapi ancaman tsunami akibat gempa di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megathrust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Mentawai–Siberut, dengan waktu evakuasi sekitar 20–30 menit setelah gempa terjadi. Dalam waktu sesingkat itu, warga perlu segera mengetahui arah dan tempat evakuasi, sementara akses internet dapat terputus </w:t>
      </w:r>
      <w:sdt>
        <w:sdtPr>
          <w:id w:val="1512040796"/>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 54% peserta</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uji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Tempat Evakuasi Akhir (TEA) atau zona hijau. Bila keduanya tidak terjangkau, pemodelan pergerakan kolektif membagi warga ke beberapa Tempat Evakuasi Sementara (TES)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284" w:firstLine="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8"/>
          <w:szCs w:val="18"/>
          <w:highlight w:val="white"/>
          <w:u w:val="none"/>
          <w:vertAlign w:val="baseline"/>
          <w:rtl w:val="0"/>
        </w:rPr>
        <w:t xml:space="preserve">KATA KUNCI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 Evakuasi Tsunami, Navigasi Luring, Prakomputasi Jalur, Pembagian Daya Tampung, Aplikasi Android, Kota Padang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284" w:right="0" w:hanging="284"/>
        <w:jc w:val="left"/>
        <w:rPr/>
        <w:sectPr>
          <w:headerReference r:id="rId13" w:type="default"/>
          <w:headerReference r:id="rId14" w:type="even"/>
          <w:footerReference r:id="rId15" w:type="default"/>
          <w:footerReference r:id="rId16" w:type="first"/>
          <w:footerReference r:id="rId17" w:type="even"/>
          <w:pgSz w:h="16838" w:w="11906" w:orient="portrait"/>
          <w:pgMar w:bottom="1021" w:top="1304" w:left="737" w:right="737" w:header="431" w:footer="431"/>
          <w:pgNumType w:start="1"/>
        </w:sectPr>
      </w:pPr>
      <w:r w:rsidDel="00000000" w:rsidR="00000000" w:rsidRPr="00000000">
        <w:rPr>
          <w:rFonts w:ascii="Helvetica Neue" w:cs="Helvetica Neue" w:eastAsia="Helvetica Neue" w:hAnsi="Helvetica Neue"/>
          <w:b w:val="1"/>
          <w:bCs w:val="1"/>
          <w:i w:val="0"/>
          <w:iCs w:val="0"/>
          <w:smallCaps w:val="1"/>
          <w:strike w:val="0"/>
          <w:color w:val="000000"/>
          <w:sz w:val="18"/>
          <w:szCs w:val="18"/>
          <w:u w:val="none"/>
          <w:shd w:fill="auto" w:val="clear"/>
          <w:vertAlign w:val="baseline"/>
          <w:rtl w:val="0"/>
        </w:rPr>
        <w:t xml:space="preserve">PENDAHULUAN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Kota Padang terletak di pesisir barat Sumatera dan berhadapan dengan segmen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megathrust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w:t>
      </w:r>
      <w:r w:rsidDel="00000000" w:rsidR="00000000" w:rsidRPr="00000000">
        <w:rPr>
          <w:rFonts w:ascii="Times New Roman" w:cs="Times New Roman" w:eastAsia="Times New Roman" w:hAnsi="Times New Roman"/>
          <w:b w:val="0"/>
          <w:bCs w:val="0"/>
          <w:i w:val="0"/>
          <w:iCs w:val="0"/>
          <w:smallCaps w:val="0"/>
          <w:strike w:val="0"/>
          <w:color w:val="00ff00"/>
          <w:sz w:val="20"/>
          <w:szCs w:val="20"/>
          <w:u w:val="none"/>
          <w:shd w:fill="auto" w:val="clear"/>
          <w:vertAlign w:val="baseline"/>
          <w:rtl w:val="0"/>
        </w:rPr>
        <w:t xml:space="preserve">tinggi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menggunakan rentang 20–30 menit setelah gempa sebagai acuan kesiapsiagaan [4].</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Pemerintah Kota Padang dan BPBD telah menetapkan tempat evakuasi sementara (TES), yaitu bangunan atau dataran tinggi untuk menyelamatkan diri sementara, serta tempat evakuasi akhir (TEA) di luar wilayah yang berpotensi tertimpa tsunami. Rencana evakuasi disajikan dalam peta per kecamatan dan kelurahan [5], [6]. Saat gempa terjadi, pengguna peta perlu menemukan posisinya dan menyesuaikan arah peta dengan lingkungan sekitar, sesuatu yang sulit bagi pendatang maupun warga yang sedang berada di luar lingkungannya. </w:t>
      </w:r>
      <w:sdt>
        <w:sdtPr>
          <w:id w:val="-548540654"/>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Pada uji pengguna dalam penelitian ini, 13 dari 24 peserta yang menjawab tidak dapat menyebutkan tempat evakuasi tanpa bantuan ponsel, termasuk empat peserta yang sedang berlibur di Padang.</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Selain itu, layanan peringatan di ponsel memerlukan koneksi, padahal jaringan telekomunikasi dapat terganggu setelah gempa [7].</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Wawancara dengan tiga narasumber BPBD pada September–Oktober 2026 menghasilkan empat ketentuan yang kemudian menjadi aturan aplikasi: evakuasi dimulai bila gempa terasa lebih dari 30 detik, baik pelan maupun kuat; arah evakuasi menjauhi pantai, tidak mendekati dan tidak sejajar dengan garis pantai; jembatan sebaiknya tidak dilalui jika memungkinkan; dan wilayah dibedakan menjadi zona merah yang dapat terlanda tsunami serta zona hijau di luarnya [8]. Warga diarahkan untuk berjalan cepat, tidak menggunakan kendaraan bermotor, dan tetap mengikuti arahan petugas di lapangan [4].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berdasarkan jarak dan waktu menggunakan algoritma Dijkstra,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Best First Search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uji pengguna, dan analisis keterjangkauan yang hasilnya dapat dimanfaatkan BPBD. Bagian II menjelaskan metode, Bagian III menyajikan hasil dan diskusi, dan Bagian IV memuat kesimpulan.</w:t>
      </w:r>
    </w:p>
    <w:p w:rsidR="00000000" w:rsidDel="00000000" w:rsidP="00000000" w:rsidRDefault="00000000" w:rsidRPr="00000000" w14:paraId="0000001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284" w:right="0" w:hanging="284"/>
        <w:jc w:val="left"/>
        <w:rPr/>
      </w:pPr>
      <w:sdt>
        <w:sdtPr>
          <w:id w:val="-288713180"/>
          <w:tag w:val="goog_rdk_2"/>
        </w:sdtPr>
        <w:sdtContent>
          <w:commentRangeStart w:id="2"/>
        </w:sdtContent>
      </w:sdt>
      <w:r w:rsidDel="00000000" w:rsidR="00000000" w:rsidRPr="00000000">
        <w:rPr>
          <w:rFonts w:ascii="Helvetica Neue" w:cs="Helvetica Neue" w:eastAsia="Helvetica Neue" w:hAnsi="Helvetica Neue"/>
          <w:b w:val="1"/>
          <w:bCs w:val="1"/>
          <w:i w:val="0"/>
          <w:iCs w:val="0"/>
          <w:smallCaps w:val="1"/>
          <w:strike w:val="0"/>
          <w:color w:val="000000"/>
          <w:sz w:val="18"/>
          <w:szCs w:val="18"/>
          <w:u w:val="none"/>
          <w:shd w:fill="auto" w:val="clear"/>
          <w:vertAlign w:val="baseline"/>
          <w:rtl w:val="0"/>
        </w:rPr>
        <w:t xml:space="preserve">METODE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ind w:firstLine="289"/>
        <w:jc w:val="both"/>
        <w:rPr>
          <w:rFonts w:ascii="Helvetica Neue" w:cs="Helvetica Neue" w:eastAsia="Helvetica Neue" w:hAnsi="Helvetica Neue"/>
          <w:b w:val="1"/>
          <w:bCs w:val="1"/>
          <w:smallCaps w:val="1"/>
          <w:sz w:val="18"/>
          <w:szCs w:val="18"/>
        </w:rPr>
      </w:pPr>
      <w:r w:rsidDel="00000000" w:rsidR="00000000" w:rsidRPr="00000000">
        <w:rPr>
          <w:rtl w:val="0"/>
        </w:rPr>
      </w:r>
    </w:p>
    <w:p w:rsidR="00000000" w:rsidDel="00000000" w:rsidP="00000000" w:rsidRDefault="00000000" w:rsidRPr="00000000" w14:paraId="0000001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0" w:line="240" w:lineRule="auto"/>
        <w:ind w:left="289" w:right="0" w:hanging="289"/>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PENGEMBANGAN DAN DATA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urutan pertama melewati jembatan. Temuan ini menjadi dasar penghitungan ulang seluruh jalur dengan aturan BPBD.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021" w:top="1304" w:left="737" w:right="737" w:header="431" w:footer="431"/>
          <w:cols w:equalWidth="0" w:num="2">
            <w:col w:space="238" w:w="5096.999999999999"/>
            <w:col w:space="0" w:w="5096.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w:t>
      </w:r>
    </w:p>
    <w:p w:rsidR="00000000" w:rsidDel="00000000" w:rsidP="00000000" w:rsidRDefault="00000000" w:rsidRPr="00000000" w14:paraId="00000015">
      <w:pPr>
        <w:keepNext w:val="1"/>
        <w:jc w:val="center"/>
        <w:rPr/>
      </w:pPr>
      <w:r w:rsidDel="00000000" w:rsidR="00000000" w:rsidRPr="00000000">
        <w:rPr/>
        <w:drawing>
          <wp:inline distB="0" distT="0" distL="0" distR="0">
            <wp:extent cx="5508000" cy="2497284"/>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508000" cy="249728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sectPr>
          <w:type w:val="continuous"/>
          <w:pgSz w:h="16838" w:w="11906" w:orient="portrait"/>
          <w:pgMar w:bottom="1021" w:top="1304" w:left="737" w:right="737" w:header="431" w:footer="431"/>
        </w:sect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Gambar 1.</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Arsitektur Siaga Padang: prakomputasi dan aplikasi Android berjalan tanpa jaringan, sedangkan server melengkapi peringatan, laporan, dan pembaruan data saat jaringan tersedia.</w:t>
      </w:r>
    </w:p>
    <w:p w:rsidR="00000000" w:rsidDel="00000000" w:rsidP="00000000" w:rsidRDefault="00000000" w:rsidRPr="00000000" w14:paraId="0000001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PRAKOMPUTASI JALUR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menggunakan laju 1,2 m/s dan diubah dalam aplikasi menjadi 0,894 m/s, sesuai laju orang dengan mobilitas terbatas menurut pedoman Federal Emergency Management Agency (FEMA) P-646 yang juga dirujuk oleh BPBD [8], [21].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Dua aturan BPBD diterapkan saat menghitung jalur. Tujuan harus menjauhi pantai dengan sudut lebih dari sekitar 15°, yaitu pertambahan jarak ke pantai dibagi jarak garis lurus antara simpul asal dan tujuan lebih dari 0,27; tujuan yang berjarak kurang dari 100 m dikecualikan. Jalur tanpa jembatan sepanjang 20 m atau lebih </w:t>
      </w:r>
      <w:r w:rsidDel="00000000" w:rsidR="00000000" w:rsidRPr="00000000">
        <w:rPr>
          <w:rFonts w:ascii="Times New Roman" w:cs="Times New Roman" w:eastAsia="Times New Roman" w:hAnsi="Times New Roman"/>
          <w:b w:val="0"/>
          <w:bCs w:val="0"/>
          <w:i w:val="0"/>
          <w:iCs w:val="0"/>
          <w:smallCaps w:val="0"/>
          <w:strike w:val="0"/>
          <w:color w:val="00ff00"/>
          <w:sz w:val="20"/>
          <w:szCs w:val="20"/>
          <w:u w:val="none"/>
          <w:shd w:fill="auto" w:val="clear"/>
          <w:vertAlign w:val="baseline"/>
          <w:rtl w:val="0"/>
        </w:rPr>
        <w:t xml:space="preserve">akan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didahulukan, dan jembatan hanya digunakan bila tujuan tidak dapat dicapai tanpa melaluinya. </w:t>
      </w:r>
      <w:sdt>
        <w:sdtPr>
          <w:id w:val="1751831732"/>
          <w:tag w:val="goog_rdk_3"/>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aturan ini, 2.067 dari 10.688 jalur TES urutan pertama (19%) masih melewati jembatan karena tidak ada sambungan lain</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aplikasi menandainya dengan </w:t>
      </w:r>
      <w:r w:rsidDel="00000000" w:rsidR="00000000" w:rsidRPr="00000000">
        <w:rPr>
          <w:rFonts w:ascii="Times New Roman" w:cs="Times New Roman" w:eastAsia="Times New Roman" w:hAnsi="Times New Roman"/>
          <w:b w:val="0"/>
          <w:bCs w:val="0"/>
          <w:i w:val="0"/>
          <w:iCs w:val="0"/>
          <w:smallCaps w:val="0"/>
          <w:strike w:val="0"/>
          <w:color w:val="00ff00"/>
          <w:sz w:val="20"/>
          <w:szCs w:val="20"/>
          <w:u w:val="none"/>
          <w:shd w:fill="auto" w:val="clear"/>
          <w:vertAlign w:val="baseline"/>
          <w:rtl w:val="0"/>
        </w:rPr>
        <w:t xml:space="preserve">memberi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keterangan “Lewat jembatan”.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Sebanyak 730 simpul zona merah tidak memiliki TES yang memenuhi syarat, tetapi seluruh simpul zona merah tetap memiliki jalur menuju zona hijau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A">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PEMBAGIAN DAYA TAMPUNG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Pemodelan pergerakan kolektif digunakan untuk membagi penduduk ke TES berdasarkan daya tampung. Penduduk terpapar menurut KRB disebar ke bangunan di wilayah bahaya setiap kelurahan, dan bangunan di zona merah tambahan dari peta evakuasi diberi perkiraan berdasarkan kepadatan per luas bangunan, sehingga diperoleh 313.862 jiwa pada simpul zona merah. </w:t>
      </w:r>
      <w:sdt>
        <w:sdtPr>
          <w:id w:val="-1705734592"/>
          <w:tag w:val="goog_rdk_4"/>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Pembagian dihitung menggunakan program linear yang meminimalkan total jiwa × menit tempuh,</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dengan syarat beban setiap TES tidak melebihi daya tampungnya dan waktu tempuh paling lama 15 menit. </w:t>
      </w:r>
      <w:sdt>
        <w:sdtPr>
          <w:id w:val="-482785036"/>
          <w:tag w:val="goog_rdk_5"/>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Kandidat hanya TES berdaya tampung tercatat yang lolos aturan arah;</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bila semua TES terjangkau sudah penuh, sisa penduduk ditempatkan pada TES terjangkau tercepat dan dicatat sebagai kelebihan. Pembagian ini diterapkan pada 89.158 jiwa yang tidak dapat keluar dari zona merah dalam 15 menit, tetapi masih dapat mencapai TES dengan daya tampung yang tercatat. Hasilnya berupa porsi tujuan untuk setiap simpul yang disimpan di basis data, sedangkan 77 TES tanpa angka daya tampung tetap menjadi cadangan. </w:t>
      </w:r>
    </w:p>
    <w:p w:rsidR="00000000" w:rsidDel="00000000" w:rsidP="00000000" w:rsidRDefault="00000000" w:rsidRPr="00000000" w14:paraId="0000001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PEMILIHAN TUJUAN PADA PONSEL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tab/>
      </w:r>
      <w:sdt>
        <w:sdtPr>
          <w:id w:val="1407793670"/>
          <w:tag w:val="goog_rdk_6"/>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 atau zona hijau yang masih terjangkau, dipilih yang tercepat; jika sama cepat, TEA didahulukan.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tab/>
        <w:t xml:space="preserve">TES dari porsi daya tampung yang masih terjangkau. Pilihan diundi berbobot porsi dengan nilai pemilih dari kode keluarga sehingga anggota keluarga pada titik awal dan waktu yang sama memperoleh TES yang sama.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tab/>
        <w:t xml:space="preserve">TES terjangkau yang terjauh dari pantai, asalkan sedikitnya 50 m lebih jauh daripada TES tercepat.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tab/>
        <w:t xml:space="preserve">Tujuan tercepat di antara pilihan yang tersimpan.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Setelah dipilih, tujuan dipertahankan agar tidak berganti-ganti. Jika tujuan tidak lagi terjangkau meskipun pengguna berjalan cepat, aplikasi menawarkan pilihan yang setidaknya 2 menit lebih singkat, dan tujuan baru dipakai setelah pengguna menekan “Pindah”.</w:t>
      </w:r>
    </w:p>
    <w:p w:rsidR="00000000" w:rsidDel="00000000" w:rsidP="00000000" w:rsidRDefault="00000000" w:rsidRPr="00000000" w14:paraId="0000002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ARSITEKTUR DAN NAVIGASI LURING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Siaga Padang terdiri atas persiapan data, aplikasi Android, dan server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sdt>
        <w:sdtPr>
          <w:id w:val="1779246232"/>
          <w:tag w:val="goog_rdk_7"/>
        </w:sdtPr>
        <w:sdtContent>
          <w:commentRangeStart w:id="7"/>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1</w:t>
      </w:r>
      <w:commentRangeEnd w:id="7"/>
      <w:r w:rsidDel="00000000" w:rsidR="00000000" w:rsidRPr="00000000">
        <w:commentReference w:id="7"/>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Basis data SQLite yang hanya dibaca dan peta dasar vektor 8,1 MB disertakan dalam berkas pemasangan sehingga status zona, tujuan, jalur, dan peta tersedia tanpa jaringan. Saat evakuasi, aplikasi membaca posisi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Global Positioning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(GPS) dan arah hadap dari kompas, mencari simpul terdekat, mengambil jalurnya, lalu merangkai bentuk ruas menjadi garis di peta; urutan koordinat ruas dibalik bila berlawanan dengan arah perjalanan. Ponsel tidak menjalankan pencarian lintasan.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sejauh 40 m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dashboard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Ruang Kendali Siaga Padang (RKSP) untuk mengirim peringatan latihan dan melihat rekap lapor selamat. Permintaan ke server dibatasi 1 detik untuk tersambung dan 2 detik untuk menerima jawaban, lalu aplikasi tetap memakai data di ponsel.</w:t>
      </w:r>
    </w:p>
    <w:p w:rsidR="00000000" w:rsidDel="00000000" w:rsidP="00000000" w:rsidRDefault="00000000" w:rsidRPr="00000000" w14:paraId="00000027">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RANCANGAN PENGUJIAN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Pengujian terdiri atas uji unit, uji teknis, uji pengguna, dan analisis keterjangkauan. Uji teknis memeriksa navigasi dalam mode pesawat, waktu penyajian arahan di bawah 1 detik, selisih hasil antarponsel paling banyak 1 detik, ukuran basis data paling besar 75 MB, dan kontras warna minimal 4,5:1 menurut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Web Content Accessibility Guidelines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rsidR="00000000" w:rsidDel="00000000" w:rsidP="00000000" w:rsidRDefault="00000000" w:rsidRPr="00000000" w14:paraId="0000002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284" w:right="0" w:hanging="284"/>
        <w:jc w:val="left"/>
        <w:rPr/>
      </w:pPr>
      <w:sdt>
        <w:sdtPr>
          <w:id w:val="-2126116822"/>
          <w:tag w:val="goog_rdk_8"/>
        </w:sdtPr>
        <w:sdtContent>
          <w:commentRangeStart w:id="8"/>
        </w:sdtContent>
      </w:sdt>
      <w:r w:rsidDel="00000000" w:rsidR="00000000" w:rsidRPr="00000000">
        <w:rPr>
          <w:rFonts w:ascii="Helvetica Neue" w:cs="Helvetica Neue" w:eastAsia="Helvetica Neue" w:hAnsi="Helvetica Neue"/>
          <w:b w:val="1"/>
          <w:bCs w:val="1"/>
          <w:i w:val="0"/>
          <w:iCs w:val="0"/>
          <w:smallCaps w:val="1"/>
          <w:strike w:val="0"/>
          <w:color w:val="000000"/>
          <w:sz w:val="18"/>
          <w:szCs w:val="18"/>
          <w:u w:val="none"/>
          <w:shd w:fill="auto" w:val="clear"/>
          <w:vertAlign w:val="baseline"/>
          <w:rtl w:val="0"/>
        </w:rPr>
        <w:t xml:space="preserve">HASIL DAN DISKUSI</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0" w:line="240" w:lineRule="auto"/>
        <w:ind w:left="289" w:right="0" w:hanging="289"/>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IMPLEMENTASI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021" w:top="1304" w:left="737" w:right="737" w:header="431" w:footer="431"/>
          <w:cols w:equalWidth="0" w:num="2">
            <w:col w:space="238" w:w="5096.999999999999"/>
            <w:col w:space="0" w:w="5096.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Aplikasi dibangun dengan Kotlin, Jetpack Compose, MapLibre, dan Room. Versi 0.3.1 menggunakan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Quick Response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(QR) tanpa internet, mode latihan,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widget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layar utama, dan pengingat saat memasuki zona merah.</w:t>
      </w:r>
    </w:p>
    <w:p w:rsidR="00000000" w:rsidDel="00000000" w:rsidP="00000000" w:rsidRDefault="00000000" w:rsidRPr="00000000" w14:paraId="0000002C">
      <w:pPr>
        <w:keepNext w:val="1"/>
        <w:jc w:val="center"/>
        <w:rPr/>
      </w:pPr>
      <w:r w:rsidDel="00000000" w:rsidR="00000000" w:rsidRPr="00000000">
        <w:rPr/>
        <w:drawing>
          <wp:inline distB="0" distT="0" distL="0" distR="0">
            <wp:extent cx="4194000" cy="3017485"/>
            <wp:effectExtent b="0" l="0" r="0" t="0"/>
            <wp:docPr id="4"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4194000" cy="301748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Helvetica Neue" w:cs="Helvetica Neue" w:eastAsia="Helvetica Neue" w:hAnsi="Helvetica Neue"/>
          <w:b w:val="0"/>
          <w:bCs w:val="0"/>
          <w:i w:val="0"/>
          <w:iCs w:val="0"/>
          <w:smallCaps w:val="0"/>
          <w:strike w:val="0"/>
          <w:color w:val="000000"/>
          <w:sz w:val="14"/>
          <w:szCs w:val="14"/>
          <w:u w:val="none"/>
          <w:shd w:fill="auto" w:val="clear"/>
          <w:vertAlign w:val="baseline"/>
        </w:rPr>
        <w:sectPr>
          <w:type w:val="continuous"/>
          <w:pgSz w:h="16838" w:w="11906" w:orient="portrait"/>
          <w:pgMar w:bottom="1021" w:top="1304" w:left="737" w:right="737" w:header="431" w:footer="431"/>
        </w:sect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Gambar 2.</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Layar Siaga Padang: (a) arahan dengan peta kecil dalam mode pesawat, (b) jendela peringatan latihan, dan (c) layar kedatangan dalam mode pesawat.</w:t>
      </w:r>
    </w:p>
    <w:p w:rsidR="00000000" w:rsidDel="00000000" w:rsidP="00000000" w:rsidRDefault="00000000" w:rsidRPr="00000000" w14:paraId="0000002E">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PENGUJIAN TEKNIS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Pengujian terpisah pada tujuh ponsel dengan 20 koordinat menghasilkan simpul awal, zona, tujuan, dan waktu tempuh yang sama pada semua ponsel, dengan selisih waktu pemrosesan paling besar 675 ms. Kedua pengukuran menggunakan versi data dan perangkat yang berbeda sehingga dilaporkan terpisah, sedangkan uji mode pesawat baru dilakukan pada satu ponsel.</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sdt>
        <w:sdtPr>
          <w:id w:val="1051361534"/>
          <w:tag w:val="goog_rdk_9"/>
        </w:sdtPr>
        <w:sdtContent>
          <w:commentRangeStart w:id="9"/>
        </w:sdtContent>
      </w:sdt>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Tabel I</w:t>
        <w:br w:type="textWrapping"/>
      </w:r>
      <w:commentRangeEnd w:id="9"/>
      <w:r w:rsidDel="00000000" w:rsidR="00000000" w:rsidRPr="00000000">
        <w:commentReference w:id="9"/>
      </w: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Hasil Pengujian Teknis</w:t>
      </w:r>
      <w:r w:rsidDel="00000000" w:rsidR="00000000" w:rsidRPr="00000000">
        <w:rPr>
          <w:rtl w:val="0"/>
        </w:rPr>
      </w:r>
    </w:p>
    <w:tbl>
      <w:tblPr>
        <w:tblStyle w:val="Table1"/>
        <w:tblW w:w="5015.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4"/>
        <w:gridCol w:w="2508"/>
        <w:gridCol w:w="1103"/>
        <w:tblGridChange w:id="0">
          <w:tblGrid>
            <w:gridCol w:w="1404"/>
            <w:gridCol w:w="2508"/>
            <w:gridCol w:w="1103"/>
          </w:tblGrid>
        </w:tblGridChange>
      </w:tblGrid>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Pengujian</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Hasil</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Target</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Mode pesawat</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Arahan tampil 960 ms pada pembukaan pertama, lalu 481 ms dan 551 ms (satu ponsel)</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Berjalan tanpa jaringan</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Waktu penyajian arahan</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80–801 ms pada empat jenis ponsel, 15 koordinat, data 2026.10.18</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&lt; 1 detik</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Konsistensi antarponsel</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Tujuh ponsel, 20 koordinat: simpul, zona, tujuan, dan waktu tempuh sama; selisih pemrosesan maks. 675 ms</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321068887"/>
                <w:tag w:val="goog_rdk_1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1 detik</w:t>
                </w:r>
              </w:sdtContent>
            </w:sdt>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Ukuran basis data</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36,97 MB</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417358771"/>
                <w:tag w:val="goog_rdk_1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75 MB</w:t>
                </w:r>
              </w:sdtContent>
            </w:sdt>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Kontras warna</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 pasangan warna memenuhi WCAG 2.1</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976860839"/>
                <w:tag w:val="goog_rdk_1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4,5:1</w:t>
                </w:r>
              </w:sdtContent>
            </w:sdt>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Uji unit</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531 dari 531 lulus</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Semua lulus</w:t>
            </w:r>
          </w:p>
        </w:tc>
      </w:tr>
    </w:tbl>
    <w:p w:rsidR="00000000" w:rsidDel="00000000" w:rsidP="00000000" w:rsidRDefault="00000000" w:rsidRPr="00000000" w14:paraId="00000046">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UJI PENGGUNA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w:t>
      </w:r>
      <w:r w:rsidDel="00000000" w:rsidR="00000000" w:rsidRPr="00000000">
        <w:rPr>
          <w:sz w:val="20"/>
          <w:szCs w:val="20"/>
          <w:rtl w:val="0"/>
        </w:rPr>
        <w:t xml:space="preserve">Dengan peta cetak, 20 peserta benar dan 5 peserta tidak berhasil, termasuk 1 peserta yang menyerah pada detik ke-35</w:t>
      </w:r>
      <w:r w:rsidDel="00000000" w:rsidR="00000000" w:rsidRPr="00000000">
        <w:rPr>
          <w:rFonts w:ascii="Roboto" w:cs="Roboto" w:eastAsia="Roboto" w:hAnsi="Roboto"/>
          <w:i w:val="1"/>
          <w:iCs w:val="1"/>
          <w:color w:val="cccccc"/>
          <w:sz w:val="20"/>
          <w:szCs w:val="20"/>
          <w:shd w:fill="21252b" w:val="clea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Waktu kelompok mahasiswa tidak dihitung karena peserta dapat mendengar jawaban orang sebelumnya, dan durasi kedua cara tidak dibandingkan langsung karena urutan dan lokasi tugasnya berbeda.</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Tabel II</w:t>
        <w:br w:type="textWrapping"/>
        <w:t xml:space="preserve">Hasil Tes Arah pada Uji Pengguna Tahap Kedua</w:t>
      </w:r>
    </w:p>
    <w:tbl>
      <w:tblPr>
        <w:tblStyle w:val="Table2"/>
        <w:tblW w:w="5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1504"/>
        <w:gridCol w:w="1504"/>
        <w:tblGridChange w:id="0">
          <w:tblGrid>
            <w:gridCol w:w="2007"/>
            <w:gridCol w:w="1504"/>
            <w:gridCol w:w="1504"/>
          </w:tblGrid>
        </w:tblGridChange>
      </w:tblGrid>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Aspek</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Aplikasi</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Peta cetak</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Peserta</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Arah benar</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(100%)</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 (80%)</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Tidak berhasil</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Waktu tercatat (detik)</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5–8 (15 peserta)</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10–58 (15 peserta)</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Dua peserta melanjutkan uji dengan berjalan ke TES. Peserta yang menggunakan internet tiba dalam 9 menit dengan perkiraan 18 menit, sedangkan peserta dalam mode pesawat tiba dalam 7 menit dengan perkiraan 12 menit. Perkiraan aplikasi lebih lama karena menggunakan laju perencanaan 0,894 m/s. Masukan peserta, seperti tampilan awal yang lebih sederhana, nomor darurat, ikon yang lebih jelas, dan warna yang lebih nyaman, digunakan untuk menyusun ulang Beranda dan penanda TES dan TEA pada desain akhir.</w:t>
      </w:r>
    </w:p>
    <w:p w:rsidR="00000000" w:rsidDel="00000000" w:rsidP="00000000" w:rsidRDefault="00000000" w:rsidRPr="00000000" w14:paraId="00000059">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KETERJANGKAUAN DAN BEBAN TES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Analisis jaringan memperkirakan 78,7% penduduk zona merah dapat mencapai tujuan tercepatnya dalam 20 menit. Tabel III membandingkan tiga aturan pemilihan tujuan dengan batas perjalanan 15 menit. Dibandingkan dengan aturan tujuan tercepat, aturan terbaru meningkatkan proporsi penduduk yang memiliki tujuan dalam 15 menit dari 61,2% menjadi 69,1% dan menurunkan proporsi yang tiba dalam 15–20 menit dari 17,5% menjadi 9,6%. Total kelebihan beban pada TES berdaya tampung tercatat turun dari 58.363 menjadi 44.264 jiwa (24,2%), walaupun jumlah TES yang terlampaui naik dari 43 menjadi 45. Karena itu, besarnya kelebihan beban lebih tepat digunakan sebagai ukuran daripada jumlah TES yang terlampaui.</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Tabel III</w:t>
        <w:br w:type="textWrapping"/>
        <w:t xml:space="preserve">Proyeksi Tujuan dan Beban TES (313.862 Jiwa)</w:t>
      </w:r>
    </w:p>
    <w:tbl>
      <w:tblPr>
        <w:tblStyle w:val="Table3"/>
        <w:tblW w:w="5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787"/>
        <w:gridCol w:w="724"/>
        <w:gridCol w:w="1066"/>
        <w:gridCol w:w="1066"/>
        <w:tblGridChange w:id="0">
          <w:tblGrid>
            <w:gridCol w:w="1372"/>
            <w:gridCol w:w="787"/>
            <w:gridCol w:w="724"/>
            <w:gridCol w:w="1066"/>
            <w:gridCol w:w="1066"/>
          </w:tblGrid>
        </w:tblGridChange>
      </w:tblGrid>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Aturan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sdt>
              <w:sdtPr>
                <w:id w:val="1438718811"/>
                <w:tag w:val="goog_rdk_13"/>
              </w:sdtPr>
              <w:sdtContent>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Tujuan ≤ 15 menit</w:t>
                </w:r>
              </w:sdtContent>
            </w:sdt>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15–20 menit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TES terlampaui</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Kelebihan beban (jiwa)</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Tujuan tercepat</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61,2%</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17,5%</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43</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58.363</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Zona hijau dahulu, lalu TES terjauh dari pantai</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61,2%</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17,5%</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40</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53.470</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Aturan terbaru dengan pembagian TES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69,1%</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9,6%</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45</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44.264</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penambahan tempat evakuasi. Angka tersebut merupakan perkiraan berbasis jaringan jalan dan laju perencanaan, bukan prediksi waktu tiba tsunami, dan belum memperhitungkan antrean di jalan.</w:t>
      </w:r>
    </w:p>
    <w:p w:rsidR="00000000" w:rsidDel="00000000" w:rsidP="00000000" w:rsidRDefault="00000000" w:rsidRPr="00000000" w14:paraId="0000007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0" w:line="240" w:lineRule="auto"/>
        <w:ind w:left="360" w:right="0" w:hanging="360"/>
        <w:jc w:val="left"/>
        <w:rPr/>
      </w:pPr>
      <w:r w:rsidDel="00000000" w:rsidR="00000000" w:rsidRPr="00000000">
        <w:rPr>
          <w:rFonts w:ascii="Helvetica Neue" w:cs="Helvetica Neue" w:eastAsia="Helvetica Neue" w:hAnsi="Helvetica Neue"/>
          <w:b w:val="1"/>
          <w:bCs w:val="1"/>
          <w:i w:val="1"/>
          <w:iCs w:val="1"/>
          <w:smallCaps w:val="0"/>
          <w:strike w:val="0"/>
          <w:color w:val="404040"/>
          <w:sz w:val="18"/>
          <w:szCs w:val="18"/>
          <w:u w:val="none"/>
          <w:shd w:fill="auto" w:val="clear"/>
          <w:vertAlign w:val="baseline"/>
          <w:rtl w:val="0"/>
        </w:rPr>
        <w:t xml:space="preserve">KETERBATASAN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87161775"/>
          <w:tag w:val="goog_rdk_14"/>
        </w:sdtPr>
        <w:sdtContent>
          <w:commentRangeStart w:id="10"/>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Pengujian teknis menggunakan koordinat tetap sehingga pengaruh ketelitian GPS di lapangan belum diukur</w: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uji mode pesawat dilakukan pada satu ponsel. </w:t>
      </w:r>
      <w:sdt>
        <w:sdtPr>
          <w:id w:val="515179698"/>
          <w:tag w:val="goog_rdk_15"/>
        </w:sdtPr>
        <w:sdtContent>
          <w:commentRangeStart w:id="11"/>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Rencana keluarga belum diuji antarponsel</w:t>
      </w:r>
      <w:commentRangeEnd w:id="11"/>
      <w:r w:rsidDel="00000000" w:rsidR="00000000" w:rsidRPr="00000000">
        <w:commentReference w:id="11"/>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sdt>
        <w:sdtPr>
          <w:id w:val="668594791"/>
          <w:tag w:val="goog_rdk_16"/>
        </w:sdtPr>
        <w:sdtContent>
          <w:commentRangeStart w:id="12"/>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Pembagian daya tampung mengikuti angka pada data sumber yang belum menggunakan standar luas per orang yang sama, sementara 77 TES belum memiliki angka daya tampung</w:t>
      </w:r>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sdt>
        <w:sdtPr>
          <w:id w:val="-760162676"/>
          <w:tag w:val="goog_rdk_17"/>
        </w:sdtPr>
        <w:sdtContent>
          <w:commentRangeStart w:id="13"/>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juga belum memperhitungkan antrean di jalan,</w:t>
      </w:r>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sdt>
        <w:sdtPr>
          <w:id w:val="1247914353"/>
          <w:tag w:val="goog_rdk_18"/>
        </w:sdtPr>
        <w:sdtContent>
          <w:commentRangeStart w:id="14"/>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 uji pengguna melibatkan 25 peserta dengan sebagian di antaranya pernah melihat aplikasi sebelumnya.</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0" w:line="240" w:lineRule="auto"/>
        <w:ind w:left="284" w:right="0" w:hanging="284"/>
        <w:jc w:val="left"/>
        <w:rPr/>
      </w:pPr>
      <w:r w:rsidDel="00000000" w:rsidR="00000000" w:rsidRPr="00000000">
        <w:rPr>
          <w:rFonts w:ascii="Helvetica Neue" w:cs="Helvetica Neue" w:eastAsia="Helvetica Neue" w:hAnsi="Helvetica Neue"/>
          <w:b w:val="1"/>
          <w:bCs w:val="1"/>
          <w:i w:val="0"/>
          <w:iCs w:val="0"/>
          <w:smallCaps w:val="1"/>
          <w:strike w:val="0"/>
          <w:color w:val="000000"/>
          <w:sz w:val="18"/>
          <w:szCs w:val="18"/>
          <w:u w:val="none"/>
          <w:shd w:fill="auto" w:val="clear"/>
          <w:vertAlign w:val="baseline"/>
          <w:rtl w:val="0"/>
        </w:rPr>
        <w:t xml:space="preserve">KESIMPULAN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Pemilihan tujuan berdasarkan sisa waktu dan pembagian daya tampung meningkatkan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uji rencana keluarga antarponsel, pembaruan daya tampung TES bersama BPBD, serta uji dengan pengguna yang lebih beragam, termasuk lansia dan penyandang disabilitas.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288" w:right="0" w:hanging="288"/>
        <w:jc w:val="left"/>
        <w:rPr>
          <w:rFonts w:ascii="Helvetica Neue" w:cs="Helvetica Neue" w:eastAsia="Helvetica Neue" w:hAnsi="Helvetica Neue"/>
          <w:b w:val="1"/>
          <w:bCs w:val="1"/>
          <w:i w:val="0"/>
          <w:iCs w:val="0"/>
          <w:smallCaps w:val="1"/>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18"/>
          <w:szCs w:val="18"/>
          <w:u w:val="none"/>
          <w:shd w:fill="auto" w:val="clear"/>
          <w:vertAlign w:val="baseline"/>
          <w:rtl w:val="0"/>
        </w:rPr>
        <w:t xml:space="preserve">REFERENSI</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Badan Meteorologi, Klimatologi, dan Geofisika. (2024) Tentang Gempa di Selat Sunda dan Mentawai–Siberut yang “Tinggal Menunggu Waktu”.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https://www.bmkg.go.id/berita/utama/tentang-gempa-di-selat-sunda-dan-mentawai-siberut-yang-tinggal-menunggu-waktu</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10-Agu-2026.</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Badan Meteorologi, Klimatologi, dan Geofisika. (2022) BMKG Dorong Kota Padang Wujudkan Tsunami Ready Community, Tingkatkan Kesiapsiagaan Gempa dan Tsunami.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https://www.bmkg.go.id/berita/utama/bmkg-dorong-kota-padang-wujudkan-tsunami-ready-community-tingkatkan-kesiapsiagaan-gempa-dan-tsunami</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10-Agu-2026.</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Badan Penanggulangan Bencana Daerah Kota Padang,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Dokumen Kajian Risiko Bencana Kota Padang Provinsi Sumatera Barat 2023–2027</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Padang, Indonesia: BPBD Kota Padang, 2022.</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Badan Penanggulangan Bencana Daerah Kota Padang,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Materi Sosialisasi Simulasi Gempa Berpotensi Tsunami Kota Padang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Padang, Indonesia: BPBD Kota Padang, 2025.</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Pemerintah Kota Padang dan Badan Penanggulangan Bencana Daerah Kota Padang,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Peta Tempat Evakuasi Sementara dan Lokasi Potensial Shelter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skala 1:15.000. Padang, Indonesia: Pemerintah Kota Padang, KOGAMI, dan Mercy Corps Indonesia, t.t.</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Pemerintah Kota Padang. Padang Sigap.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https://padang.go.id/padangsigap</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10-Agu-2026.</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Google Research. (2025) Android Earthquake Alerts: A Global System for Early Warning.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https://research.google/blog/android-earthquake-alerts-a-global-system-for-early-warning/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10-Agu-2026.</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Badan Penanggulangan Bencana Daerah Kota Padang, wawancara dengan Bidang Kedaruratan dan Logistik serta Bidang Pencegahan dan Kesiapsiagaan, Padang, 28 Sep.–7 Okt. 2026, komunikasi pribadi.</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Badan Nasional Penanggulangan Bencana. InaRISK.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https://inarisk.bnpb.go.id/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10-Agu-2026.</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Badan Meteorologi, Klimatologi, dan Geofisika. InaTEWS: Indonesia Tsunami Early Warning System.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https://inatews.bmkg.go.id/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10-Agu-2026.</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NANOOS. (2025) NVS Tsunami Evacuation, versi 2.6.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https://apps.apple.com/us/app/nvs-tsunami-evacuation/id478984841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27-Sep-2026.</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H.A. Fina dan P.R. Rahmad, “Pemetaan Bangunan Gedung Engineered Structure sebagai Vertikal Evakuasi Shelter Berdasarkan Ketinggian Jangkauan Tsunami di Kota Padang,”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Pendidikan Tambusai</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10, No. 2, hal. 9992–10001, 2026.</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L.O. Andreas, F. Ashar, dan N. Zuwida, “Analisa Parameter Kebutuhan Jarak dan Waktu Zona Rawan Tsunami pada Proses Evakuasi Masyarakat Kota di Padang,”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CIVED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9, No. 3, hal. 291–296, 2022, doi: 10.24036/cived.v9i3.336.</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Setyawan dan Y. Basuki, “Analisis Topografi dalam Penentuan Jalur Evakuasi Tsunami di Kota Padang,”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Pembangunan Wilayah dan Kota</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17, No. 1, hal. 48–58, 2021, doi: 10.14710/pwk.v17i1.22358.</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Anisya dan G.Y. Swara, “Aplikasi Pencarian Shelter Tsunami Terdekat di Kota Padang Menggunakan Metode Best First Search,”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Teknoif</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 No. 1, hal. 63–70, 2017, doi: 10.21063/jtif.2017.V5.1.63-70.</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Ashar, D. Amaratunga, dan R. Haigh, “Tsunami Evacuation Routes Using Network Analysis: A Case Study in Padang,”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Procedia Eng.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212, hal. 109–116, 2018, doi: 10.1016/j.proeng.2018.01.015.</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Takabatake, K. Asai, H. Kakuta, dan N. Hasegawa, “Optimizing Evacuation Paths Using Agent-Based Evacuation Simulations and Reinforcement Learning,”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 J. Disaster Risk Reduct.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117, art. 105173, 2025, doi: 10.1016/j.ijdrr.2024.105173.</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Purbani dkk., “Tsunami Evacuation Model in the Panimbang Subdistrict, Banten Province, Indonesia: GIS- and Agent-Based Modeling Approaches,”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Geographia Technica</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18, No. 2, hal. 132–148, 2023, doi: 10.21163/GT_2023.182.10.</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Mas, S. Koshimura, F. Imamura, A. Suppasri, A. Muhari, dan B. Adriano, “Recent Advances in Agent-Based Tsunami Evacuation Simulations: Case Studies in Indonesia, Thailand, Japan and Peru,”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Pure Appl. Geophys.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172, hal. 3409–3424, 2015, doi: 10.1007/s00024-015-1105-y.</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OpenStreetMap Foundation. Copyright and License.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https://www.openstreetmap.org/copyright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10-Agu-2026.</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Federal Emergency Management Agency,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Guidelines for Design of Structures for Vertical Evacuation from Tsunamis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3rd ed., FEMA P-646. Washington, DC, USA: FEMA, 2019.</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Leach, “Why People ‘Freeze’ in an Emergency: Temporal and Cognitive Constraints on Survival Responses,”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Aviat. Space Environ. Med.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75, No. 6, hal. 539–542, 2004.</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ectPr>
          <w:type w:val="continuous"/>
          <w:pgSz w:h="16838" w:w="11906" w:orient="portrait"/>
          <w:pgMar w:bottom="1021" w:top="1304" w:left="737" w:right="737" w:header="431" w:footer="431"/>
          <w:cols w:equalWidth="0" w:num="2">
            <w:col w:space="238" w:w="5096.999999999999"/>
            <w:col w:space="0" w:w="5096.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World Wide Web Consortium. (2018) Web Content Accessibility Guidelines (WCAG) 2.1. [Online],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https://www.w3.org/TR/WCAG21/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tanggal akses: 25-Okt-2026.</w:t>
      </w:r>
    </w:p>
    <w:p w:rsidR="00000000" w:rsidDel="00000000" w:rsidP="00000000" w:rsidRDefault="00000000" w:rsidRPr="00000000" w14:paraId="0000008D">
      <w:pPr>
        <w:rPr/>
      </w:pPr>
      <w:r w:rsidDel="00000000" w:rsidR="00000000" w:rsidRPr="00000000">
        <w:rPr>
          <w:rtl w:val="0"/>
        </w:rPr>
      </w:r>
    </w:p>
    <w:sectPr>
      <w:type w:val="continuous"/>
      <w:pgSz w:h="16838" w:w="11906" w:orient="portrait"/>
      <w:pgMar w:bottom="1021" w:top="1304" w:left="737" w:right="737" w:header="431" w:footer="431"/>
      <w:cols w:equalWidth="0" w:num="2">
        <w:col w:space="238" w:w="5096.999999999999"/>
        <w:col w:space="0" w:w="5096.999999999999"/>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sa Dwi Angresti" w:id="9" w:date="2026-10-29T20:41:24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lagi posisi Tabel I, II, III, letakkan di atas/bawah halaman.</w:t>
      </w:r>
    </w:p>
  </w:comment>
  <w:comment w:author="Nisa Dwi Angresti" w:id="3" w:date="2026-10-29T19:58:30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Ganti kalimatnya, karena ini bisa melemahkan,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Dengan aturan ini, hanya 19% jalur TES urutan pertama yang masih melewati jembatan karena tidak ada sambungan lain.</w:t>
      </w:r>
    </w:p>
  </w:comment>
  <w:comment w:author="Nisa Dwi Angresti" w:id="14" w:date="2026-10-29T20:39:26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tidak perlu dijelaskan</w:t>
      </w:r>
    </w:p>
  </w:comment>
  <w:comment w:author="Nisa Dwi Angresti" w:id="10" w:date="2026-10-29T20:35:38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ganti kalimat yang positif, hindari kata belum diukur</w:t>
      </w:r>
    </w:p>
  </w:comment>
  <w:comment w:author="Nisa Dwi Angresti" w:id="0" w:date="2026-10-29T19:56:5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artinya peserta uji awal? Jika iya tmbahkan kata peserta uji awal. Tetapi jika tidak, ubah data ini menjadi data awal</w:t>
      </w:r>
    </w:p>
  </w:comment>
  <w:comment w:author="Nisa Dwi Angresti" w:id="6" w:date="2026-10-29T20:14:5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Maksud kalimatnya jika sama cepat dengan apa?</w:t>
      </w:r>
    </w:p>
  </w:comment>
  <w:comment w:author="Nisa Dwi Angresti" w:id="1" w:date="2026-10-29T19:39:3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Dalam pendahulan belum menceritakan hasil akhir, ganti data ini menjadi pengujian awal.</w:t>
      </w:r>
    </w:p>
  </w:comment>
  <w:comment w:author="Nisa Dwi Angresti" w:id="4" w:date="2026-10-29T20:06:13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tanda x disini maksudnya kali? Dalam kalimat hindari menggunakan simbol. Jelaskan dengan kata-kata</w:t>
      </w:r>
    </w:p>
  </w:comment>
  <w:comment w:author="Nisa Dwi Angresti" w:id="13" w:date="2026-10-29T20:38:49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Ganti kalimatnya. Model perlu ditambahkan untu perhitungan antrean di jalan.</w:t>
      </w:r>
    </w:p>
  </w:comment>
  <w:comment w:author="Nisa Dwi Angresti" w:id="5" w:date="2026-10-29T20:08:54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Kalimat ini kurang jelas maksudnya. Kandidat apa?</w:t>
      </w:r>
    </w:p>
  </w:comment>
  <w:comment w:author="Nisa Dwi Angresti" w:id="2" w:date="2026-10-29T20:48:57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Jelaskan tahapan pengembangan aplikasi pada sub bab ini dari A sampai F secara singkat.</w:t>
      </w:r>
    </w:p>
  </w:comment>
  <w:comment w:author="Nisa Dwi Angresti" w:id="12" w:date="2026-10-29T20:37:44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keterbatasan ini carikan solusinya.</w:t>
      </w:r>
    </w:p>
  </w:comment>
  <w:comment w:author="Nisa Dwi Angresti" w:id="8" w:date="2026-10-29T20:26:28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Setiap sub bab harus ada narasinya. Tidak boleh kosong</w:t>
      </w:r>
    </w:p>
  </w:comment>
  <w:comment w:author="Nisa Dwi Angresti" w:id="11" w:date="2026-10-29T20:36:14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jangan gunakan kata belum diuji, ganti kalimat positif, "Rencana keluarga diuji dengan satu ponsel yang sama".</w:t>
      </w:r>
    </w:p>
  </w:comment>
  <w:comment w:author="Nisa Dwi Angresti" w:id="7" w:date="2026-10-29T20:30:24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1 diletakkan di halaman ini, pada bagian atas/bawah halaman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B" w15:done="0"/>
  <w15:commentEx w15:paraId="0000009D" w15:done="0"/>
  <w15:commentEx w15:paraId="0000009E" w15:done="0"/>
  <w15:commentEx w15:paraId="0000009F" w15:done="0"/>
  <w15:commentEx w15:paraId="000000A0" w15:done="0"/>
  <w15:commentEx w15:paraId="000000A1" w15:done="0"/>
  <w15:commentEx w15:paraId="000000A2" w15:done="0"/>
  <w15:commentEx w15:paraId="000000A3" w15:done="0"/>
  <w15:commentEx w15:paraId="000000A4" w15:done="0"/>
  <w15:commentEx w15:paraId="000000A5" w15:done="0"/>
  <w15:commentEx w15:paraId="000000A6" w15:done="0"/>
  <w15:commentEx w15:paraId="000000A7" w15:done="0"/>
  <w15:commentEx w15:paraId="000000A8" w15:done="0"/>
  <w15:commentEx w15:paraId="000000A9" w15:done="0"/>
  <w15:commentEx w15:paraId="000000A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9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Volume 1 Nomor 1 September 2024</w:t>
    </w:r>
    <w:r w:rsidDel="00000000" w:rsidR="00000000" w:rsidRPr="00000000">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Habibillah dkk: Siaga Padang: Sistem Navigasi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Habibillah dkk: Siaga Padang: Sistem Navigasi ...</w:t>
      <w:tab/>
      <w:t xml:space="preserve">Volume 1 Nomor 1 September 2024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433.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433"/>
      <w:tblGridChange w:id="0">
        <w:tblGrid>
          <w:gridCol w:w="10433"/>
        </w:tblGrid>
      </w:tblGridChange>
    </w:tblGrid>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113" w:firstLine="0"/>
            <w:jc w:val="right"/>
            <w:rPr>
              <w:rFonts w:ascii="Helvetica Neue" w:cs="Helvetica Neue" w:eastAsia="Helvetica Neue" w:hAnsi="Helvetica Neue"/>
              <w:b w:val="1"/>
              <w:bCs w:val="1"/>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18"/>
              <w:szCs w:val="18"/>
              <w:u w:val="none"/>
              <w:shd w:fill="auto" w:val="clear"/>
              <w:vertAlign w:val="baseline"/>
              <w:rtl w:val="0"/>
            </w:rPr>
            <w:tab/>
          </w: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BULETIN PAGELARAN MAHASISWA NASIONAL BIDANG TEKNOLOGI INFORMASI DAN KOMUNIKASI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113" w:firstLine="0"/>
            <w:jc w:val="righ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ISSN: xxxxxx</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732"/>
            </w:tabs>
            <w:spacing w:after="0" w:before="0" w:line="240" w:lineRule="auto"/>
            <w:ind w:left="0" w:right="-113"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63"/>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1"/>
        <w:strike w:val="0"/>
        <w:color w:val="000000"/>
        <w:sz w:val="18"/>
        <w:szCs w:val="18"/>
        <w:u w:val="none"/>
        <w:shd w:fill="auto" w:val="clear"/>
        <w:vertAlign w:val="baseline"/>
      </w:rPr>
    </w:pPr>
    <w:r w:rsidDel="00000000" w:rsidR="00000000" w:rsidRPr="00000000">
      <w:rPr>
        <w:rtl w:val="0"/>
      </w:rPr>
    </w:r>
  </w:p>
  <w:tbl>
    <w:tblPr>
      <w:tblStyle w:val="Table5"/>
      <w:tblW w:w="10490.0" w:type="dxa"/>
      <w:jc w:val="center"/>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490"/>
      <w:tblGridChange w:id="0">
        <w:tblGrid>
          <w:gridCol w:w="10490"/>
        </w:tblGrid>
      </w:tblGridChange>
    </w:tblGrid>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0" w:firstLine="0"/>
            <w:jc w:val="left"/>
            <w:rPr>
              <w:rFonts w:ascii="Helvetica Neue" w:cs="Helvetica Neue" w:eastAsia="Helvetica Neue" w:hAnsi="Helvetica Neue"/>
              <w:b w:val="1"/>
              <w:bCs w:val="1"/>
              <w:i w:val="0"/>
              <w:iCs w:val="0"/>
              <w:smallCaps w:val="0"/>
              <w:strike w:val="0"/>
              <w:color w:val="000000"/>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BULETIN PAGELARAN MAHASISWA NASIONAL BIDANG TEKNOLOGI INFORMASI DAN KOMUNIKASI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ISSN: xxxxxx</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57" w:right="0" w:firstLine="0"/>
            <w:jc w:val="left"/>
            <w:rPr>
              <w:rFonts w:ascii="Helvetica Neue" w:cs="Helvetica Neue" w:eastAsia="Helvetica Neue" w:hAnsi="Helvetica Neue"/>
              <w:b w:val="0"/>
              <w:bCs w:val="0"/>
              <w:i w:val="0"/>
              <w:iCs w:val="0"/>
              <w:smallCaps w:val="0"/>
              <w:strike w:val="0"/>
              <w:color w:val="0070c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70c0"/>
              <w:sz w:val="14"/>
              <w:szCs w:val="14"/>
              <w:u w:val="none"/>
              <w:shd w:fill="auto" w:val="clear"/>
              <w:vertAlign w:val="baseline"/>
              <w:rtl w:val="0"/>
            </w:rPr>
            <w:tab/>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5376F2"/>
    <w:rPr>
      <w:rFonts w:ascii="Arial" w:cs="Arial" w:eastAsia="SimSun" w:hAnsi="Arial"/>
      <w:b w:val="1"/>
      <w:bCs w:val="1"/>
      <w:sz w:val="26"/>
      <w:szCs w:val="26"/>
      <w:lang w:eastAsia="zh-CN" w:val="en-AU"/>
    </w:rPr>
  </w:style>
  <w:style w:type="paragraph" w:styleId="IEEEAuthorName" w:customStyle="1">
    <w:name w:val="IEEE Author Name"/>
    <w:basedOn w:val="Normal"/>
    <w:next w:val="Normal"/>
    <w:link w:val="IEEEAuthorNameChar"/>
    <w:rsid w:val="005376F2"/>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5376F2"/>
    <w:pPr>
      <w:spacing w:after="60"/>
      <w:jc w:val="center"/>
    </w:pPr>
    <w:rPr>
      <w:rFonts w:eastAsia="Times New Roman"/>
      <w:i w:val="1"/>
      <w:sz w:val="20"/>
      <w:lang w:eastAsia="en-GB" w:val="en-GB"/>
    </w:rPr>
  </w:style>
  <w:style w:type="paragraph" w:styleId="IEEEHeading2" w:customStyle="1">
    <w:name w:val="IEEE Heading 2"/>
    <w:basedOn w:val="Normal"/>
    <w:next w:val="IEEEParagraph"/>
    <w:link w:val="IEEEHeading2Char"/>
    <w:rsid w:val="005376F2"/>
    <w:pPr>
      <w:numPr>
        <w:numId w:val="1"/>
      </w:numPr>
      <w:adjustRightInd w:val="0"/>
      <w:snapToGrid w:val="0"/>
      <w:spacing w:after="60" w:before="150"/>
    </w:pPr>
    <w:rPr>
      <w:i w:val="1"/>
      <w:sz w:val="20"/>
    </w:rPr>
  </w:style>
  <w:style w:type="paragraph" w:styleId="IEEEAbstractHeading" w:customStyle="1">
    <w:name w:val="IEEE Abstract Heading"/>
    <w:basedOn w:val="IEEEAbtract"/>
    <w:next w:val="IEEEAbtract"/>
    <w:link w:val="IEEEAbstractHeadingChar"/>
    <w:rsid w:val="005376F2"/>
    <w:rPr>
      <w:i w:val="1"/>
    </w:rPr>
  </w:style>
  <w:style w:type="character" w:styleId="IEEEAbstractHeadingChar" w:customStyle="1">
    <w:name w:val="IEEE Abstract Heading Char"/>
    <w:link w:val="IEEEAbstractHeading"/>
    <w:rsid w:val="005376F2"/>
    <w:rPr>
      <w:rFonts w:ascii="Times New Roman" w:cs="Times New Roman" w:eastAsia="SimSun" w:hAnsi="Times New Roman"/>
      <w:b w:val="1"/>
      <w:i w:val="1"/>
      <w:sz w:val="18"/>
      <w:szCs w:val="24"/>
      <w:lang w:eastAsia="en-GB" w:val="en-GB"/>
    </w:rPr>
  </w:style>
  <w:style w:type="paragraph" w:styleId="IEEEAbtract" w:customStyle="1">
    <w:name w:val="IEEE Abtract"/>
    <w:basedOn w:val="Normal"/>
    <w:next w:val="Normal"/>
    <w:link w:val="IEEEAbtractChar"/>
    <w:rsid w:val="005376F2"/>
    <w:pPr>
      <w:adjustRightInd w:val="0"/>
      <w:snapToGrid w:val="0"/>
      <w:jc w:val="both"/>
    </w:pPr>
    <w:rPr>
      <w:b w:val="1"/>
      <w:sz w:val="18"/>
      <w:lang w:eastAsia="en-GB" w:val="en-GB"/>
    </w:rPr>
  </w:style>
  <w:style w:type="character" w:styleId="IEEEAbtractChar" w:customStyle="1">
    <w:name w:val="IEEE Abtract Char"/>
    <w:link w:val="IEEEAbtract"/>
    <w:rsid w:val="005376F2"/>
    <w:rPr>
      <w:rFonts w:ascii="Times New Roman" w:cs="Times New Roman" w:eastAsia="SimSun" w:hAnsi="Times New Roman"/>
      <w:b w:val="1"/>
      <w:sz w:val="18"/>
      <w:szCs w:val="24"/>
      <w:lang w:eastAsia="en-GB" w:val="en-GB"/>
    </w:rPr>
  </w:style>
  <w:style w:type="paragraph" w:styleId="IEEEParagraph" w:customStyle="1">
    <w:name w:val="IEEE Paragraph"/>
    <w:basedOn w:val="Normal"/>
    <w:link w:val="IEEEParagraphChar"/>
    <w:rsid w:val="005376F2"/>
    <w:pPr>
      <w:adjustRightInd w:val="0"/>
      <w:snapToGrid w:val="0"/>
      <w:ind w:firstLine="216"/>
      <w:jc w:val="both"/>
    </w:pPr>
  </w:style>
  <w:style w:type="paragraph" w:styleId="IEEEHeading1" w:customStyle="1">
    <w:name w:val="IEEE Heading 1"/>
    <w:basedOn w:val="Normal"/>
    <w:next w:val="IEEEParagraph"/>
    <w:link w:val="IEEEHeading1Char"/>
    <w:rsid w:val="005376F2"/>
    <w:pPr>
      <w:numPr>
        <w:numId w:val="5"/>
      </w:numPr>
      <w:adjustRightInd w:val="0"/>
      <w:snapToGrid w:val="0"/>
      <w:spacing w:after="60" w:before="180"/>
      <w:jc w:val="center"/>
    </w:pPr>
    <w:rPr>
      <w:smallCaps w:val="1"/>
      <w:sz w:val="20"/>
    </w:rPr>
  </w:style>
  <w:style w:type="paragraph" w:styleId="IEEETableCell" w:customStyle="1">
    <w:name w:val="IEEE Table Cell"/>
    <w:basedOn w:val="IEEEParagraph"/>
    <w:rsid w:val="005376F2"/>
    <w:pPr>
      <w:ind w:firstLine="0"/>
      <w:jc w:val="left"/>
    </w:pPr>
    <w:rPr>
      <w:sz w:val="18"/>
    </w:rPr>
  </w:style>
  <w:style w:type="paragraph" w:styleId="IEEEHeading3" w:customStyle="1">
    <w:name w:val="IEEE Heading 3"/>
    <w:basedOn w:val="Normal"/>
    <w:next w:val="IEEEParagraph"/>
    <w:link w:val="IEEEHeading3Char"/>
    <w:rsid w:val="005376F2"/>
    <w:pPr>
      <w:numPr>
        <w:numId w:val="2"/>
      </w:numPr>
      <w:adjustRightInd w:val="0"/>
      <w:snapToGrid w:val="0"/>
      <w:spacing w:after="60" w:before="120"/>
      <w:jc w:val="both"/>
    </w:pPr>
    <w:rPr>
      <w:i w:val="1"/>
      <w:sz w:val="20"/>
    </w:rPr>
  </w:style>
  <w:style w:type="character" w:styleId="IEEEParagraphChar" w:customStyle="1">
    <w:name w:val="IEEE Paragraph Char"/>
    <w:link w:val="IEEEParagraph"/>
    <w:rsid w:val="005376F2"/>
    <w:rPr>
      <w:rFonts w:ascii="Times New Roman" w:cs="Times New Roman" w:eastAsia="SimSun" w:hAnsi="Times New Roman"/>
      <w:sz w:val="24"/>
      <w:szCs w:val="24"/>
      <w:lang w:eastAsia="zh-CN" w:val="en-AU"/>
    </w:rPr>
  </w:style>
  <w:style w:type="numbering" w:styleId="IEEEBullet1" w:customStyle="1">
    <w:name w:val="IEEE Bullet 1"/>
    <w:basedOn w:val="NoList"/>
    <w:rsid w:val="005376F2"/>
    <w:pPr>
      <w:numPr>
        <w:numId w:val="3"/>
      </w:numPr>
    </w:pPr>
  </w:style>
  <w:style w:type="character" w:styleId="IEEEHeading3Char" w:customStyle="1">
    <w:name w:val="IEEE Heading 3 Char"/>
    <w:link w:val="IEEEHeading3"/>
    <w:rsid w:val="005376F2"/>
    <w:rPr>
      <w:rFonts w:ascii="Times New Roman" w:cs="Times New Roman" w:eastAsia="SimSun" w:hAnsi="Times New Roman"/>
      <w:i w:val="1"/>
      <w:sz w:val="20"/>
      <w:szCs w:val="24"/>
      <w:lang w:eastAsia="zh-CN" w:val="en-AU"/>
    </w:rPr>
  </w:style>
  <w:style w:type="paragraph" w:styleId="IEEEReferenceItem" w:customStyle="1">
    <w:name w:val="IEEE Reference Item"/>
    <w:basedOn w:val="Normal"/>
    <w:link w:val="IEEEReferenceItemChar"/>
    <w:rsid w:val="005376F2"/>
    <w:pPr>
      <w:numPr>
        <w:numId w:val="6"/>
      </w:numPr>
      <w:adjustRightInd w:val="0"/>
      <w:snapToGrid w:val="0"/>
      <w:jc w:val="both"/>
    </w:pPr>
    <w:rPr>
      <w:sz w:val="16"/>
      <w:lang w:val="en-US"/>
    </w:rPr>
  </w:style>
  <w:style w:type="paragraph" w:styleId="IEEETableHeaderCentered" w:customStyle="1">
    <w:name w:val="IEEE Table Header Centered"/>
    <w:basedOn w:val="IEEETableCell"/>
    <w:rsid w:val="005376F2"/>
    <w:pPr>
      <w:jc w:val="center"/>
    </w:pPr>
    <w:rPr>
      <w:b w:val="1"/>
      <w:bCs w:val="1"/>
    </w:rPr>
  </w:style>
  <w:style w:type="paragraph" w:styleId="IEEETableHeaderLeft-Justified" w:customStyle="1">
    <w:name w:val="IEEE Table Header Left-Justified"/>
    <w:basedOn w:val="IEEETableCell"/>
    <w:rsid w:val="005376F2"/>
    <w:rPr>
      <w:b w:val="1"/>
      <w:bCs w:val="1"/>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styleId="FooterChar" w:customStyle="1">
    <w:name w:val="Footer Char"/>
    <w:basedOn w:val="DefaultParagraphFont"/>
    <w:link w:val="Footer"/>
    <w:uiPriority w:val="99"/>
    <w:rsid w:val="005376F2"/>
    <w:rPr>
      <w:rFonts w:ascii="Times New Roman" w:cs="Times New Roman" w:eastAsia="Times New Roman" w:hAnsi="Times New Roman"/>
      <w:sz w:val="20"/>
      <w:szCs w:val="20"/>
      <w:lang w:eastAsia="zh-CN" w:val="en-AU"/>
    </w:rPr>
  </w:style>
  <w:style w:type="paragraph" w:styleId="Header">
    <w:name w:val="header"/>
    <w:basedOn w:val="Normal"/>
    <w:link w:val="HeaderChar"/>
    <w:uiPriority w:val="99"/>
    <w:unhideWhenUsed w:val="1"/>
    <w:rsid w:val="005376F2"/>
    <w:pPr>
      <w:tabs>
        <w:tab w:val="center" w:pos="4680"/>
        <w:tab w:val="right" w:pos="9360"/>
      </w:tabs>
    </w:pPr>
  </w:style>
  <w:style w:type="character" w:styleId="HeaderChar" w:customStyle="1">
    <w:name w:val="Header Char"/>
    <w:basedOn w:val="DefaultParagraphFont"/>
    <w:link w:val="Header"/>
    <w:uiPriority w:val="99"/>
    <w:rsid w:val="005376F2"/>
    <w:rPr>
      <w:rFonts w:ascii="Times New Roman" w:cs="Times New Roman" w:eastAsia="SimSun" w:hAnsi="Times New Roman"/>
      <w:sz w:val="24"/>
      <w:szCs w:val="24"/>
      <w:lang w:eastAsia="zh-CN" w:val="en-AU"/>
    </w:rPr>
  </w:style>
  <w:style w:type="character" w:styleId="IEEEAuthorNameChar" w:customStyle="1">
    <w:name w:val="IEEE Author Name Char"/>
    <w:basedOn w:val="DefaultParagraphFont"/>
    <w:link w:val="IEEEAuthorName"/>
    <w:rsid w:val="005376F2"/>
    <w:rPr>
      <w:rFonts w:ascii="Times New Roman" w:cs="Times New Roman" w:eastAsia="Times New Roman" w:hAnsi="Times New Roman"/>
      <w:szCs w:val="24"/>
      <w:lang w:eastAsia="en-GB" w:val="en-GB"/>
    </w:rPr>
  </w:style>
  <w:style w:type="character" w:styleId="IEEEHeading2Char" w:customStyle="1">
    <w:name w:val="IEEE Heading 2 Char"/>
    <w:basedOn w:val="DefaultParagraphFont"/>
    <w:link w:val="IEEEHeading2"/>
    <w:rsid w:val="005376F2"/>
    <w:rPr>
      <w:rFonts w:ascii="Times New Roman" w:cs="Times New Roman" w:eastAsia="SimSun" w:hAnsi="Times New Roman"/>
      <w:i w:val="1"/>
      <w:sz w:val="20"/>
      <w:szCs w:val="24"/>
      <w:lang w:eastAsia="zh-CN" w:val="en-AU"/>
    </w:rPr>
  </w:style>
  <w:style w:type="character" w:styleId="IEEEReferenceItemChar" w:customStyle="1">
    <w:name w:val="IEEE Reference Item Char"/>
    <w:basedOn w:val="DefaultParagraphFont"/>
    <w:link w:val="IEEEReferenceItem"/>
    <w:rsid w:val="005376F2"/>
    <w:rPr>
      <w:rFonts w:ascii="Times New Roman" w:cs="Times New Roman" w:eastAsia="SimSun" w:hAnsi="Times New Roman"/>
      <w:sz w:val="16"/>
      <w:szCs w:val="24"/>
      <w:lang w:eastAsia="zh-CN" w:val="en-US"/>
    </w:rPr>
  </w:style>
  <w:style w:type="character" w:styleId="CommentReference">
    <w:name w:val="annotation reference"/>
    <w:basedOn w:val="DefaultParagraphFont"/>
    <w:uiPriority w:val="99"/>
    <w:semiHidden w:val="1"/>
    <w:unhideWhenUsed w:val="1"/>
    <w:rsid w:val="0067468A"/>
    <w:rPr>
      <w:sz w:val="16"/>
      <w:szCs w:val="16"/>
    </w:rPr>
  </w:style>
  <w:style w:type="paragraph" w:styleId="CommentText">
    <w:name w:val="annotation text"/>
    <w:basedOn w:val="Normal"/>
    <w:link w:val="CommentTextChar"/>
    <w:uiPriority w:val="99"/>
    <w:unhideWhenUsed w:val="1"/>
    <w:rsid w:val="0067468A"/>
    <w:rPr>
      <w:sz w:val="20"/>
      <w:szCs w:val="20"/>
    </w:rPr>
  </w:style>
  <w:style w:type="character" w:styleId="CommentTextChar" w:customStyle="1">
    <w:name w:val="Comment Text Char"/>
    <w:basedOn w:val="DefaultParagraphFont"/>
    <w:link w:val="CommentText"/>
    <w:uiPriority w:val="99"/>
    <w:rsid w:val="0067468A"/>
    <w:rPr>
      <w:rFonts w:ascii="Times New Roman" w:cs="Times New Roman" w:eastAsia="SimSun" w:hAnsi="Times New Roman"/>
      <w:sz w:val="20"/>
      <w:szCs w:val="20"/>
      <w:lang w:eastAsia="zh-CN" w:val="en-AU"/>
    </w:rPr>
  </w:style>
  <w:style w:type="paragraph" w:styleId="CommentSubject">
    <w:name w:val="annotation subject"/>
    <w:basedOn w:val="CommentText"/>
    <w:next w:val="CommentText"/>
    <w:link w:val="CommentSubjectChar"/>
    <w:uiPriority w:val="99"/>
    <w:semiHidden w:val="1"/>
    <w:unhideWhenUsed w:val="1"/>
    <w:rsid w:val="0067468A"/>
    <w:rPr>
      <w:b w:val="1"/>
      <w:bCs w:val="1"/>
    </w:rPr>
  </w:style>
  <w:style w:type="character" w:styleId="CommentSubjectChar" w:customStyle="1">
    <w:name w:val="Comment Subject Char"/>
    <w:basedOn w:val="CommentTextChar"/>
    <w:link w:val="CommentSubject"/>
    <w:uiPriority w:val="99"/>
    <w:semiHidden w:val="1"/>
    <w:rsid w:val="0067468A"/>
    <w:rPr>
      <w:rFonts w:ascii="Times New Roman" w:cs="Times New Roman" w:eastAsia="SimSun" w:hAnsi="Times New Roman"/>
      <w:b w:val="1"/>
      <w:bCs w:val="1"/>
      <w:sz w:val="20"/>
      <w:szCs w:val="20"/>
      <w:lang w:eastAsia="zh-CN" w:val="en-AU"/>
    </w:rPr>
  </w:style>
  <w:style w:type="paragraph" w:styleId="Revision">
    <w:name w:val="Revision"/>
    <w:hidden w:val="1"/>
    <w:uiPriority w:val="99"/>
    <w:semiHidden w:val="1"/>
    <w:rsid w:val="0067468A"/>
    <w:pPr>
      <w:spacing w:after="0" w:line="240" w:lineRule="auto"/>
    </w:pPr>
    <w:rPr>
      <w:rFonts w:ascii="Times New Roman" w:cs="Times New Roman" w:eastAsia="SimSun" w:hAnsi="Times New Roman"/>
      <w:sz w:val="24"/>
      <w:szCs w:val="24"/>
      <w:lang w:eastAsia="zh-CN" w:val="en-AU"/>
    </w:rPr>
  </w:style>
  <w:style w:type="paragraph" w:styleId="ListParagraph">
    <w:name w:val="List Paragraph"/>
    <w:basedOn w:val="Normal"/>
    <w:uiPriority w:val="34"/>
    <w:qFormat w:val="1"/>
    <w:rsid w:val="002340AC"/>
    <w:pPr>
      <w:ind w:left="720"/>
      <w:contextualSpacing w:val="1"/>
    </w:pPr>
  </w:style>
  <w:style w:type="character" w:styleId="Hyperlink">
    <w:name w:val="Hyperlink"/>
    <w:basedOn w:val="DefaultParagraphFont"/>
    <w:uiPriority w:val="99"/>
    <w:unhideWhenUsed w:val="1"/>
    <w:rsid w:val="006E4477"/>
    <w:rPr>
      <w:color w:val="0563c1" w:themeColor="hyperlink"/>
      <w:u w:val="single"/>
    </w:rPr>
  </w:style>
  <w:style w:type="character" w:styleId="UnresolvedMention1" w:customStyle="1">
    <w:name w:val="Unresolved Mention1"/>
    <w:basedOn w:val="DefaultParagraphFont"/>
    <w:uiPriority w:val="99"/>
    <w:semiHidden w:val="1"/>
    <w:unhideWhenUsed w:val="1"/>
    <w:rsid w:val="006E4477"/>
    <w:rPr>
      <w:color w:val="605e5c"/>
      <w:shd w:color="auto" w:fill="e1dfdd" w:val="clear"/>
    </w:rPr>
  </w:style>
  <w:style w:type="table" w:styleId="TableGrid">
    <w:name w:val="Table Grid"/>
    <w:basedOn w:val="TableNormal"/>
    <w:uiPriority w:val="39"/>
    <w:rsid w:val="001073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EEEHeading1Char" w:customStyle="1">
    <w:name w:val="IEEE Heading 1 Char"/>
    <w:basedOn w:val="DefaultParagraphFont"/>
    <w:link w:val="IEEEHeading1"/>
    <w:rsid w:val="00904E6B"/>
    <w:rPr>
      <w:rFonts w:ascii="Times New Roman" w:cs="Times New Roman" w:eastAsia="SimSun" w:hAnsi="Times New Roman"/>
      <w:smallCaps w:val="1"/>
      <w:sz w:val="20"/>
      <w:szCs w:val="24"/>
      <w:lang w:eastAsia="zh-CN" w:val="en-AU"/>
    </w:rPr>
  </w:style>
  <w:style w:type="paragraph" w:styleId="PARA" w:customStyle="1">
    <w:name w:val="PARA"/>
    <w:basedOn w:val="Normal"/>
    <w:rsid w:val="00904E6B"/>
    <w:pPr>
      <w:suppressAutoHyphens w:val="1"/>
      <w:autoSpaceDE w:val="0"/>
      <w:autoSpaceDN w:val="0"/>
      <w:adjustRightInd w:val="0"/>
      <w:spacing w:line="240" w:lineRule="exact"/>
      <w:jc w:val="both"/>
    </w:pPr>
    <w:rPr>
      <w:rFonts w:cs="TimesLTStd-Roman" w:eastAsia="Times New Roman"/>
      <w:spacing w:val="-2"/>
      <w:sz w:val="20"/>
      <w:szCs w:val="20"/>
      <w:lang w:eastAsia="en-US" w:val="en-US"/>
    </w:rPr>
  </w:style>
  <w:style w:type="paragraph" w:styleId="GemastikJudul" w:customStyle="1">
    <w:name w:val="Gemastik Judul"/>
    <w:basedOn w:val="Normal"/>
    <w:link w:val="GemastikJudulChar"/>
    <w:qFormat w:val="1"/>
    <w:rsid w:val="003E50E5"/>
    <w:pPr>
      <w:spacing w:after="120"/>
    </w:pPr>
    <w:rPr>
      <w:rFonts w:ascii="Helvetica" w:hAnsi="Helvetica"/>
      <w:b w:val="1"/>
      <w:bCs w:val="1"/>
      <w:sz w:val="40"/>
      <w:szCs w:val="40"/>
      <w:lang w:val="id-ID"/>
    </w:rPr>
  </w:style>
  <w:style w:type="paragraph" w:styleId="GemastikPenulis" w:customStyle="1">
    <w:name w:val="Gemastik Penulis"/>
    <w:basedOn w:val="IEEEAuthorName"/>
    <w:link w:val="GemastikPenulisChar"/>
    <w:qFormat w:val="1"/>
    <w:rsid w:val="00EB5F4F"/>
    <w:pPr>
      <w:spacing w:before="0"/>
      <w:jc w:val="left"/>
    </w:pPr>
    <w:rPr>
      <w:rFonts w:ascii="Helvetica" w:hAnsi="Helvetica"/>
      <w:b w:val="1"/>
      <w:bCs w:val="1"/>
      <w:sz w:val="18"/>
      <w:szCs w:val="18"/>
      <w:lang w:val="id-ID"/>
    </w:rPr>
  </w:style>
  <w:style w:type="character" w:styleId="GemastikJudulChar" w:customStyle="1">
    <w:name w:val="Gemastik Judul Char"/>
    <w:basedOn w:val="DefaultParagraphFont"/>
    <w:link w:val="GemastikJudul"/>
    <w:rsid w:val="003E50E5"/>
    <w:rPr>
      <w:rFonts w:ascii="Helvetica" w:cs="Times New Roman" w:eastAsia="SimSun" w:hAnsi="Helvetica"/>
      <w:b w:val="1"/>
      <w:bCs w:val="1"/>
      <w:sz w:val="40"/>
      <w:szCs w:val="40"/>
      <w:lang w:eastAsia="zh-CN"/>
    </w:rPr>
  </w:style>
  <w:style w:type="paragraph" w:styleId="GemastikAfiliasi" w:customStyle="1">
    <w:name w:val="Gemastik Afiliasi"/>
    <w:basedOn w:val="Normal"/>
    <w:link w:val="GemastikAfiliasiChar"/>
    <w:qFormat w:val="1"/>
    <w:rsid w:val="00EB5F4F"/>
    <w:rPr>
      <w:sz w:val="14"/>
      <w:szCs w:val="14"/>
      <w:lang w:eastAsia="en-GB" w:val="id-ID"/>
    </w:rPr>
  </w:style>
  <w:style w:type="character" w:styleId="GemastikPenulisChar" w:customStyle="1">
    <w:name w:val="Gemastik Penulis Char"/>
    <w:basedOn w:val="IEEEAuthorNameChar"/>
    <w:link w:val="GemastikPenulis"/>
    <w:rsid w:val="00EB5F4F"/>
    <w:rPr>
      <w:rFonts w:ascii="Helvetica" w:cs="Times New Roman" w:eastAsia="Times New Roman" w:hAnsi="Helvetica"/>
      <w:b w:val="1"/>
      <w:bCs w:val="1"/>
      <w:sz w:val="18"/>
      <w:szCs w:val="18"/>
      <w:lang w:eastAsia="en-GB" w:val="en-GB"/>
    </w:rPr>
  </w:style>
  <w:style w:type="paragraph" w:styleId="GemastikCorrespondingAuthor" w:customStyle="1">
    <w:name w:val="Gemastik CorrespondingAuthor"/>
    <w:basedOn w:val="Normal"/>
    <w:link w:val="GemastikCorrespondingAuthorChar"/>
    <w:qFormat w:val="1"/>
    <w:rsid w:val="00EB5F4F"/>
    <w:pPr>
      <w:spacing w:before="120"/>
      <w:ind w:left="113" w:hanging="113"/>
    </w:pPr>
    <w:rPr>
      <w:sz w:val="14"/>
      <w:szCs w:val="14"/>
      <w:lang w:eastAsia="en-GB" w:val="id-ID"/>
    </w:rPr>
  </w:style>
  <w:style w:type="character" w:styleId="GemastikAfiliasiChar" w:customStyle="1">
    <w:name w:val="Gemastik Afiliasi Char"/>
    <w:basedOn w:val="DefaultParagraphFont"/>
    <w:link w:val="GemastikAfiliasi"/>
    <w:rsid w:val="00EB5F4F"/>
    <w:rPr>
      <w:rFonts w:ascii="Times New Roman" w:cs="Times New Roman" w:eastAsia="SimSun" w:hAnsi="Times New Roman"/>
      <w:sz w:val="14"/>
      <w:szCs w:val="14"/>
      <w:lang w:eastAsia="en-GB"/>
    </w:rPr>
  </w:style>
  <w:style w:type="paragraph" w:styleId="GemastikIntisari" w:customStyle="1">
    <w:name w:val="Gemastik Intisari"/>
    <w:basedOn w:val="Normal"/>
    <w:link w:val="GemastikIntisariChar"/>
    <w:qFormat w:val="1"/>
    <w:rsid w:val="00EB5F4F"/>
    <w:pPr>
      <w:spacing w:after="240"/>
      <w:jc w:val="both"/>
    </w:pPr>
    <w:rPr>
      <w:sz w:val="20"/>
      <w:szCs w:val="20"/>
      <w:lang w:val="id-ID"/>
    </w:rPr>
  </w:style>
  <w:style w:type="character" w:styleId="GemastikCorrespondingAuthorChar" w:customStyle="1">
    <w:name w:val="Gemastik CorrespondingAuthor Char"/>
    <w:basedOn w:val="DefaultParagraphFont"/>
    <w:link w:val="GemastikCorrespondingAuthor"/>
    <w:rsid w:val="00EB5F4F"/>
    <w:rPr>
      <w:rFonts w:ascii="Times New Roman" w:cs="Times New Roman" w:eastAsia="SimSun" w:hAnsi="Times New Roman"/>
      <w:sz w:val="14"/>
      <w:szCs w:val="14"/>
      <w:lang w:eastAsia="en-GB"/>
    </w:rPr>
  </w:style>
  <w:style w:type="paragraph" w:styleId="GemastikKataKunci" w:customStyle="1">
    <w:name w:val="Gemastik KataKunci"/>
    <w:basedOn w:val="IEEEAbtract"/>
    <w:link w:val="GemastikKataKunciChar"/>
    <w:qFormat w:val="1"/>
    <w:rsid w:val="00EB5F4F"/>
    <w:pPr>
      <w:spacing w:after="360"/>
    </w:pPr>
    <w:rPr>
      <w:b w:val="0"/>
      <w:bCs w:val="1"/>
      <w:sz w:val="20"/>
      <w:szCs w:val="28"/>
      <w:shd w:color="auto" w:fill="ffffff" w:val="clear"/>
      <w:lang w:val="id-ID"/>
    </w:rPr>
  </w:style>
  <w:style w:type="character" w:styleId="GemastikIntisariChar" w:customStyle="1">
    <w:name w:val="Gemastik Intisari Char"/>
    <w:basedOn w:val="DefaultParagraphFont"/>
    <w:link w:val="GemastikIntisari"/>
    <w:rsid w:val="00EB5F4F"/>
    <w:rPr>
      <w:rFonts w:ascii="Times New Roman" w:cs="Times New Roman" w:eastAsia="SimSun" w:hAnsi="Times New Roman"/>
      <w:sz w:val="20"/>
      <w:szCs w:val="20"/>
      <w:lang w:eastAsia="zh-CN"/>
    </w:rPr>
  </w:style>
  <w:style w:type="paragraph" w:styleId="GemastikHeading1" w:customStyle="1">
    <w:name w:val="Gemastik Heading 1"/>
    <w:basedOn w:val="IEEEHeading1"/>
    <w:link w:val="GemastikHeading1Char"/>
    <w:qFormat w:val="1"/>
    <w:rsid w:val="003E50E5"/>
    <w:pPr>
      <w:numPr>
        <w:numId w:val="0"/>
      </w:numPr>
      <w:spacing w:after="0"/>
      <w:jc w:val="left"/>
    </w:pPr>
    <w:rPr>
      <w:rFonts w:ascii="Helvetica" w:hAnsi="Helvetica"/>
      <w:b w:val="1"/>
      <w:bCs w:val="1"/>
      <w:sz w:val="18"/>
      <w:szCs w:val="18"/>
      <w:lang w:val="id-ID"/>
    </w:rPr>
  </w:style>
  <w:style w:type="character" w:styleId="GemastikKataKunciChar" w:customStyle="1">
    <w:name w:val="Gemastik KataKunci Char"/>
    <w:basedOn w:val="IEEEAbtractChar"/>
    <w:link w:val="GemastikKataKunci"/>
    <w:rsid w:val="00EB5F4F"/>
    <w:rPr>
      <w:rFonts w:ascii="Times New Roman" w:cs="Times New Roman" w:eastAsia="SimSun" w:hAnsi="Times New Roman"/>
      <w:b w:val="0"/>
      <w:bCs w:val="1"/>
      <w:sz w:val="20"/>
      <w:szCs w:val="28"/>
      <w:lang w:eastAsia="en-GB" w:val="en-GB"/>
    </w:rPr>
  </w:style>
  <w:style w:type="paragraph" w:styleId="GemastikBody" w:customStyle="1">
    <w:name w:val="Gemastik Body"/>
    <w:basedOn w:val="IEEEParagraph"/>
    <w:link w:val="GemastikBodyChar"/>
    <w:qFormat w:val="1"/>
    <w:rsid w:val="00EB5F4F"/>
    <w:pPr>
      <w:ind w:firstLine="289"/>
    </w:pPr>
    <w:rPr>
      <w:sz w:val="20"/>
      <w:szCs w:val="20"/>
      <w:lang w:val="id-ID"/>
    </w:rPr>
  </w:style>
  <w:style w:type="character" w:styleId="GemastikHeading1Char" w:customStyle="1">
    <w:name w:val="Gemastik Heading 1 Char"/>
    <w:basedOn w:val="IEEEHeading1Char"/>
    <w:link w:val="GemastikHeading1"/>
    <w:rsid w:val="003E50E5"/>
    <w:rPr>
      <w:rFonts w:ascii="Helvetica" w:cs="Times New Roman" w:eastAsia="SimSun" w:hAnsi="Helvetica"/>
      <w:b w:val="1"/>
      <w:bCs w:val="1"/>
      <w:smallCaps w:val="1"/>
      <w:sz w:val="18"/>
      <w:szCs w:val="18"/>
      <w:lang w:eastAsia="zh-CN" w:val="en-AU"/>
    </w:rPr>
  </w:style>
  <w:style w:type="paragraph" w:styleId="GemastikHeading2" w:customStyle="1">
    <w:name w:val="Gemastik Heading 2"/>
    <w:basedOn w:val="IEEEHeading2"/>
    <w:link w:val="GemastikHeading2Char"/>
    <w:qFormat w:val="1"/>
    <w:rsid w:val="00CB636D"/>
    <w:pPr>
      <w:numPr>
        <w:numId w:val="19"/>
      </w:numPr>
      <w:spacing w:after="0"/>
      <w:ind w:left="289" w:hanging="289"/>
    </w:pPr>
    <w:rPr>
      <w:rFonts w:ascii="Helvetica" w:hAnsi="Helvetica"/>
      <w:b w:val="1"/>
      <w:bCs w:val="1"/>
      <w:color w:val="404040" w:themeColor="text1" w:themeTint="0000BF"/>
      <w:sz w:val="18"/>
      <w:szCs w:val="18"/>
      <w:lang w:val="id-ID"/>
    </w:rPr>
  </w:style>
  <w:style w:type="character" w:styleId="GemastikBodyChar" w:customStyle="1">
    <w:name w:val="Gemastik Body Char"/>
    <w:basedOn w:val="IEEEParagraphChar"/>
    <w:link w:val="GemastikBody"/>
    <w:rsid w:val="00EB5F4F"/>
    <w:rPr>
      <w:rFonts w:ascii="Times New Roman" w:cs="Times New Roman" w:eastAsia="SimSun" w:hAnsi="Times New Roman"/>
      <w:sz w:val="20"/>
      <w:szCs w:val="20"/>
      <w:lang w:eastAsia="zh-CN" w:val="en-AU"/>
    </w:rPr>
  </w:style>
  <w:style w:type="paragraph" w:styleId="GemastikJudulTabel" w:customStyle="1">
    <w:name w:val="Gemastik Judul Tabel"/>
    <w:basedOn w:val="Normal"/>
    <w:link w:val="GemastikJudulTabelChar"/>
    <w:qFormat w:val="1"/>
    <w:rsid w:val="00EB5F4F"/>
    <w:pPr>
      <w:spacing w:after="120"/>
      <w:jc w:val="center"/>
    </w:pPr>
    <w:rPr>
      <w:smallCaps w:val="1"/>
      <w:sz w:val="16"/>
      <w:szCs w:val="16"/>
    </w:rPr>
  </w:style>
  <w:style w:type="character" w:styleId="GemastikHeading2Char" w:customStyle="1">
    <w:name w:val="Gemastik Heading 2 Char"/>
    <w:basedOn w:val="IEEEHeading2Char"/>
    <w:link w:val="GemastikHeading2"/>
    <w:rsid w:val="00CB636D"/>
    <w:rPr>
      <w:rFonts w:ascii="Helvetica" w:cs="Times New Roman" w:eastAsia="SimSun" w:hAnsi="Helvetica"/>
      <w:b w:val="1"/>
      <w:bCs w:val="1"/>
      <w:i w:val="1"/>
      <w:color w:val="404040" w:themeColor="text1" w:themeTint="0000BF"/>
      <w:sz w:val="18"/>
      <w:szCs w:val="18"/>
      <w:lang w:eastAsia="zh-CN" w:val="en-AU"/>
    </w:rPr>
  </w:style>
  <w:style w:type="paragraph" w:styleId="GemastikCaptionGambar" w:customStyle="1">
    <w:name w:val="Gemastik Caption Gambar"/>
    <w:basedOn w:val="Normal"/>
    <w:link w:val="GemastikCaptionGambarChar"/>
    <w:qFormat w:val="1"/>
    <w:rsid w:val="00CF6EFC"/>
    <w:pPr>
      <w:spacing w:after="120" w:before="120"/>
      <w:jc w:val="center"/>
    </w:pPr>
    <w:rPr>
      <w:rFonts w:ascii="Helvetica" w:hAnsi="Helvetica"/>
      <w:color w:val="000000" w:themeColor="text1"/>
      <w:sz w:val="14"/>
      <w:szCs w:val="14"/>
    </w:rPr>
  </w:style>
  <w:style w:type="character" w:styleId="GemastikJudulTabelChar" w:customStyle="1">
    <w:name w:val="Gemastik Judul Tabel Char"/>
    <w:basedOn w:val="DefaultParagraphFont"/>
    <w:link w:val="GemastikJudulTabel"/>
    <w:rsid w:val="00EB5F4F"/>
    <w:rPr>
      <w:rFonts w:ascii="Times New Roman" w:cs="Times New Roman" w:eastAsia="SimSun" w:hAnsi="Times New Roman"/>
      <w:smallCaps w:val="1"/>
      <w:sz w:val="16"/>
      <w:szCs w:val="16"/>
      <w:lang w:eastAsia="zh-CN" w:val="en-AU"/>
    </w:rPr>
  </w:style>
  <w:style w:type="paragraph" w:styleId="GemastikHeading3" w:customStyle="1">
    <w:name w:val="Gemastik Heading 3"/>
    <w:basedOn w:val="IEEEHeading3"/>
    <w:link w:val="GemastikHeading3Char"/>
    <w:qFormat w:val="1"/>
    <w:rsid w:val="00CF6EFC"/>
    <w:pPr>
      <w:spacing w:after="0"/>
    </w:pPr>
    <w:rPr>
      <w:rFonts w:ascii="Helvetica" w:hAnsi="Helvetica"/>
      <w:i w:val="0"/>
      <w:color w:val="404040" w:themeColor="text1" w:themeTint="0000BF"/>
      <w:sz w:val="18"/>
      <w:szCs w:val="18"/>
      <w:lang w:val="id-ID"/>
    </w:rPr>
  </w:style>
  <w:style w:type="character" w:styleId="GemastikCaptionGambarChar" w:customStyle="1">
    <w:name w:val="Gemastik Caption Gambar Char"/>
    <w:basedOn w:val="DefaultParagraphFont"/>
    <w:link w:val="GemastikCaptionGambar"/>
    <w:rsid w:val="00CF6EFC"/>
    <w:rPr>
      <w:rFonts w:ascii="Helvetica" w:cs="Times New Roman" w:eastAsia="SimSun" w:hAnsi="Helvetica"/>
      <w:color w:val="000000" w:themeColor="text1"/>
      <w:sz w:val="14"/>
      <w:szCs w:val="14"/>
      <w:lang w:eastAsia="zh-CN" w:val="en-AU"/>
    </w:rPr>
  </w:style>
  <w:style w:type="paragraph" w:styleId="GemastikPersamaan" w:customStyle="1">
    <w:name w:val="Gemastik Persamaan"/>
    <w:basedOn w:val="Normal"/>
    <w:link w:val="GemastikPersamaanChar"/>
    <w:qFormat w:val="1"/>
    <w:rsid w:val="00C75E9B"/>
    <w:pPr>
      <w:tabs>
        <w:tab w:val="center" w:pos="2410"/>
        <w:tab w:val="right" w:pos="4962"/>
      </w:tabs>
      <w:spacing w:after="120" w:before="120"/>
    </w:pPr>
    <w:rPr>
      <w:sz w:val="20"/>
      <w:szCs w:val="20"/>
      <w:lang w:val="id-ID"/>
    </w:rPr>
  </w:style>
  <w:style w:type="character" w:styleId="GemastikHeading3Char" w:customStyle="1">
    <w:name w:val="Gemastik Heading 3 Char"/>
    <w:basedOn w:val="IEEEHeading3Char"/>
    <w:link w:val="GemastikHeading3"/>
    <w:rsid w:val="00CF6EFC"/>
    <w:rPr>
      <w:rFonts w:ascii="Helvetica" w:cs="Times New Roman" w:eastAsia="SimSun" w:hAnsi="Helvetica"/>
      <w:i w:val="0"/>
      <w:color w:val="404040" w:themeColor="text1" w:themeTint="0000BF"/>
      <w:sz w:val="18"/>
      <w:szCs w:val="18"/>
      <w:lang w:eastAsia="zh-CN" w:val="en-AU"/>
    </w:rPr>
  </w:style>
  <w:style w:type="paragraph" w:styleId="GemastikReferensi" w:customStyle="1">
    <w:name w:val="Gemastik Referensi"/>
    <w:basedOn w:val="IEEEReferenceItem"/>
    <w:link w:val="GemastikReferensiChar"/>
    <w:qFormat w:val="1"/>
    <w:rsid w:val="00C75E9B"/>
    <w:pPr>
      <w:spacing w:before="40"/>
      <w:ind w:left="357" w:hanging="357"/>
    </w:pPr>
    <w:rPr>
      <w:lang w:val="id-ID"/>
    </w:rPr>
  </w:style>
  <w:style w:type="character" w:styleId="GemastikPersamaanChar" w:customStyle="1">
    <w:name w:val="Gemastik Persamaan Char"/>
    <w:basedOn w:val="DefaultParagraphFont"/>
    <w:link w:val="GemastikPersamaan"/>
    <w:rsid w:val="00C75E9B"/>
    <w:rPr>
      <w:rFonts w:ascii="Times New Roman" w:cs="Times New Roman" w:eastAsia="SimSun" w:hAnsi="Times New Roman"/>
      <w:sz w:val="20"/>
      <w:szCs w:val="20"/>
      <w:lang w:eastAsia="zh-CN"/>
    </w:rPr>
  </w:style>
  <w:style w:type="paragraph" w:styleId="GEMASTIKFooter" w:customStyle="1">
    <w:name w:val="GEMASTIK Footer"/>
    <w:basedOn w:val="Footer"/>
    <w:link w:val="GEMASTIKFooterChar"/>
    <w:qFormat w:val="1"/>
    <w:rsid w:val="009265E2"/>
    <w:pPr>
      <w:tabs>
        <w:tab w:val="clear" w:pos="4320"/>
        <w:tab w:val="clear" w:pos="8640"/>
        <w:tab w:val="right" w:pos="10490"/>
      </w:tabs>
    </w:pPr>
    <w:rPr>
      <w:rFonts w:ascii="Helvetica" w:cs="Helvetica" w:hAnsi="Helvetica"/>
      <w:sz w:val="16"/>
      <w:szCs w:val="16"/>
    </w:rPr>
  </w:style>
  <w:style w:type="character" w:styleId="GemastikReferensiChar" w:customStyle="1">
    <w:name w:val="Gemastik Referensi Char"/>
    <w:basedOn w:val="IEEEReferenceItemChar"/>
    <w:link w:val="GemastikReferensi"/>
    <w:rsid w:val="00C75E9B"/>
    <w:rPr>
      <w:rFonts w:ascii="Times New Roman" w:cs="Times New Roman" w:eastAsia="SimSun" w:hAnsi="Times New Roman"/>
      <w:sz w:val="16"/>
      <w:szCs w:val="24"/>
      <w:lang w:eastAsia="zh-CN" w:val="en-US"/>
    </w:rPr>
  </w:style>
  <w:style w:type="paragraph" w:styleId="GemastikHeaderKanan" w:customStyle="1">
    <w:name w:val="Gemastik Header Kanan"/>
    <w:basedOn w:val="Header"/>
    <w:link w:val="GemastikHeaderKananChar"/>
    <w:qFormat w:val="1"/>
    <w:rsid w:val="003E50E5"/>
    <w:pPr>
      <w:ind w:left="-57"/>
      <w:jc w:val="right"/>
    </w:pPr>
    <w:rPr>
      <w:rFonts w:ascii="Helvetica" w:hAnsi="Helvetica"/>
      <w:b w:val="1"/>
      <w:bCs w:val="1"/>
      <w:sz w:val="18"/>
      <w:szCs w:val="18"/>
    </w:rPr>
  </w:style>
  <w:style w:type="character" w:styleId="GEMASTIKFooterChar" w:customStyle="1">
    <w:name w:val="GEMASTIK Footer Char"/>
    <w:basedOn w:val="FooterChar"/>
    <w:link w:val="GEMASTIKFooter"/>
    <w:rsid w:val="009265E2"/>
    <w:rPr>
      <w:rFonts w:ascii="Helvetica" w:cs="Helvetica" w:eastAsia="Times New Roman" w:hAnsi="Helvetica"/>
      <w:sz w:val="16"/>
      <w:szCs w:val="16"/>
      <w:lang w:eastAsia="zh-CN" w:val="en-AU"/>
    </w:rPr>
  </w:style>
  <w:style w:type="paragraph" w:styleId="GemastikISSN" w:customStyle="1">
    <w:name w:val="Gemastik ISSN"/>
    <w:basedOn w:val="Header"/>
    <w:link w:val="GemastikISSNChar"/>
    <w:qFormat w:val="1"/>
    <w:rsid w:val="00C75E9B"/>
    <w:pPr>
      <w:ind w:left="-57"/>
      <w:jc w:val="right"/>
    </w:pPr>
    <w:rPr>
      <w:rFonts w:ascii="Helvetica" w:hAnsi="Helvetica"/>
      <w:sz w:val="14"/>
      <w:szCs w:val="14"/>
      <w:lang w:val="id-ID"/>
    </w:rPr>
  </w:style>
  <w:style w:type="character" w:styleId="GemastikHeaderKananChar" w:customStyle="1">
    <w:name w:val="Gemastik Header Kanan Char"/>
    <w:basedOn w:val="HeaderChar"/>
    <w:link w:val="GemastikHeaderKanan"/>
    <w:rsid w:val="003E50E5"/>
    <w:rPr>
      <w:rFonts w:ascii="Helvetica" w:cs="Times New Roman" w:eastAsia="SimSun" w:hAnsi="Helvetica"/>
      <w:b w:val="1"/>
      <w:bCs w:val="1"/>
      <w:sz w:val="18"/>
      <w:szCs w:val="18"/>
      <w:lang w:eastAsia="zh-CN" w:val="en-AU"/>
    </w:rPr>
  </w:style>
  <w:style w:type="character" w:styleId="GemastikISSNChar" w:customStyle="1">
    <w:name w:val="Gemastik ISSN Char"/>
    <w:basedOn w:val="HeaderChar"/>
    <w:link w:val="GemastikISSN"/>
    <w:rsid w:val="00C75E9B"/>
    <w:rPr>
      <w:rFonts w:ascii="Helvetica" w:cs="Times New Roman" w:eastAsia="SimSun" w:hAnsi="Helvetica"/>
      <w:sz w:val="14"/>
      <w:szCs w:val="14"/>
      <w:lang w:eastAsia="zh-CN" w:val="en-AU"/>
    </w:rPr>
  </w:style>
  <w:style w:type="character" w:styleId="UnresolvedMention">
    <w:name w:val="Unresolved Mention"/>
    <w:basedOn w:val="DefaultParagraphFont"/>
    <w:uiPriority w:val="99"/>
    <w:semiHidden w:val="1"/>
    <w:unhideWhenUsed w:val="1"/>
    <w:rsid w:val="005A10A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2411523020_sheva@student.unand.ac.id" TargetMode="External"/><Relationship Id="rId10" Type="http://schemas.openxmlformats.org/officeDocument/2006/relationships/hyperlink" Target="mailto:2411522024_muhammad@student.unand.ac.id" TargetMode="External"/><Relationship Id="rId13" Type="http://schemas.openxmlformats.org/officeDocument/2006/relationships/header" Target="header2.xml"/><Relationship Id="rId12" Type="http://schemas.openxmlformats.org/officeDocument/2006/relationships/hyperlink" Target="mailto:nisadwi@it.unand.ac.i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2411523016_mikail@student.unand.ac.id"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numbering" Target="numbering.xml"/><Relationship Id="rId19" Type="http://schemas.openxmlformats.org/officeDocument/2006/relationships/image" Target="media/image1.jp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zoke6tFHxwnyFT6Lh343z6I4Q==">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2023-03-13T14:33:00Z</dcterms:created>
  <dc:creator>Mikail Samyth Habibillah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