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DC99" w14:textId="77777777" w:rsidR="005376F2" w:rsidRPr="00642B7F" w:rsidRDefault="005376F2" w:rsidP="005F3CEB">
      <w:pPr>
        <w:pStyle w:val="GemastikJudul"/>
        <w:jc w:val="center"/>
      </w:pPr>
      <w:r w:rsidRPr="00642B7F">
        <w:t>Siaga Padang: Sistem Navigasi Evakuasi Tsunami Luring Berbasis Pemodelan Pergerakan Kolektif</w:t>
      </w:r>
    </w:p>
    <w:p w14:paraId="01EECD6D"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414B7B2E" w14:textId="1227111D"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673DD9" w:rsidRPr="00074176">
          <w:rPr>
            <w:rStyle w:val="Hyperlink"/>
            <w:rFonts w:eastAsia="Times New Roman"/>
            <w:lang w:val="en-US" w:eastAsia="en-US"/>
          </w:rPr>
          <w:t>2411523016_mikail@student.unand.ac.id</w:t>
        </w:r>
      </w:hyperlink>
    </w:p>
    <w:p w14:paraId="07C1707A" w14:textId="6B154C26"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673DD9" w:rsidRPr="00074176">
          <w:rPr>
            <w:rStyle w:val="Hyperlink"/>
            <w:rFonts w:eastAsia="Times New Roman"/>
            <w:lang w:val="en-US" w:eastAsia="en-US"/>
          </w:rPr>
          <w:t>2411522024_muhammad@student.unand.ac.id</w:t>
        </w:r>
      </w:hyperlink>
    </w:p>
    <w:p w14:paraId="2304BDDB" w14:textId="0ECE6F6E"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3</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0" w:history="1">
        <w:r w:rsidR="00673DD9" w:rsidRPr="00074176">
          <w:rPr>
            <w:rStyle w:val="Hyperlink"/>
            <w:rFonts w:eastAsia="Times New Roman"/>
            <w:lang w:val="en-US" w:eastAsia="en-US"/>
          </w:rPr>
          <w:t>2411523020_sheva@student.unand.ac.id</w:t>
        </w:r>
      </w:hyperlink>
    </w:p>
    <w:p w14:paraId="07F4439E" w14:textId="7C603521"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673DD9" w:rsidRPr="00074176">
          <w:rPr>
            <w:rStyle w:val="Hyperlink"/>
            <w:rFonts w:eastAsia="Times New Roman"/>
            <w:lang w:val="en-US" w:eastAsia="en-US"/>
          </w:rPr>
          <w:t>nisadwi@it.unand.ac.id</w:t>
        </w:r>
      </w:hyperlink>
    </w:p>
    <w:p w14:paraId="40D2BBB2" w14:textId="77777777"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6F777773" w14:textId="7777777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dan, pada pengujian awal, satu dari lima calon pengguna tidak berhasil menemukan tempat evakuasi dengan peta resmi.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p>
    <w:p w14:paraId="552E642C"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6FC5CD50" w14:textId="77777777" w:rsidR="005376F2" w:rsidRPr="003E50E5" w:rsidRDefault="00D667EC" w:rsidP="003E50E5">
      <w:pPr>
        <w:pStyle w:val="GemastikHeading1"/>
        <w:numPr>
          <w:ilvl w:val="0"/>
          <w:numId w:val="22"/>
        </w:numPr>
        <w:ind w:left="284" w:hanging="284"/>
      </w:pPr>
      <w:r w:rsidRPr="003E50E5">
        <w:t>PENDAHULUAN</w:t>
      </w:r>
    </w:p>
    <w:p w14:paraId="12627465"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661803C2" w14:textId="77777777"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tinggi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425504BD" w14:textId="77777777"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pengujian awal terhadap lima calon pengguna di zona merah sekitar Masjid Al Hakim, empat peserta memerlukan 27–89 detik untuk menemukan tempat evakuasi pada peta resmi, sedangkan satu peserta pendatang tidak berhasil menemukannya. Selain itu, layanan peringatan di ponsel memerlukan koneksi, padahal jaringan telekomunikasi dapat terganggu setelah gempa [7].</w:t>
      </w:r>
    </w:p>
    <w:p w14:paraId="52A3A9A4" w14:textId="77777777" w:rsidR="009771D5" w:rsidRDefault="00000000">
      <w:pPr>
        <w:pStyle w:val="GemastikBody"/>
      </w:pPr>
      <w:r>
        <w:t xml:space="preserve">Wawancara dengan tiga narasumber BPBD pada September–Oktober 2026 menghasilkan empat ketentuan yang </w:t>
      </w:r>
      <w:r>
        <w:t>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6BAFD064" w14:textId="77777777"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52DA8809"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w:t>
      </w:r>
      <w:r>
        <w:lastRenderedPageBreak/>
        <w:t>uji pengguna, dan analisis keterjangkauan yang hasilnya dapat dimanfaatkan BPBD. Bagian II menjelaskan metode, Bagian III menyajikan hasil dan diskusi, dan Bagian IV memuat kesimpulan.</w:t>
      </w:r>
    </w:p>
    <w:p w14:paraId="24A196EA" w14:textId="77777777" w:rsidR="009771D5" w:rsidRDefault="00000000">
      <w:pPr>
        <w:pStyle w:val="GemastikHeading1"/>
        <w:keepNext/>
        <w:numPr>
          <w:ilvl w:val="0"/>
          <w:numId w:val="22"/>
        </w:numPr>
        <w:ind w:left="284" w:hanging="284"/>
      </w:pPr>
      <w:r>
        <w:t>METODE</w:t>
      </w:r>
    </w:p>
    <w:p w14:paraId="661803C2" w14:textId="77777777" w:rsidR="009771D5" w:rsidRDefault="00000000">
      <w:pPr>
        <w:pStyle w:val="GemastikBody"/>
      </w:pPr>
      <w:r>
        <w:t xml:space="preserve">Pengembangan Siaga Padang dilakukan dalam enam tahap: penyiapan proses dan data wilayah (II-A), perhitungan jalur sebelum kejadian sesuai aturan BPBD (II-B), pembagian penduduk ke TES menurut daya tampung (II-C), penetapan cara ponsel memilih tujuan (II-D), perancangan arsitektur dan navigasi tanpa jaringan (II-E), serta penyusunan rancangan pengujian (II-F).</w:t>
      </w:r>
    </w:p>
    <w:p w14:paraId="66275A15" w14:textId="77777777" w:rsidR="009771D5" w:rsidRDefault="00000000">
      <w:pPr>
        <w:pStyle w:val="GemastikHeading2"/>
        <w:keepNext/>
        <w:numPr>
          <w:ilvl w:val="0"/>
          <w:numId w:val="24"/>
        </w:numPr>
        <w:ind w:left="289" w:hanging="289"/>
      </w:pPr>
      <w:r>
        <w:t>PENGEMBANGAN DAN DATA</w:t>
      </w:r>
    </w:p>
    <w:p w14:paraId="0EB7D7FC" w14:textId="77777777" w:rsidR="009771D5" w:rsidRDefault="00000000">
      <w:pPr>
        <w:pStyle w:val="GemastikBody"/>
      </w:pPr>
      <w: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w:t>
      </w:r>
      <w:r>
        <w:t>urutan pertama melewati jembatan. Temuan ini menjadi dasar penghitungan ulang seluruh jalur dengan aturan BPBD.</w:t>
      </w:r>
    </w:p>
    <w:p w14:paraId="3DE597CB"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 Gambar 1 merangkum alur sistem: garis ungu utuh menandai alur yang berjalan tanpa jaringan, dari prakomputasi hingga navigasi di ponsel, sedangkan garis abu-abu bertitik menandai layanan server yang memerlukan jaringan.</w:t>
      </w:r>
    </w:p>
    <w:p w14:paraId="4EF6AC5B" w14:textId="77777777" w:rsidR="009771D5" w:rsidRDefault="00000000">
      <w:pPr>
        <w:pStyle w:val="GemastikHeading2"/>
        <w:keepNext/>
      </w:pPr>
      <w:r>
        <w:t>PRAKOMPUTASI JALUR</w:t>
      </w:r>
    </w:p>
    <w:p w14:paraId="683EF6B9" w14:textId="77777777"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528C04FA" w14:textId="77777777"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akan didahulukan, dan jembatan hanya </w:t>
      </w:r>
      <w:r w:rsidR="00A45926">
        <w:t>digunakan</w:t>
      </w:r>
      <w:r>
        <w:t xml:space="preserve"> bila tujuan tidak dapat dicapai tanpa melaluinya. Dengan aturan ini, hanya 19% jalur TES urutan pertama yang masih melewati jembatan karena tidak ada sambungan lain, turun dari 31,4% sebelum audit. Aplikasi menandai jalur tersebut dengan memberi keterangan “Lewat jembatan”. Sebanyak 730 simpul zona merah tidak memiliki TES yang </w:t>
      </w:r>
      <w:r>
        <w:t>memenuhi syarat, tetapi seluruh simpul zona merah tetap memiliki jalur menuju zona hijau.</w:t>
      </w:r>
    </w:p>
    <w:p w14:paraId="60A7C8A1" w14:textId="77777777" w:rsidR="009771D5" w:rsidRDefault="00000000">
      <w:pPr>
        <w:pStyle w:val="GemastikHeading2"/>
        <w:keepNext/>
      </w:pPr>
      <w:r>
        <w:t>PEMBAGIAN DAYA TAMPUNG</w:t>
      </w:r>
    </w:p>
    <w:p w14:paraId="1FC8B237" w14:textId="77777777" w:rsidR="009771D5" w:rsidRDefault="00000000">
      <w:pPr>
        <w:pStyle w:val="GemastikBody"/>
      </w:pPr>
      <w:r>
        <w:t xml:space="preserve">Pemodelan pergerakan kolektif dalam makalah ini adalah perhitungan yang membagikan perkiraan penduduk dari banyak simpul asal ke TES dengan memperhitungkan daya tampung dan waktu tempuh, bukan simulasi pergerakan orang dari waktu ke waktu.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waktu tempuh seluruh penduduk, yaitu jumlah dari perkalian banyaknya penduduk dengan waktu tempuhnya ke TES tujuan, dengan syarat beban setiap TES tidak melebihi daya tampungnya dan waktu tempuh paling lama 15 menit. TES yang dapat dipilih dalam pembagian ini hanya TES yang memiliki angka daya tampung dan memenuhi aturan arah menjauhi pantai. Bila semua TES yang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7169A6C5" w14:textId="77777777" w:rsidR="009771D5" w:rsidRDefault="00000000">
      <w:pPr>
        <w:pStyle w:val="GemastikHeading2"/>
        <w:keepNext/>
      </w:pPr>
      <w:r>
        <w:lastRenderedPageBreak/>
        <w:t>PEMILIHAN TUJUAN PADA PONSEL</w:t>
      </w:r>
    </w:p>
    <w:p w14:paraId="7D2FB5A5"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2A58724E" w14:textId="77777777" w:rsidR="009771D5" w:rsidRDefault="00000000">
      <w:pPr>
        <w:pStyle w:val="GemastikBody"/>
        <w:ind w:left="284" w:hanging="284"/>
      </w:pPr>
      <w:r>
        <w:t>1)</w:t>
      </w:r>
      <w:r>
        <w:tab/>
        <w:t>TEA atau zona hijau yang masih terjangkau, dipilih yang waktu tempuhnya paling singkat; bila waktu tempuh ke TEA sama dengan waktu tempuh ke zona hijau, TEA didahulukan.</w:t>
      </w:r>
    </w:p>
    <w:p w14:paraId="1E25DB73"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2D609EB3" w14:textId="77777777" w:rsidR="009771D5" w:rsidRDefault="00000000">
      <w:pPr>
        <w:pStyle w:val="GemastikBody"/>
        <w:ind w:left="284" w:hanging="284"/>
      </w:pPr>
      <w:r>
        <w:t>3)</w:t>
      </w:r>
      <w:r>
        <w:tab/>
        <w:t>TES terjangkau yang terjauh dari pantai, asalkan sedikitnya 50 m lebih jauh daripada TES tercepat.</w:t>
      </w:r>
    </w:p>
    <w:p w14:paraId="6EB4FD49" w14:textId="77777777" w:rsidR="009771D5" w:rsidRDefault="00000000">
      <w:pPr>
        <w:pStyle w:val="GemastikBody"/>
        <w:ind w:left="284" w:hanging="284"/>
      </w:pPr>
      <w:r>
        <w:t>4)</w:t>
      </w:r>
      <w:r>
        <w:tab/>
        <w:t>Tujuan tercepat di antara pilihan yang tersimpan.</w:t>
      </w:r>
    </w:p>
    <w:p w14:paraId="3065C591"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4B5922D1" w14:textId="77777777" w:rsidR="009771D5" w:rsidRDefault="00000000">
      <w:pPr>
        <w:pStyle w:val="GemastikHeading2"/>
        <w:keepNext/>
      </w:pPr>
      <w:r>
        <w:t>ARSITEKTUR DAN NAVIGASI LURING</w:t>
      </w:r>
    </w:p>
    <w:p w14:paraId="35998F48"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5F1A9173" w14:textId="77777777" w:rsidR="009771D5" w:rsidRDefault="00000000">
      <w:pPr>
        <w:pStyle w:val="GemastikBody"/>
      </w:pPr>
      <w:r xmlns:a="http://schemas.openxmlformats.org/drawingml/2006/main">
        <mc:AlternateContent>
          <mc:Choice Requires="wps">
            <w:drawing>
              <wp:anchor distT="0" distB="50800" distL="0" distR="0" simplePos="0" relativeHeight="251700000" behindDoc="0" locked="0" layoutInCell="1" allowOverlap="0">
                <wp:simplePos x="0" y="0"/>
                <wp:positionH relativeFrom="margin">
                  <wp:align>center</wp:align>
                </wp:positionH>
                <wp:positionV relativeFrom="margin">
                  <wp:align>top</wp:align>
                </wp:positionV>
                <wp:extent cx="6624000" cy="2556241"/>
                <wp:effectExtent l="0" t="0" r="0" b="0"/>
                <wp:wrapTopAndBottom/>
                <wp:docPr id="5" name="Kotak Teks 5"/>
                <wp:cNvGraphicFramePr/>
                <a:graphic>
                  <a:graphicData uri="http://schemas.microsoft.com/office/word/2010/wordprocessingShape">
                    <wps:wsp>
                      <wps:cNvSpPr txBox="1"/>
                      <wps:spPr>
                        <a:xfrm>
                          <a:off x="0" y="0"/>
                          <a:ext cx="6624000" cy="2556241"/>
                        </a:xfrm>
                        <a:prstGeom prst="rect">
                          <a:avLst/>
                        </a:prstGeom>
                        <a:noFill/>
                        <a:ln>
                          <a:noFill/>
                        </a:ln>
                      </wps:spPr>
                      <wps:txbx>
                        <w:txbxContent>
                          <w:p w14:paraId="278A7B2B"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noChangeAspect="1"/>
                                  </wp:cNvGraphicFramePr>
                                  <a:graphic>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4937760" cy="2238741"/>
                                          </a:xfrm>
                                          <a:prstGeom prst="rect">
                                            <a:avLst/>
                                          </a:prstGeom>
                                        </pic:spPr>
                                      </pic:pic>
                                    </a:graphicData>
                                  </a:graphic>
                                </wp:inline>
                              </w:drawing>
                            </w:r>
                          </w:p>
                          <w:p w14:paraId="06A3E556"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wps:txbx>
                      <wps:bodyPr rot="0" vert="horz" wrap="square" lIns="0" tIns="0" rIns="0" bIns="0" anchor="t" anchorCtr="0">
                        <a:noAutofit/>
                      </wps:bodyPr>
                    </wps:wsp>
                  </a:graphicData>
                </a:graphic>
              </wp:anchor>
            </w:drawing>
          </mc:Choice>
        </mc:AlternateContent>
      </w:r>
      <w:r>
        <w:t xml:space="preserve">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dan berada sedikitnya 40 m dari jalur lama pada tiga pembacaan berturut-turut, jalur dibaca ulang dari jalan tersebut. Kedatangan dikonfirmasi setelah tiga </w:t>
      </w:r>
      <w:r>
        <w:t>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194ACFE2" w14:textId="77777777" w:rsidR="009771D5" w:rsidRDefault="00000000">
      <w:pPr>
        <w:pStyle w:val="GemastikBody"/>
      </w:pPr>
      <w:r xmlns:a="http://schemas.openxmlformats.org/drawingml/2006/main">
        <mc:AlternateContent>
          <mc:Choice Requires="wps">
            <w:drawing>
              <wp:anchor distT="50800" distB="0" distL="0" distR="0" simplePos="0" relativeHeight="251700001" behindDoc="0" locked="0" layoutInCell="1" allowOverlap="0">
                <wp:simplePos x="0" y="0"/>
                <wp:positionH relativeFrom="margin">
                  <wp:align>center</wp:align>
                </wp:positionH>
                <wp:positionV relativeFrom="margin">
                  <wp:align>bottom</wp:align>
                </wp:positionV>
                <wp:extent cx="6624000" cy="2189568"/>
                <wp:effectExtent l="0" t="0" r="0" b="0"/>
                <wp:wrapTopAndBottom/>
                <wp:docPr id="6" name="Kotak Teks 6"/>
                <wp:cNvGraphicFramePr/>
                <a:graphic>
                  <a:graphicData uri="http://schemas.microsoft.com/office/word/2010/wordprocessingShape">
                    <wps:wsp>
                      <wps:cNvSpPr txBox="1"/>
                      <wps:spPr>
                        <a:xfrm>
                          <a:off x="0" y="0"/>
                          <a:ext cx="6624000" cy="2189568"/>
                        </a:xfrm>
                        <a:prstGeom prst="rect">
                          <a:avLst/>
                        </a:prstGeom>
                        <a:noFill/>
                        <a:ln>
                          <a:noFill/>
                        </a:ln>
                      </wps:spPr>
                      <wps:txbx>
                        <w:txbxContent>
                          <w:p w14:paraId="0543C5F6"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noChangeAspect="1"/>
                                  </wp:cNvGraphicFramePr>
                                  <a:graphic>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2743200" cy="1973668"/>
                                          </a:xfrm>
                                          <a:prstGeom prst="rect">
                                            <a:avLst/>
                                          </a:prstGeom>
                                        </pic:spPr>
                                      </pic:pic>
                                    </a:graphicData>
                                  </a:graphic>
                                </wp:inline>
                              </w:drawing>
                            </w:r>
                          </w:p>
                          <w:p w14:paraId="140E3387"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wps:txbx>
                      <wps:bodyPr rot="0" vert="horz" wrap="square" lIns="0" tIns="0" rIns="0" bIns="0" anchor="t" anchorCtr="0">
                        <a:noAutofit/>
                      </wps:bodyPr>
                    </wps:wsp>
                  </a:graphicData>
                </a:graphic>
              </wp:anchor>
            </w:drawing>
          </mc:Choice>
        </mc:AlternateContent>
      </w: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6615C22D" w14:textId="77777777" w:rsidR="009771D5" w:rsidRDefault="00000000">
      <w:pPr>
        <w:pStyle w:val="GemastikHeading2"/>
        <w:keepNext/>
      </w:pPr>
      <w:r>
        <w:t>RANCANGAN PENGUJIAN</w:t>
      </w:r>
    </w:p>
    <w:p w14:paraId="6BC73793"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waktu respons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54ABEC93" w14:textId="77777777" w:rsidR="009771D5" w:rsidRDefault="00000000">
      <w:pPr>
        <w:pStyle w:val="GemastikHeading1"/>
        <w:keepNext/>
        <w:numPr>
          <w:ilvl w:val="0"/>
          <w:numId w:val="22"/>
        </w:numPr>
        <w:ind w:left="284" w:hanging="284"/>
      </w:pPr>
      <w:r>
        <w:t>HASIL DAN DISKUSI</w:t>
      </w:r>
    </w:p>
    <w:p w14:paraId="661803C2" w14:textId="77777777" w:rsidR="009771D5" w:rsidRDefault="00000000">
      <w:pPr>
        <w:pStyle w:val="GemastikBody"/>
      </w:pPr>
      <w:r>
        <w:t xml:space="preserve">Bagian ini menyajikan hasil implementasi (III-A), pengujian teknis (III-B), uji pengguna (III-C), analisis keterjangkauan dan beban TES (III-D), serta keterbatasan penelitian beserta solusinya (III-E).</w:t>
      </w:r>
    </w:p>
    <w:p w14:paraId="629FAC13" w14:textId="77777777" w:rsidR="009771D5" w:rsidRDefault="00000000">
      <w:pPr>
        <w:pStyle w:val="GemastikHeading2"/>
        <w:keepNext/>
        <w:numPr>
          <w:ilvl w:val="0"/>
          <w:numId w:val="25"/>
        </w:numPr>
        <w:ind w:left="289" w:hanging="289"/>
      </w:pPr>
      <w:r>
        <w:t>IMPLEMENTASI</w:t>
      </w:r>
    </w:p>
    <w:p w14:paraId="22994B97" w14:textId="77777777"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24FB35AB" w14:textId="77777777" w:rsidR="009771D5" w:rsidRDefault="00000000">
      <w:pPr>
        <w:pStyle w:val="GemastikHeading2"/>
        <w:keepNext/>
      </w:pPr>
      <w:r>
        <w:lastRenderedPageBreak/>
        <w:t>PENGUJIAN TEKNIS</w:t>
      </w:r>
    </w:p>
    <w:p w14:paraId="544694BF" w14:textId="77777777" w:rsidR="009771D5" w:rsidRDefault="00000000">
      <w:pPr>
        <w:pStyle w:val="GemastikBody"/>
      </w:pPr>
      <w:r xmlns:a="http://schemas.openxmlformats.org/drawingml/2006/main">
        <mc:AlternateContent>
          <mc:Choice Requires="wps">
            <w:drawing>
              <wp:anchor distT="50800" distB="0" distL="0" distR="0" simplePos="0" relativeHeight="251700003" behindDoc="0" locked="0" layoutInCell="1" allowOverlap="0">
                <wp:simplePos x="0" y="0"/>
                <wp:positionH relativeFrom="column">
                  <wp:align>center</wp:align>
                </wp:positionH>
                <wp:positionV relativeFrom="margin">
                  <wp:align>bottom</wp:align>
                </wp:positionV>
                <wp:extent cx="3236400" cy="1790917"/>
                <wp:effectExtent l="0" t="0" r="0" b="0"/>
                <wp:wrapTopAndBottom/>
                <wp:docPr id="8" name="Kotak Teks 8"/>
                <wp:cNvGraphicFramePr/>
                <a:graphic>
                  <a:graphicData uri="http://schemas.microsoft.com/office/word/2010/wordprocessingShape">
                    <wps:wsp>
                      <wps:cNvSpPr txBox="1"/>
                      <wps:spPr>
                        <a:xfrm>
                          <a:off x="0" y="0"/>
                          <a:ext cx="3236400" cy="1790917"/>
                        </a:xfrm>
                        <a:prstGeom prst="rect">
                          <a:avLst/>
                        </a:prstGeom>
                        <a:noFill/>
                        <a:ln>
                          <a:noFill/>
                        </a:ln>
                      </wps:spPr>
                      <wps:txbx>
                        <w:txbxContent>
                          <w:p w14:paraId="6AD48598"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noChangeAspect="1"/>
                                  </wp:cNvGraphicFramePr>
                                  <a:graphic>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0400" cy="1473417"/>
                                          </a:xfrm>
                                          <a:prstGeom prst="rect">
                                            <a:avLst/>
                                          </a:prstGeom>
                                        </pic:spPr>
                                      </pic:pic>
                                    </a:graphicData>
                                  </a:graphic>
                                </wp:inline>
                              </w:drawing>
                            </w:r>
                          </w:p>
                          <w:p w14:paraId="7615F80D" w14:textId="77777777" w:rsidR="009771D5" w:rsidRDefault="00000000">
                            <w:pPr>
                              <w:pStyle w:val="GemastikCaptionGambar"/>
                              <w:jc w:val="both"/>
                            </w:pPr>
                            <w:r>
                              <w:rPr>
                                <w:b/>
                              </w:rPr>
                              <w:t>Gambar 3.</w:t>
                            </w:r>
                            <w:r>
                              <w:t xml:space="preserve"> Waktu pemrosesan arahan pada tujuh ponsel dengan 20 koordinat yang sama (data 2026.10.16); seluruh nilai berada di </w:t>
                            </w:r>
                            <w:proofErr w:type="spellStart"/>
                            <w:r>
                              <w:t>bawah</w:t>
                            </w:r>
                            <w:proofErr w:type="spellEnd"/>
                            <w:r>
                              <w:t xml:space="preserve"> target 1 </w:t>
                            </w:r>
                            <w:proofErr w:type="spellStart"/>
                            <w:r>
                              <w:t>detik</w:t>
                            </w:r>
                            <w:proofErr w:type="spellEnd"/>
                            <w:r>
                              <w:t>.</w:t>
                            </w:r>
                          </w:p>
                        </w:txbxContent>
                      </wps:txbx>
                      <wps:bodyPr rot="0" vert="horz" wrap="square" lIns="0" tIns="0" rIns="0" bIns="0" anchor="t" anchorCtr="0">
                        <a:noAutofit/>
                      </wps:bodyPr>
                    </wps:wsp>
                  </a:graphicData>
                </a:graphic>
              </wp:anchor>
            </w:drawing>
          </mc:Choice>
        </mc:AlternateContent>
      </w:r>
      <w:r xmlns:a="http://schemas.openxmlformats.org/drawingml/2006/main">
        <mc:AlternateContent>
          <mc:Choice Requires="wps">
            <w:drawing>
              <wp:anchor distT="0" distB="50800" distL="0" distR="0" simplePos="0" relativeHeight="251700002" behindDoc="0" locked="0" layoutInCell="1" allowOverlap="0">
                <wp:simplePos x="0" y="0"/>
                <wp:positionH relativeFrom="column">
                  <wp:align>center</wp:align>
                </wp:positionH>
                <wp:positionV relativeFrom="margin">
                  <wp:align>top</wp:align>
                </wp:positionV>
                <wp:extent cx="3236400" cy="2514600"/>
                <wp:effectExtent l="0" t="0" r="0" b="0"/>
                <wp:wrapTopAndBottom/>
                <wp:docPr id="7" name="Kotak Teks 7"/>
                <wp:cNvGraphicFramePr/>
                <a:graphic>
                  <a:graphicData uri="http://schemas.microsoft.com/office/word/2010/wordprocessingShape">
                    <wps:wsp>
                      <wps:cNvSpPr txBox="1"/>
                      <wps:spPr>
                        <a:xfrm>
                          <a:off x="0" y="0"/>
                          <a:ext cx="3236400" cy="2514600"/>
                        </a:xfrm>
                        <a:prstGeom prst="rect">
                          <a:avLst/>
                        </a:prstGeom>
                        <a:noFill/>
                        <a:ln>
                          <a:noFill/>
                        </a:ln>
                      </wps:spPr>
                      <wps:txbx>
                        <w:txbxContent>
                          <w:p w14:paraId="32C542FF"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219E6877" w14:textId="77777777">
                              <w:trPr>
                                <w:jc w:val="center"/>
                              </w:trPr>
                              <w:tc>
                                <w:tcPr>
                                  <w:tcW w:w="1404" w:type="dxa"/>
                                </w:tcPr>
                                <w:p w14:paraId="54A801C8" w14:textId="77777777" w:rsidR="009771D5" w:rsidRDefault="00000000">
                                  <w:pPr>
                                    <w:pStyle w:val="IEEETableHeaderCentered"/>
                                  </w:pPr>
                                  <w:proofErr w:type="spellStart"/>
                                  <w:r>
                                    <w:t>Pengujian</w:t>
                                  </w:r>
                                  <w:proofErr w:type="spellEnd"/>
                                </w:p>
                              </w:tc>
                              <w:tc>
                                <w:tcPr>
                                  <w:tcW w:w="2507" w:type="dxa"/>
                                </w:tcPr>
                                <w:p w14:paraId="4C594AFE" w14:textId="77777777" w:rsidR="009771D5" w:rsidRDefault="00000000">
                                  <w:pPr>
                                    <w:pStyle w:val="IEEETableHeaderCentered"/>
                                  </w:pPr>
                                  <w:r>
                                    <w:t>Hasil</w:t>
                                  </w:r>
                                </w:p>
                              </w:tc>
                              <w:tc>
                                <w:tcPr>
                                  <w:tcW w:w="1103" w:type="dxa"/>
                                </w:tcPr>
                                <w:p w14:paraId="189EDD59" w14:textId="77777777" w:rsidR="009771D5" w:rsidRDefault="00000000">
                                  <w:pPr>
                                    <w:pStyle w:val="IEEETableHeaderCentered"/>
                                  </w:pPr>
                                  <w:r>
                                    <w:t>Target</w:t>
                                  </w:r>
                                </w:p>
                              </w:tc>
                            </w:tr>
                            <w:tr w:rsidR="009771D5" w14:paraId="6ADA5468" w14:textId="77777777">
                              <w:trPr>
                                <w:jc w:val="center"/>
                              </w:trPr>
                              <w:tc>
                                <w:tcPr>
                                  <w:tcW w:w="1404" w:type="dxa"/>
                                </w:tcPr>
                                <w:p w14:paraId="551A5B7F" w14:textId="77777777" w:rsidR="009771D5" w:rsidRDefault="00000000">
                                  <w:pPr>
                                    <w:pStyle w:val="IEEETableCell"/>
                                  </w:pPr>
                                  <w:r>
                                    <w:t xml:space="preserve">Mode </w:t>
                                  </w:r>
                                  <w:proofErr w:type="spellStart"/>
                                  <w:r>
                                    <w:t>pesawat</w:t>
                                  </w:r>
                                  <w:proofErr w:type="spellEnd"/>
                                </w:p>
                              </w:tc>
                              <w:tc>
                                <w:tcPr>
                                  <w:tcW w:w="2507" w:type="dxa"/>
                                </w:tcPr>
                                <w:p w14:paraId="6F34EECD"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5CBA1C3E"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0AF2C3B4" w14:textId="77777777">
                              <w:trPr>
                                <w:jc w:val="center"/>
                              </w:trPr>
                              <w:tc>
                                <w:tcPr>
                                  <w:tcW w:w="1404" w:type="dxa"/>
                                </w:tcPr>
                                <w:p w14:paraId="54E50A79"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71CFA4FD"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45F9605E" w14:textId="77777777" w:rsidR="009771D5" w:rsidRDefault="00000000">
                                  <w:pPr>
                                    <w:pStyle w:val="IEEETableCell"/>
                                    <w:jc w:val="center"/>
                                  </w:pPr>
                                  <w:r>
                                    <w:t xml:space="preserve">&lt; 1 </w:t>
                                  </w:r>
                                  <w:proofErr w:type="spellStart"/>
                                  <w:r>
                                    <w:t>detik</w:t>
                                  </w:r>
                                  <w:proofErr w:type="spellEnd"/>
                                </w:p>
                              </w:tc>
                            </w:tr>
                            <w:tr w:rsidR="009771D5" w14:paraId="3954EEBC" w14:textId="77777777">
                              <w:trPr>
                                <w:jc w:val="center"/>
                              </w:trPr>
                              <w:tc>
                                <w:tcPr>
                                  <w:tcW w:w="1404" w:type="dxa"/>
                                </w:tcPr>
                                <w:p w14:paraId="1E4A83CB"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2BAECD73"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6C0C9249" w14:textId="77777777" w:rsidR="009771D5" w:rsidRDefault="00000000">
                                  <w:pPr>
                                    <w:pStyle w:val="IEEETableCell"/>
                                    <w:jc w:val="center"/>
                                  </w:pPr>
                                  <w:r>
                                    <w:t xml:space="preserve">≤ 1 </w:t>
                                  </w:r>
                                  <w:proofErr w:type="spellStart"/>
                                  <w:r>
                                    <w:t>detik</w:t>
                                  </w:r>
                                  <w:proofErr w:type="spellEnd"/>
                                </w:p>
                              </w:tc>
                            </w:tr>
                            <w:tr w:rsidR="009771D5" w14:paraId="09FB23E6" w14:textId="77777777">
                              <w:trPr>
                                <w:jc w:val="center"/>
                              </w:trPr>
                              <w:tc>
                                <w:tcPr>
                                  <w:tcW w:w="1404" w:type="dxa"/>
                                </w:tcPr>
                                <w:p w14:paraId="0A5771A6" w14:textId="77777777" w:rsidR="009771D5" w:rsidRDefault="00000000">
                                  <w:pPr>
                                    <w:pStyle w:val="IEEETableCell"/>
                                  </w:pPr>
                                  <w:proofErr w:type="spellStart"/>
                                  <w:r>
                                    <w:t>Ukuran</w:t>
                                  </w:r>
                                  <w:proofErr w:type="spellEnd"/>
                                  <w:r>
                                    <w:t xml:space="preserve"> basis data</w:t>
                                  </w:r>
                                </w:p>
                              </w:tc>
                              <w:tc>
                                <w:tcPr>
                                  <w:tcW w:w="2507" w:type="dxa"/>
                                </w:tcPr>
                                <w:p w14:paraId="57AFAE7E" w14:textId="77777777" w:rsidR="009771D5" w:rsidRDefault="00000000">
                                  <w:pPr>
                                    <w:pStyle w:val="IEEETableCell"/>
                                    <w:jc w:val="center"/>
                                  </w:pPr>
                                  <w:r>
                                    <w:t>36,97 MB</w:t>
                                  </w:r>
                                </w:p>
                              </w:tc>
                              <w:tc>
                                <w:tcPr>
                                  <w:tcW w:w="1103" w:type="dxa"/>
                                </w:tcPr>
                                <w:p w14:paraId="09C5F2AA" w14:textId="77777777" w:rsidR="009771D5" w:rsidRDefault="00000000">
                                  <w:pPr>
                                    <w:pStyle w:val="IEEETableCell"/>
                                    <w:jc w:val="center"/>
                                  </w:pPr>
                                  <w:r>
                                    <w:t>≤ 75 MB</w:t>
                                  </w:r>
                                </w:p>
                              </w:tc>
                            </w:tr>
                            <w:tr w:rsidR="009771D5" w14:paraId="5259AF0B" w14:textId="77777777">
                              <w:trPr>
                                <w:jc w:val="center"/>
                              </w:trPr>
                              <w:tc>
                                <w:tcPr>
                                  <w:tcW w:w="1404" w:type="dxa"/>
                                </w:tcPr>
                                <w:p w14:paraId="029CF49E" w14:textId="77777777" w:rsidR="009771D5" w:rsidRDefault="00000000">
                                  <w:pPr>
                                    <w:pStyle w:val="IEEETableCell"/>
                                  </w:pPr>
                                  <w:r>
                                    <w:t xml:space="preserve">Kontras </w:t>
                                  </w:r>
                                  <w:proofErr w:type="spellStart"/>
                                  <w:r>
                                    <w:t>warna</w:t>
                                  </w:r>
                                  <w:proofErr w:type="spellEnd"/>
                                </w:p>
                              </w:tc>
                              <w:tc>
                                <w:tcPr>
                                  <w:tcW w:w="2507" w:type="dxa"/>
                                </w:tcPr>
                                <w:p w14:paraId="5A60FE81"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5610820A" w14:textId="77777777" w:rsidR="009771D5" w:rsidRDefault="00000000">
                                  <w:pPr>
                                    <w:pStyle w:val="IEEETableCell"/>
                                    <w:jc w:val="center"/>
                                  </w:pPr>
                                  <w:r>
                                    <w:t>≥ 4,5:1</w:t>
                                  </w:r>
                                </w:p>
                              </w:tc>
                            </w:tr>
                            <w:tr w:rsidR="009771D5" w14:paraId="70A0FB45" w14:textId="77777777">
                              <w:trPr>
                                <w:jc w:val="center"/>
                              </w:trPr>
                              <w:tc>
                                <w:tcPr>
                                  <w:tcW w:w="1404" w:type="dxa"/>
                                </w:tcPr>
                                <w:p w14:paraId="559D2B09" w14:textId="77777777" w:rsidR="009771D5" w:rsidRDefault="00000000">
                                  <w:pPr>
                                    <w:pStyle w:val="IEEETableCell"/>
                                  </w:pPr>
                                  <w:r>
                                    <w:t>Uji unit</w:t>
                                  </w:r>
                                </w:p>
                              </w:tc>
                              <w:tc>
                                <w:tcPr>
                                  <w:tcW w:w="2507" w:type="dxa"/>
                                </w:tcPr>
                                <w:p w14:paraId="0988E3A5"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6391EF94" w14:textId="77777777" w:rsidR="009771D5" w:rsidRDefault="00000000">
                                  <w:pPr>
                                    <w:pStyle w:val="IEEETableCell"/>
                                    <w:jc w:val="center"/>
                                  </w:pPr>
                                  <w:proofErr w:type="spellStart"/>
                                  <w:r>
                                    <w:t>Semua</w:t>
                                  </w:r>
                                  <w:proofErr w:type="spellEnd"/>
                                  <w:r>
                                    <w:t xml:space="preserve"> lulus</w:t>
                                  </w:r>
                                </w:p>
                              </w:tc>
                            </w:tr>
                          </w:tbl>
                          <w:p>
                            <w:pPr>
                              <w:spacing w:before="0" w:after="0" w:line="20" w:lineRule="exact"/>
                              <w:rPr>
                                <w:sz w:val="2"/>
                              </w:rPr>
                            </w:pPr>
                          </w:p>
                        </w:txbxContent>
                      </wps:txbx>
                      <wps:bodyPr rot="0" vert="horz" wrap="square" lIns="0" tIns="0" rIns="0" bIns="0" anchor="t" anchorCtr="0">
                        <a:noAutofit/>
                      </wps:bodyPr>
                    </wps:wsp>
                  </a:graphicData>
                </a:graphic>
              </wp:anchor>
            </w:drawing>
          </mc:Choice>
        </mc:AlternateContent>
      </w: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setelah koordinat diterima. Pengujian terpisah pada tujuh ponsel dengan 20 koordinat menghasilkan simpul awal, zona, tujuan, dan waktu tempuh yang sama </w:t>
      </w:r>
      <w:r w:rsidR="00C80CE4">
        <w:t>pada</w:t>
      </w:r>
      <w:r>
        <w:t xml:space="preserve"> semua ponsel, dengan selisih waktu pemrosesan paling besar 675 ms (Gambar 3). Gambar 3 memperlihatkan median waktu pemrosesan 152–706 ms dan nilai tertinggi 884 ms pada Infinix X6855, sehingga ponsel paling lambat dalam pengujian pun tetap di bawah target 1 detik. Kedua pengukuran memakai versi data dan perangkat yang berbeda sehingga dilaporkan terpisah.</w:t>
      </w:r>
      <w:r w:rsidR="00327149"/>
      <w:r/>
    </w:p>
    <w:p w14:paraId="43D9F0DA" w14:textId="77777777" w:rsidR="009771D5" w:rsidRDefault="00000000">
      <w:pPr>
        <w:pStyle w:val="GemastikHeading2"/>
        <w:keepNext/>
      </w:pPr>
      <w:r>
        <w:t>UJI PENGGUNA</w:t>
      </w:r>
    </w:p>
    <w:p w14:paraId="1AF9A4DA" w14:textId="77777777" w:rsidR="009771D5" w:rsidRDefault="00000000">
      <w:pPr>
        <w:pStyle w:val="GemastikBody"/>
      </w:pPr>
      <w:r xmlns:a="http://schemas.openxmlformats.org/drawingml/2006/main">
        <mc:AlternateContent>
          <mc:Choice Requires="wps">
            <w:drawing>
              <wp:anchor distT="0" distB="50800" distL="0" distR="0" simplePos="0" relativeHeight="251700004" behindDoc="0" locked="0" layoutInCell="1" allowOverlap="0">
                <wp:simplePos x="0" y="0"/>
                <wp:positionH relativeFrom="column">
                  <wp:align>center</wp:align>
                </wp:positionH>
                <wp:positionV relativeFrom="margin">
                  <wp:align>top</wp:align>
                </wp:positionV>
                <wp:extent cx="3236400" cy="1181100"/>
                <wp:effectExtent l="0" t="0" r="0" b="0"/>
                <wp:wrapTopAndBottom/>
                <wp:docPr id="9" name="Kotak Teks 9"/>
                <wp:cNvGraphicFramePr/>
                <a:graphic>
                  <a:graphicData uri="http://schemas.microsoft.com/office/word/2010/wordprocessingShape">
                    <wps:wsp>
                      <wps:cNvSpPr txBox="1"/>
                      <wps:spPr>
                        <a:xfrm>
                          <a:off x="0" y="0"/>
                          <a:ext cx="3236400" cy="1181100"/>
                        </a:xfrm>
                        <a:prstGeom prst="rect">
                          <a:avLst/>
                        </a:prstGeom>
                        <a:noFill/>
                        <a:ln>
                          <a:noFill/>
                        </a:ln>
                      </wps:spPr>
                      <wps:txbx>
                        <w:txbxContent>
                          <w:p w14:paraId="763607DF"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6497206F" w14:textId="77777777">
                              <w:trPr>
                                <w:jc w:val="center"/>
                              </w:trPr>
                              <w:tc>
                                <w:tcPr>
                                  <w:tcW w:w="2006" w:type="dxa"/>
                                </w:tcPr>
                                <w:p w14:paraId="11D8FD8F" w14:textId="77777777" w:rsidR="009771D5" w:rsidRDefault="00000000">
                                  <w:pPr>
                                    <w:pStyle w:val="IEEETableHeaderCentered"/>
                                  </w:pPr>
                                  <w:proofErr w:type="spellStart"/>
                                  <w:r>
                                    <w:t>Aspek</w:t>
                                  </w:r>
                                  <w:proofErr w:type="spellEnd"/>
                                </w:p>
                              </w:tc>
                              <w:tc>
                                <w:tcPr>
                                  <w:tcW w:w="1504" w:type="dxa"/>
                                </w:tcPr>
                                <w:p w14:paraId="4C84210E" w14:textId="77777777" w:rsidR="009771D5" w:rsidRDefault="00000000">
                                  <w:pPr>
                                    <w:pStyle w:val="IEEETableHeaderCentered"/>
                                  </w:pPr>
                                  <w:proofErr w:type="spellStart"/>
                                  <w:r>
                                    <w:t>Aplikasi</w:t>
                                  </w:r>
                                  <w:proofErr w:type="spellEnd"/>
                                </w:p>
                              </w:tc>
                              <w:tc>
                                <w:tcPr>
                                  <w:tcW w:w="1504" w:type="dxa"/>
                                </w:tcPr>
                                <w:p w14:paraId="03F4E238" w14:textId="77777777" w:rsidR="009771D5" w:rsidRDefault="00000000">
                                  <w:pPr>
                                    <w:pStyle w:val="IEEETableHeaderCentered"/>
                                  </w:pPr>
                                  <w:r>
                                    <w:t xml:space="preserve">Peta </w:t>
                                  </w:r>
                                  <w:proofErr w:type="spellStart"/>
                                  <w:r>
                                    <w:t>cetak</w:t>
                                  </w:r>
                                  <w:proofErr w:type="spellEnd"/>
                                </w:p>
                              </w:tc>
                            </w:tr>
                            <w:tr w:rsidR="009771D5" w14:paraId="664C4B89" w14:textId="77777777">
                              <w:trPr>
                                <w:jc w:val="center"/>
                              </w:trPr>
                              <w:tc>
                                <w:tcPr>
                                  <w:tcW w:w="2006" w:type="dxa"/>
                                </w:tcPr>
                                <w:p w14:paraId="14C434F8" w14:textId="77777777" w:rsidR="009771D5" w:rsidRDefault="00000000">
                                  <w:pPr>
                                    <w:pStyle w:val="IEEETableCell"/>
                                  </w:pPr>
                                  <w:proofErr w:type="spellStart"/>
                                  <w:r>
                                    <w:t>Peserta</w:t>
                                  </w:r>
                                  <w:proofErr w:type="spellEnd"/>
                                </w:p>
                              </w:tc>
                              <w:tc>
                                <w:tcPr>
                                  <w:tcW w:w="1504" w:type="dxa"/>
                                </w:tcPr>
                                <w:p w14:paraId="4630BE1F" w14:textId="77777777" w:rsidR="009771D5" w:rsidRDefault="00000000">
                                  <w:pPr>
                                    <w:pStyle w:val="IEEETableCell"/>
                                    <w:jc w:val="center"/>
                                  </w:pPr>
                                  <w:r>
                                    <w:t>25</w:t>
                                  </w:r>
                                </w:p>
                              </w:tc>
                              <w:tc>
                                <w:tcPr>
                                  <w:tcW w:w="1504" w:type="dxa"/>
                                </w:tcPr>
                                <w:p w14:paraId="56FA95A9" w14:textId="77777777" w:rsidR="009771D5" w:rsidRDefault="00000000">
                                  <w:pPr>
                                    <w:pStyle w:val="IEEETableCell"/>
                                    <w:jc w:val="center"/>
                                  </w:pPr>
                                  <w:r>
                                    <w:t>25</w:t>
                                  </w:r>
                                </w:p>
                              </w:tc>
                            </w:tr>
                            <w:tr w:rsidR="009771D5" w14:paraId="6EFC0865" w14:textId="77777777">
                              <w:trPr>
                                <w:jc w:val="center"/>
                              </w:trPr>
                              <w:tc>
                                <w:tcPr>
                                  <w:tcW w:w="2006" w:type="dxa"/>
                                </w:tcPr>
                                <w:p w14:paraId="17FAAA21" w14:textId="77777777" w:rsidR="009771D5" w:rsidRDefault="00000000">
                                  <w:pPr>
                                    <w:pStyle w:val="IEEETableCell"/>
                                  </w:pPr>
                                  <w:r>
                                    <w:t xml:space="preserve">Arah </w:t>
                                  </w:r>
                                  <w:proofErr w:type="spellStart"/>
                                  <w:r>
                                    <w:t>benar</w:t>
                                  </w:r>
                                  <w:proofErr w:type="spellEnd"/>
                                </w:p>
                              </w:tc>
                              <w:tc>
                                <w:tcPr>
                                  <w:tcW w:w="1504" w:type="dxa"/>
                                </w:tcPr>
                                <w:p w14:paraId="065D61EC" w14:textId="77777777" w:rsidR="009771D5" w:rsidRDefault="00000000">
                                  <w:pPr>
                                    <w:pStyle w:val="IEEETableCell"/>
                                    <w:jc w:val="center"/>
                                  </w:pPr>
                                  <w:r>
                                    <w:t>25 (100%)</w:t>
                                  </w:r>
                                </w:p>
                              </w:tc>
                              <w:tc>
                                <w:tcPr>
                                  <w:tcW w:w="1504" w:type="dxa"/>
                                </w:tcPr>
                                <w:p w14:paraId="47825B79" w14:textId="77777777" w:rsidR="009771D5" w:rsidRDefault="00000000">
                                  <w:pPr>
                                    <w:pStyle w:val="IEEETableCell"/>
                                    <w:jc w:val="center"/>
                                  </w:pPr>
                                  <w:r>
                                    <w:t>20 (80%)</w:t>
                                  </w:r>
                                </w:p>
                              </w:tc>
                            </w:tr>
                            <w:tr w:rsidR="009771D5" w14:paraId="0C631B39" w14:textId="77777777">
                              <w:trPr>
                                <w:jc w:val="center"/>
                              </w:trPr>
                              <w:tc>
                                <w:tcPr>
                                  <w:tcW w:w="2006" w:type="dxa"/>
                                </w:tcPr>
                                <w:p w14:paraId="55DB09EB" w14:textId="77777777" w:rsidR="009771D5" w:rsidRDefault="00000000">
                                  <w:pPr>
                                    <w:pStyle w:val="IEEETableCell"/>
                                  </w:pPr>
                                  <w:r>
                                    <w:t xml:space="preserve">Tidak </w:t>
                                  </w:r>
                                  <w:proofErr w:type="spellStart"/>
                                  <w:r>
                                    <w:t>berhasil</w:t>
                                  </w:r>
                                  <w:proofErr w:type="spellEnd"/>
                                </w:p>
                              </w:tc>
                              <w:tc>
                                <w:tcPr>
                                  <w:tcW w:w="1504" w:type="dxa"/>
                                </w:tcPr>
                                <w:p w14:paraId="4F1866B2" w14:textId="77777777" w:rsidR="009771D5" w:rsidRDefault="00000000">
                                  <w:pPr>
                                    <w:pStyle w:val="IEEETableCell"/>
                                    <w:jc w:val="center"/>
                                  </w:pPr>
                                  <w:r>
                                    <w:t>–</w:t>
                                  </w:r>
                                </w:p>
                              </w:tc>
                              <w:tc>
                                <w:tcPr>
                                  <w:tcW w:w="1504" w:type="dxa"/>
                                </w:tcPr>
                                <w:p w14:paraId="76288AD6" w14:textId="77777777" w:rsidR="009771D5" w:rsidRDefault="00000000">
                                  <w:pPr>
                                    <w:pStyle w:val="IEEETableCell"/>
                                    <w:jc w:val="center"/>
                                  </w:pPr>
                                  <w:r>
                                    <w:t>5</w:t>
                                  </w:r>
                                </w:p>
                              </w:tc>
                            </w:tr>
                            <w:tr w:rsidR="009771D5" w14:paraId="466EC5B4" w14:textId="77777777">
                              <w:trPr>
                                <w:jc w:val="center"/>
                              </w:trPr>
                              <w:tc>
                                <w:tcPr>
                                  <w:tcW w:w="2006" w:type="dxa"/>
                                </w:tcPr>
                                <w:p w14:paraId="5118075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21DE5FD6" w14:textId="77777777" w:rsidR="009771D5" w:rsidRDefault="00000000">
                                  <w:pPr>
                                    <w:pStyle w:val="IEEETableCell"/>
                                    <w:jc w:val="center"/>
                                  </w:pPr>
                                  <w:r>
                                    <w:t xml:space="preserve">5–8 (15 </w:t>
                                  </w:r>
                                  <w:proofErr w:type="spellStart"/>
                                  <w:r>
                                    <w:t>peserta</w:t>
                                  </w:r>
                                  <w:proofErr w:type="spellEnd"/>
                                  <w:r>
                                    <w:t>)</w:t>
                                  </w:r>
                                </w:p>
                              </w:tc>
                              <w:tc>
                                <w:tcPr>
                                  <w:tcW w:w="1504" w:type="dxa"/>
                                </w:tcPr>
                                <w:p w14:paraId="6B0F564D" w14:textId="77777777" w:rsidR="009771D5" w:rsidRDefault="00000000">
                                  <w:pPr>
                                    <w:pStyle w:val="IEEETableCell"/>
                                    <w:jc w:val="center"/>
                                  </w:pPr>
                                  <w:r>
                                    <w:t xml:space="preserve">10–58 (15 </w:t>
                                  </w:r>
                                  <w:proofErr w:type="spellStart"/>
                                  <w:r>
                                    <w:t>peserta</w:t>
                                  </w:r>
                                  <w:proofErr w:type="spellEnd"/>
                                  <w:r>
                                    <w:t>)</w:t>
                                  </w:r>
                                </w:p>
                              </w:tc>
                            </w:tr>
                          </w:tbl>
                          <w:p>
                            <w:pPr>
                              <w:spacing w:before="0" w:after="0" w:line="20" w:lineRule="exact"/>
                              <w:rPr>
                                <w:sz w:val="2"/>
                              </w:rPr>
                            </w:pPr>
                          </w:p>
                        </w:txbxContent>
                      </wps:txbx>
                      <wps:bodyPr rot="0" vert="horz" wrap="square" lIns="0" tIns="0" rIns="0" bIns="0" anchor="t" anchorCtr="0">
                        <a:noAutofit/>
                      </wps:bodyPr>
                    </wps:wsp>
                  </a:graphicData>
                </a:graphic>
              </wp:anchor>
            </w:drawing>
          </mc:Choice>
        </mc:AlternateContent>
      </w:r>
      <w:r>
        <w:t xml:space="preserve">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w:t>
      </w:r>
      <w:r>
        <w:t>mendengar jawaban orang sebelumnya, dan durasi kedua cara tidak dibandingkan karena urutan dan lokasi tugasnya berbeda.</w:t>
      </w:r>
    </w:p>
    <w:p w14:paraId="22A35C70" w14:textId="77777777"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701E0A8D" w14:textId="77777777" w:rsidR="009771D5" w:rsidRDefault="00000000">
      <w:pPr>
        <w:pStyle w:val="GemastikHeading2"/>
        <w:keepNext/>
      </w:pPr>
      <w:r>
        <w:t>KETERJANGKAUAN DAN BEBAN TES</w:t>
      </w:r>
    </w:p>
    <w:p w14:paraId="4B87C992" w14:textId="77777777" w:rsidR="009771D5" w:rsidRDefault="00000000">
      <w:pPr>
        <w:pStyle w:val="GemastikBody"/>
      </w:pPr>
      <w:r xmlns:a="http://schemas.openxmlformats.org/drawingml/2006/main">
        <mc:AlternateContent>
          <mc:Choice Requires="wps">
            <w:drawing>
              <wp:anchor distT="0" distB="50800" distL="0" distR="0" simplePos="0" relativeHeight="251700005" behindDoc="0" locked="0" layoutInCell="1" allowOverlap="0">
                <wp:simplePos x="0" y="0"/>
                <wp:positionH relativeFrom="column">
                  <wp:align>center</wp:align>
                </wp:positionH>
                <wp:positionV relativeFrom="margin">
                  <wp:align>top</wp:align>
                </wp:positionV>
                <wp:extent cx="3236400" cy="1828800"/>
                <wp:effectExtent l="0" t="0" r="0" b="0"/>
                <wp:wrapTopAndBottom/>
                <wp:docPr id="10" name="Kotak Teks 10"/>
                <wp:cNvGraphicFramePr/>
                <a:graphic>
                  <a:graphicData uri="http://schemas.microsoft.com/office/word/2010/wordprocessingShape">
                    <wps:wsp>
                      <wps:cNvSpPr txBox="1"/>
                      <wps:spPr>
                        <a:xfrm>
                          <a:off x="0" y="0"/>
                          <a:ext cx="3236400" cy="1828800"/>
                        </a:xfrm>
                        <a:prstGeom prst="rect">
                          <a:avLst/>
                        </a:prstGeom>
                        <a:noFill/>
                        <a:ln>
                          <a:noFill/>
                        </a:ln>
                      </wps:spPr>
                      <wps:txbx>
                        <w:txbxContent>
                          <w:p w14:paraId="334CB3B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22FBFC33" w14:textId="77777777">
                              <w:trPr>
                                <w:jc w:val="center"/>
                              </w:trPr>
                              <w:tc>
                                <w:tcPr>
                                  <w:tcW w:w="1604" w:type="dxa"/>
                                </w:tcPr>
                                <w:p w14:paraId="2098415D" w14:textId="77777777" w:rsidR="009771D5" w:rsidRDefault="00000000">
                                  <w:pPr>
                                    <w:pStyle w:val="IEEETableHeaderCentered"/>
                                  </w:pPr>
                                  <w:proofErr w:type="spellStart"/>
                                  <w:r>
                                    <w:t>Aturan</w:t>
                                  </w:r>
                                  <w:proofErr w:type="spellEnd"/>
                                </w:p>
                              </w:tc>
                              <w:tc>
                                <w:tcPr>
                                  <w:tcW w:w="752" w:type="dxa"/>
                                </w:tcPr>
                                <w:p w14:paraId="0C104F40" w14:textId="77777777" w:rsidR="009771D5" w:rsidRDefault="00000000">
                                  <w:pPr>
                                    <w:pStyle w:val="IEEETableHeaderCentered"/>
                                  </w:pPr>
                                  <w:r>
                                    <w:t xml:space="preserve">Tujuan ≤ 15 </w:t>
                                  </w:r>
                                  <w:proofErr w:type="spellStart"/>
                                  <w:r>
                                    <w:t>menit</w:t>
                                  </w:r>
                                  <w:proofErr w:type="spellEnd"/>
                                </w:p>
                              </w:tc>
                              <w:tc>
                                <w:tcPr>
                                  <w:tcW w:w="752" w:type="dxa"/>
                                </w:tcPr>
                                <w:p w14:paraId="68BD0225" w14:textId="77777777" w:rsidR="009771D5" w:rsidRDefault="00000000">
                                  <w:pPr>
                                    <w:pStyle w:val="IEEETableHeaderCentered"/>
                                  </w:pPr>
                                  <w:r>
                                    <w:t xml:space="preserve">&gt; 15–20 </w:t>
                                  </w:r>
                                  <w:proofErr w:type="spellStart"/>
                                  <w:r>
                                    <w:t>menit</w:t>
                                  </w:r>
                                  <w:proofErr w:type="spellEnd"/>
                                </w:p>
                              </w:tc>
                              <w:tc>
                                <w:tcPr>
                                  <w:tcW w:w="802" w:type="dxa"/>
                                </w:tcPr>
                                <w:p w14:paraId="3608329D" w14:textId="77777777" w:rsidR="009771D5" w:rsidRDefault="00000000">
                                  <w:pPr>
                                    <w:pStyle w:val="IEEETableHeaderCentered"/>
                                  </w:pPr>
                                  <w:r>
                                    <w:t xml:space="preserve">TES </w:t>
                                  </w:r>
                                  <w:proofErr w:type="spellStart"/>
                                  <w:r>
                                    <w:t>terlampaui</w:t>
                                  </w:r>
                                  <w:proofErr w:type="spellEnd"/>
                                </w:p>
                              </w:tc>
                              <w:tc>
                                <w:tcPr>
                                  <w:tcW w:w="1103" w:type="dxa"/>
                                </w:tcPr>
                                <w:p w14:paraId="738A7D76"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1FDF7558" w14:textId="77777777">
                              <w:trPr>
                                <w:jc w:val="center"/>
                              </w:trPr>
                              <w:tc>
                                <w:tcPr>
                                  <w:tcW w:w="1604" w:type="dxa"/>
                                </w:tcPr>
                                <w:p w14:paraId="3806EC65" w14:textId="77777777" w:rsidR="009771D5" w:rsidRDefault="00000000">
                                  <w:pPr>
                                    <w:pStyle w:val="IEEETableCell"/>
                                  </w:pPr>
                                  <w:r>
                                    <w:t xml:space="preserve">Tujuan </w:t>
                                  </w:r>
                                  <w:proofErr w:type="spellStart"/>
                                  <w:r>
                                    <w:t>tercepat</w:t>
                                  </w:r>
                                  <w:proofErr w:type="spellEnd"/>
                                </w:p>
                              </w:tc>
                              <w:tc>
                                <w:tcPr>
                                  <w:tcW w:w="752" w:type="dxa"/>
                                </w:tcPr>
                                <w:p w14:paraId="7CA7BD8C" w14:textId="77777777" w:rsidR="009771D5" w:rsidRDefault="00000000">
                                  <w:pPr>
                                    <w:pStyle w:val="IEEETableCell"/>
                                    <w:jc w:val="center"/>
                                  </w:pPr>
                                  <w:r>
                                    <w:t>61,2%</w:t>
                                  </w:r>
                                </w:p>
                              </w:tc>
                              <w:tc>
                                <w:tcPr>
                                  <w:tcW w:w="752" w:type="dxa"/>
                                </w:tcPr>
                                <w:p w14:paraId="4A1FA26A" w14:textId="77777777" w:rsidR="009771D5" w:rsidRDefault="00000000">
                                  <w:pPr>
                                    <w:pStyle w:val="IEEETableCell"/>
                                    <w:jc w:val="center"/>
                                  </w:pPr>
                                  <w:r>
                                    <w:t>17,5%</w:t>
                                  </w:r>
                                </w:p>
                              </w:tc>
                              <w:tc>
                                <w:tcPr>
                                  <w:tcW w:w="802" w:type="dxa"/>
                                </w:tcPr>
                                <w:p w14:paraId="3AA68E68" w14:textId="77777777" w:rsidR="009771D5" w:rsidRDefault="00000000">
                                  <w:pPr>
                                    <w:pStyle w:val="IEEETableCell"/>
                                    <w:jc w:val="center"/>
                                  </w:pPr>
                                  <w:r>
                                    <w:t>43</w:t>
                                  </w:r>
                                </w:p>
                              </w:tc>
                              <w:tc>
                                <w:tcPr>
                                  <w:tcW w:w="1103" w:type="dxa"/>
                                </w:tcPr>
                                <w:p w14:paraId="22B1F3B7" w14:textId="77777777" w:rsidR="009771D5" w:rsidRDefault="00000000">
                                  <w:pPr>
                                    <w:pStyle w:val="IEEETableCell"/>
                                    <w:jc w:val="center"/>
                                  </w:pPr>
                                  <w:r>
                                    <w:t>58.363</w:t>
                                  </w:r>
                                </w:p>
                              </w:tc>
                            </w:tr>
                            <w:tr w:rsidR="009771D5" w14:paraId="552443D3" w14:textId="77777777">
                              <w:trPr>
                                <w:jc w:val="center"/>
                              </w:trPr>
                              <w:tc>
                                <w:tcPr>
                                  <w:tcW w:w="1604" w:type="dxa"/>
                                </w:tcPr>
                                <w:p w14:paraId="5AA57DD8"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9D9AF3F" w14:textId="77777777" w:rsidR="009771D5" w:rsidRDefault="00000000">
                                  <w:pPr>
                                    <w:pStyle w:val="IEEETableCell"/>
                                    <w:jc w:val="center"/>
                                  </w:pPr>
                                  <w:r>
                                    <w:t>61,2%</w:t>
                                  </w:r>
                                </w:p>
                              </w:tc>
                              <w:tc>
                                <w:tcPr>
                                  <w:tcW w:w="752" w:type="dxa"/>
                                </w:tcPr>
                                <w:p w14:paraId="4F24CD51" w14:textId="77777777" w:rsidR="009771D5" w:rsidRDefault="00000000">
                                  <w:pPr>
                                    <w:pStyle w:val="IEEETableCell"/>
                                    <w:jc w:val="center"/>
                                  </w:pPr>
                                  <w:r>
                                    <w:t>17,5%</w:t>
                                  </w:r>
                                </w:p>
                              </w:tc>
                              <w:tc>
                                <w:tcPr>
                                  <w:tcW w:w="802" w:type="dxa"/>
                                </w:tcPr>
                                <w:p w14:paraId="51E57690" w14:textId="77777777" w:rsidR="009771D5" w:rsidRDefault="00000000">
                                  <w:pPr>
                                    <w:pStyle w:val="IEEETableCell"/>
                                    <w:jc w:val="center"/>
                                  </w:pPr>
                                  <w:r>
                                    <w:t>40</w:t>
                                  </w:r>
                                </w:p>
                              </w:tc>
                              <w:tc>
                                <w:tcPr>
                                  <w:tcW w:w="1103" w:type="dxa"/>
                                </w:tcPr>
                                <w:p w14:paraId="6B025FDB" w14:textId="77777777" w:rsidR="009771D5" w:rsidRDefault="00000000">
                                  <w:pPr>
                                    <w:pStyle w:val="IEEETableCell"/>
                                    <w:jc w:val="center"/>
                                  </w:pPr>
                                  <w:r>
                                    <w:t>53.470</w:t>
                                  </w:r>
                                </w:p>
                              </w:tc>
                            </w:tr>
                            <w:tr w:rsidR="009771D5" w14:paraId="0EA15F4A" w14:textId="77777777">
                              <w:trPr>
                                <w:jc w:val="center"/>
                              </w:trPr>
                              <w:tc>
                                <w:tcPr>
                                  <w:tcW w:w="1604" w:type="dxa"/>
                                </w:tcPr>
                                <w:p w14:paraId="6B4AEBD0"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34457590" w14:textId="77777777" w:rsidR="009771D5" w:rsidRDefault="00000000">
                                  <w:pPr>
                                    <w:pStyle w:val="IEEETableCell"/>
                                    <w:jc w:val="center"/>
                                  </w:pPr>
                                  <w:r>
                                    <w:t>69,1%</w:t>
                                  </w:r>
                                </w:p>
                              </w:tc>
                              <w:tc>
                                <w:tcPr>
                                  <w:tcW w:w="752" w:type="dxa"/>
                                </w:tcPr>
                                <w:p w14:paraId="67BBD779" w14:textId="77777777" w:rsidR="009771D5" w:rsidRDefault="00000000">
                                  <w:pPr>
                                    <w:pStyle w:val="IEEETableCell"/>
                                    <w:jc w:val="center"/>
                                  </w:pPr>
                                  <w:r>
                                    <w:t>9,6%</w:t>
                                  </w:r>
                                </w:p>
                              </w:tc>
                              <w:tc>
                                <w:tcPr>
                                  <w:tcW w:w="802" w:type="dxa"/>
                                </w:tcPr>
                                <w:p w14:paraId="2C4625B5" w14:textId="77777777" w:rsidR="009771D5" w:rsidRDefault="00000000">
                                  <w:pPr>
                                    <w:pStyle w:val="IEEETableCell"/>
                                    <w:jc w:val="center"/>
                                  </w:pPr>
                                  <w:r>
                                    <w:t>45</w:t>
                                  </w:r>
                                </w:p>
                              </w:tc>
                              <w:tc>
                                <w:tcPr>
                                  <w:tcW w:w="1103" w:type="dxa"/>
                                </w:tcPr>
                                <w:p w14:paraId="1A21680C" w14:textId="77777777" w:rsidR="009771D5" w:rsidRDefault="00000000">
                                  <w:pPr>
                                    <w:pStyle w:val="IEEETableCell"/>
                                    <w:jc w:val="center"/>
                                  </w:pPr>
                                  <w:r>
                                    <w:t>44.264</w:t>
                                  </w:r>
                                </w:p>
                              </w:tc>
                            </w:tr>
                          </w:tbl>
                          <w:p>
                            <w:pPr>
                              <w:spacing w:before="0" w:after="0" w:line="20" w:lineRule="exact"/>
                              <w:rPr>
                                <w:sz w:val="2"/>
                              </w:rPr>
                            </w:pPr>
                          </w:p>
                        </w:txbxContent>
                      </wps:txbx>
                      <wps:bodyPr rot="0" vert="horz" wrap="square" lIns="0" tIns="0" rIns="0" bIns="0" anchor="t" anchorCtr="0">
                        <a:noAutofit/>
                      </wps:bodyPr>
                    </wps:wsp>
                  </a:graphicData>
                </a:graphic>
              </wp:anchor>
            </w:drawing>
          </mc:Choice>
        </mc:AlternateContent>
      </w: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lebih dari 15 hingga 20 menit</w:t>
      </w:r>
      <w:r>
        <w:t xml:space="preserve"> dari 17,5% menjadi 9,6%. Total kelebihan beban pada TES berdaya tampung tercatat turun 24,2%, dari 58.363 menjadi 44.264 jiwa, walaupun jumlah TES yang terlampaui naik dari 43 menjadi 45. Karena itu, besarnya kelebihan beban lebih tepat </w:t>
      </w:r>
      <w:r w:rsidR="00327149">
        <w:t>digunakan</w:t>
      </w:r>
      <w:r>
        <w:t xml:space="preserve"> sebagai ukuran daripada jumlah TES yang terlampaui.</w:t>
      </w:r>
    </w:p>
    <w:p w14:paraId="5FD165EF" w14:textId="77777777" w:rsidR="009771D5" w:rsidRDefault="00000000">
      <w:pPr>
        <w:pStyle w:val="GemastikBody"/>
      </w:pPr>
      <w:r>
        <w:t xml:space="preserve">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Kelebihan ini muncul ketika semua TES yang terjangkau dalam 15 menit sudah penuh (Bagian II-C). Sebanyak 21 TES menerima beban lebih dari dua kali daya tampungnya, sehingga lokasi tersebut menjadi prioritas pembaruan daya tampung atau penambahan tempat evakuasi bersama BPBD. 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w:t>
      </w:r>
      <w:r>
        <w:t>penambahan tempat evakuasi. Angka tersebut merupakan perkiraan berbasis jaringan jalan dan laju perencanaan, bukan prediksi waktu tiba tsunami; perhitungan antrean di jalan dibahas pada Bagian III-E.</w:t>
      </w:r>
    </w:p>
    <w:p w14:paraId="064E60FC" w14:textId="77777777" w:rsidR="009771D5" w:rsidRDefault="00000000">
      <w:pPr>
        <w:pStyle w:val="GemastikHeading2"/>
        <w:keepNext/>
      </w:pPr>
      <w:r>
        <w:t>KETERBATASAN</w:t>
      </w:r>
    </w:p>
    <w:p w14:paraId="07EB4BB6" w14:textId="77777777" w:rsidR="009771D5" w:rsidRDefault="00000000">
      <w:pPr>
        <w:pStyle w:val="GemastikBody"/>
      </w:pPr>
      <w:r xmlns:a="http://schemas.openxmlformats.org/drawingml/2006/main">
        <mc:AlternateContent>
          <mc:Choice Requires="wps">
            <w:drawing>
              <wp:anchor distT="0" distB="50800" distL="0" distR="0" simplePos="0" relativeHeight="251700006" behindDoc="0" locked="0" layoutInCell="1" allowOverlap="0">
                <wp:simplePos x="0" y="0"/>
                <wp:positionH relativeFrom="column">
                  <wp:align>center</wp:align>
                </wp:positionH>
                <wp:positionV relativeFrom="margin">
                  <wp:align>top</wp:align>
                </wp:positionV>
                <wp:extent cx="3236400" cy="2931905"/>
                <wp:effectExtent l="0" t="0" r="0" b="0"/>
                <wp:wrapTopAndBottom/>
                <wp:docPr id="11" name="Kotak Teks 11"/>
                <wp:cNvGraphicFramePr/>
                <a:graphic>
                  <a:graphicData uri="http://schemas.microsoft.com/office/word/2010/wordprocessingShape">
                    <wps:wsp>
                      <wps:cNvSpPr txBox="1"/>
                      <wps:spPr>
                        <a:xfrm>
                          <a:off x="0" y="0"/>
                          <a:ext cx="3236400" cy="2931905"/>
                        </a:xfrm>
                        <a:prstGeom prst="rect">
                          <a:avLst/>
                        </a:prstGeom>
                        <a:noFill/>
                        <a:ln>
                          <a:noFill/>
                        </a:ln>
                      </wps:spPr>
                      <wps:txbx>
                        <w:txbxContent>
                          <w:p w14:paraId="7F4069AC" w14:textId="77777777" w:rsidR="009771D5" w:rsidRDefault="00000000">
                            <w:pPr>
                              <w:keepNext/>
                              <w:jc w:val="center"/>
                            </w:pPr>
                            <w:r>
                              <w:rPr>
                                <w:noProof/>
                              </w:rPr>
                              <w:drawing>
                                <wp:inline distT="0" distB="0" distL="0" distR="0" wp14:anchorId="3A44B14B" wp14:editId="78526FB2">
                                  <wp:extent cx="3200400" cy="2512805"/>
                                  <wp:effectExtent l="0" t="0" r="0" b="0"/>
                                  <wp:docPr id="4" name="Picture 4"/>
                                  <wp:cNvGraphicFramePr>
                                    <a:graphicFrameLocks noChangeAspect="1"/>
                                  </wp:cNvGraphicFramePr>
                                  <a:graphic>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0400" cy="2512805"/>
                                          </a:xfrm>
                                          <a:prstGeom prst="rect">
                                            <a:avLst/>
                                          </a:prstGeom>
                                        </pic:spPr>
                                      </pic:pic>
                                    </a:graphicData>
                                  </a:graphic>
                                </wp:inline>
                              </w:drawing>
                            </w:r>
                          </w:p>
                          <w:p w14:paraId="6522E23E" w14:textId="77777777" w:rsidR="009771D5" w:rsidRDefault="00000000">
                            <w:pPr>
                              <w:pStyle w:val="GemastikCaptionGambar"/>
                              <w:jc w:val="both"/>
                            </w:pPr>
                            <w:r>
                              <w:rPr>
                                <w:b/>
                              </w:rPr>
                              <w:t>Gambar 4.</w:t>
                            </w:r>
                            <w:r>
                              <w:t xml:space="preserve"> Beban model tiap TES berdaya tampung tercatat pada kelompok pembagian 89.158 jiwa (data 2026.10.18). Warna dan bentuk penanda menunjukkan rasio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wps:txbx>
                      <wps:bodyPr rot="0" vert="horz" wrap="square" lIns="0" tIns="0" rIns="0" bIns="0" anchor="t" anchorCtr="0">
                        <a:noAutofit/>
                      </wps:bodyPr>
                    </wps:wsp>
                  </a:graphicData>
                </a:graphic>
              </wp:anchor>
            </w:drawing>
          </mc:Choice>
        </mc:AlternateContent>
      </w:r>
      <w:r>
        <w:t>Pengujian teknis menggunakan koordinat tetap agar hasil antarponsel sebanding, dan uji mode pesawat dilakukan pada satu ponsel; pengujian berikutnya akan mengukur ketelitian GPS di 30 titik lapangan dan pada ponsel dengan RAM 4 GB atau kurang. Rencana keluarga diuji dengan satu ponsel yang sama, sehingga pemindaian kode QR dan kabar keluarga antarponsel menjadi tahap uji berikutnya. Angka daya tampung mengikuti data sumber, sedangkan 77 TES tanpa angka daya tampung berperan sebagai cadangan; penetapan satu standar luas per orang bersama BPBD akan menjadi dasar pembaruan daya tampung seluruh TES. Model perlu dilengkapi perhitungan antrean di jalan melalui simulasi berbasis agen [17]-[19].</w:t>
      </w:r>
      <w:r w:rsidR="00327149"/>
      <w:r/>
      <w:r w:rsidR="00327149"/>
      <w:r/>
    </w:p>
    <w:p w14:paraId="68C44661" w14:textId="77777777" w:rsidR="009771D5" w:rsidRDefault="00000000">
      <w:pPr>
        <w:pStyle w:val="GemastikHeading1"/>
        <w:keepNext/>
        <w:numPr>
          <w:ilvl w:val="0"/>
          <w:numId w:val="22"/>
        </w:numPr>
        <w:ind w:left="284" w:hanging="284"/>
      </w:pPr>
      <w:r>
        <w:t>KESIMPULAN</w:t>
      </w:r>
    </w:p>
    <w:p w14:paraId="4CCCD918" w14:textId="77777777" w:rsidR="009771D5" w:rsidRDefault="00000000">
      <w:pPr>
        <w:pStyle w:val="GemastikBody"/>
      </w:pPr>
      <w:r>
        <w:t>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Pada proyeksi, pemilihan tujuan berdasarkan sisa waktu</w:t>
      </w:r>
      <w:r w:rsidR="00327149">
        <w:t xml:space="preserve">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perhitungan antrean di jalan, uji rencana keluarga antarponsel, pembaruan daya tampung TES bersama BPBD, serta uji dengan pengguna yang lebih beragam, termasuk lansia dan penyandang disabilitas.</w:t>
      </w:r>
    </w:p>
    <w:p w14:paraId="69B15019" w14:textId="77777777" w:rsidR="009771D5" w:rsidRDefault="00000000">
      <w:pPr>
        <w:pStyle w:val="GemastikHeading1"/>
      </w:pPr>
      <w:r>
        <w:t>REFERENSI</w:t>
      </w:r>
    </w:p>
    <w:p w14:paraId="525ABBE1"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w:t>
      </w:r>
      <w:r>
        <w:rPr>
          <w:i/>
        </w:rPr>
        <w:t>sunda-dan-mentawai-siberut-yang-tinggal-menunggu-waktu</w:t>
      </w:r>
      <w:r>
        <w:t>, tanggal akses: 10-Agu-2026.</w:t>
      </w:r>
    </w:p>
    <w:p w14:paraId="7DE676AF"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0D641083"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52DA2BA9"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16C9C378"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555C9A99"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5CA3CEC6"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1340710D"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2A3DC183"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1E358480"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0628E80A"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6A5A6A53"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29ADCFD0"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0C0A3A5A"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7F6D55B9"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207EA1E8"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3515F2F6"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26168B41"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49E905D1"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0B910E87"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56E6FE39"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76B3BED9"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68AD8B7B"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64CCE93D"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241CB728"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A9C1" w14:textId="77777777" w:rsidR="00DA62AA" w:rsidRDefault="00DA62AA" w:rsidP="005376F2">
      <w:r>
        <w:separator/>
      </w:r>
    </w:p>
  </w:endnote>
  <w:endnote w:type="continuationSeparator" w:id="0">
    <w:p w14:paraId="1C24F0FD" w14:textId="77777777" w:rsidR="00DA62AA" w:rsidRDefault="00DA62AA"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5EAF"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F62C"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387A"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EBF9" w14:textId="77777777" w:rsidR="00DA62AA" w:rsidRDefault="00DA62AA" w:rsidP="005376F2">
      <w:r>
        <w:separator/>
      </w:r>
    </w:p>
  </w:footnote>
  <w:footnote w:type="continuationSeparator" w:id="0">
    <w:p w14:paraId="338691AD" w14:textId="77777777" w:rsidR="00DA62AA" w:rsidRDefault="00DA62AA"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76D2383A" w14:textId="77777777" w:rsidTr="004D24E6">
      <w:tc>
        <w:tcPr>
          <w:tcW w:w="10490" w:type="dxa"/>
        </w:tcPr>
        <w:p w14:paraId="6E771DA1"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6AB898FB" w14:textId="77777777" w:rsidR="004D24E6" w:rsidRDefault="00440DA7" w:rsidP="00937089">
          <w:pPr>
            <w:pStyle w:val="GemastikISSN"/>
            <w:ind w:right="-113"/>
          </w:pPr>
          <w:r w:rsidRPr="00440DA7">
            <w:t xml:space="preserve">ISSN: </w:t>
          </w:r>
          <w:proofErr w:type="spellStart"/>
          <w:r w:rsidRPr="00440DA7">
            <w:t>xxxxxx</w:t>
          </w:r>
          <w:proofErr w:type="spellEnd"/>
        </w:p>
        <w:p w14:paraId="46D1B9D0" w14:textId="77777777" w:rsidR="004D24E6" w:rsidRPr="004D24E6" w:rsidRDefault="004D24E6" w:rsidP="007A7417">
          <w:pPr>
            <w:pStyle w:val="Header"/>
            <w:tabs>
              <w:tab w:val="left" w:pos="5732"/>
            </w:tabs>
            <w:ind w:right="-113"/>
            <w:rPr>
              <w:color w:val="000000" w:themeColor="text1"/>
              <w:sz w:val="14"/>
              <w:szCs w:val="14"/>
            </w:rPr>
          </w:pPr>
        </w:p>
      </w:tc>
    </w:tr>
  </w:tbl>
  <w:p w14:paraId="79C3F6D6"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82E1929" w14:textId="77777777" w:rsidTr="00BC3182">
      <w:trPr>
        <w:jc w:val="center"/>
      </w:trPr>
      <w:tc>
        <w:tcPr>
          <w:tcW w:w="10490" w:type="dxa"/>
        </w:tcPr>
        <w:p w14:paraId="7D2BA1AD"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DE651ED"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57E1B01C"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6B87FE74"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3DD9"/>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67EC"/>
    <w:rsid w:val="00D668BB"/>
    <w:rsid w:val="00D679F6"/>
    <w:rsid w:val="00D75A71"/>
    <w:rsid w:val="00D771DB"/>
    <w:rsid w:val="00D81FC3"/>
    <w:rsid w:val="00D8317C"/>
    <w:rsid w:val="00D96C0D"/>
    <w:rsid w:val="00DA2CC1"/>
    <w:rsid w:val="00DA62AA"/>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57169"/>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219</TotalTime>
  <Pages>5</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23</cp:revision>
  <dcterms:created xsi:type="dcterms:W3CDTF">2023-03-13T14:33:00Z</dcterms:created>
  <dcterms:modified xsi:type="dcterms:W3CDTF">2026-10-29T13:49:00Z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