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130C" w14:textId="77777777" w:rsidR="005376F2" w:rsidRPr="00642B7F" w:rsidRDefault="005376F2" w:rsidP="005F3CEB">
      <w:pPr>
        <w:pStyle w:val="GemastikJudul"/>
        <w:jc w:val="center"/>
      </w:pPr>
      <w:r w:rsidRPr="00642B7F">
        <w:t>Siaga Padang: Sistem Navigasi Evakuasi Tsunami Luring Berbasis Pemodelan Pergerakan Kolektif</w:t>
      </w:r>
    </w:p>
    <w:p w14:paraId="501D755F" w14:textId="77777777" w:rsidR="004C669A" w:rsidRPr="003C03FC" w:rsidRDefault="00AE4E53" w:rsidP="005F3CEB">
      <w:pPr>
        <w:pStyle w:val="GemastikPenulis"/>
        <w:jc w:val="center"/>
        <w:rPr>
          <w:vertAlign w:val="superscript"/>
          <w:lang w:val="en-US"/>
        </w:rPr>
      </w:pPr>
      <w:r>
        <w:rPr>
          <w:lang w:val="en-US"/>
        </w:rPr>
        <w:t xml:space="preserve">Mikail </w:t>
      </w:r>
      <w:proofErr w:type="spellStart"/>
      <w:r>
        <w:rPr>
          <w:lang w:val="en-US"/>
        </w:rPr>
        <w:t>Samyth</w:t>
      </w:r>
      <w:proofErr w:type="spellEnd"/>
      <w:r>
        <w:rPr>
          <w:lang w:val="en-US"/>
        </w:rPr>
        <w:t xml:space="preserve"> Habibillah</w:t>
      </w:r>
      <w:r>
        <w:rPr>
          <w:vertAlign w:val="superscript"/>
        </w:rPr>
        <w:t>1</w:t>
      </w:r>
      <w:r>
        <w:t xml:space="preserve">, </w:t>
      </w:r>
      <w:r>
        <w:rPr>
          <w:lang w:val="en-US"/>
        </w:rPr>
        <w:t>Muhammad Habib</w:t>
      </w:r>
      <w:r>
        <w:rPr>
          <w:vertAlign w:val="superscript"/>
        </w:rPr>
        <w:t>2</w:t>
      </w:r>
      <w:r>
        <w:t xml:space="preserve">, </w:t>
      </w:r>
      <w:r>
        <w:rPr>
          <w:lang w:val="en-US"/>
        </w:rPr>
        <w:t>Sheva Ramadhan</w:t>
      </w:r>
      <w:r>
        <w:rPr>
          <w:vertAlign w:val="superscript"/>
        </w:rPr>
        <w:t>3</w:t>
      </w:r>
      <w:r>
        <w:t xml:space="preserve">, </w:t>
      </w:r>
      <w:r>
        <w:rPr>
          <w:lang w:val="en-US"/>
        </w:rPr>
        <w:t xml:space="preserve">Nisa Dwi </w:t>
      </w:r>
      <w:proofErr w:type="spellStart"/>
      <w:r>
        <w:rPr>
          <w:lang w:val="en-US"/>
        </w:rPr>
        <w:t>Angresti</w:t>
      </w:r>
      <w:proofErr w:type="spellEnd"/>
      <w:r>
        <w:rPr>
          <w:vertAlign w:val="superscript"/>
        </w:rPr>
        <w:t>4</w:t>
      </w:r>
    </w:p>
    <w:p w14:paraId="528B942D" w14:textId="77777777" w:rsidR="00877788" w:rsidRPr="00877788" w:rsidRDefault="00877788" w:rsidP="00877788">
      <w:pPr>
        <w:pStyle w:val="GemastikAfiliasi"/>
        <w:jc w:val="center"/>
        <w:rPr>
          <w:rFonts w:eastAsia="Times New Roman"/>
          <w:lang w:val="en-US" w:eastAsia="en-US"/>
        </w:rPr>
      </w:pPr>
      <w:r w:rsidRPr="00C27B76">
        <w:rPr>
          <w:rFonts w:eastAsia="Times New Roman"/>
          <w:color w:val="000000"/>
          <w:sz w:val="14"/>
          <w:szCs w:val="14"/>
          <w:vertAlign w:val="superscript"/>
          <w:lang w:val="en-US" w:eastAsia="en-US"/>
        </w:rPr>
        <w:t>1</w:t>
      </w:r>
      <w:r w:rsidRPr="00877788">
        <w:rPr>
          <w:rFonts w:eastAsia="Times New Roman"/>
          <w:color w:val="000000"/>
          <w:sz w:val="14"/>
          <w:szCs w:val="14"/>
          <w:lang w:val="en-US" w:eastAsia="en-US"/>
        </w:rPr>
        <w:t xml:space="preserve">Fakultas </w:t>
      </w:r>
      <w:proofErr w:type="spellStart"/>
      <w:r w:rsidRPr="00877788">
        <w:rPr>
          <w:rFonts w:eastAsia="Times New Roman"/>
          <w:color w:val="000000"/>
          <w:sz w:val="14"/>
          <w:szCs w:val="14"/>
          <w:lang w:val="en-US" w:eastAsia="en-US"/>
        </w:rPr>
        <w:t>Teknologi</w:t>
      </w:r>
      <w:proofErr w:type="spellEnd"/>
      <w:r w:rsidRPr="00877788">
        <w:rPr>
          <w:rFonts w:eastAsia="Times New Roman"/>
          <w:color w:val="000000"/>
          <w:sz w:val="14"/>
          <w:szCs w:val="14"/>
          <w:lang w:val="en-US" w:eastAsia="en-US"/>
        </w:rPr>
        <w:t xml:space="preserve"> </w:t>
      </w:r>
      <w:proofErr w:type="spellStart"/>
      <w:r w:rsidRPr="00877788">
        <w:rPr>
          <w:rFonts w:eastAsia="Times New Roman"/>
          <w:color w:val="000000"/>
          <w:sz w:val="14"/>
          <w:szCs w:val="14"/>
          <w:lang w:val="en-US" w:eastAsia="en-US"/>
        </w:rPr>
        <w:t>Informasi</w:t>
      </w:r>
      <w:proofErr w:type="spellEnd"/>
      <w:r w:rsidRPr="00877788">
        <w:rPr>
          <w:rFonts w:eastAsia="Times New Roman"/>
          <w:color w:val="000000"/>
          <w:sz w:val="14"/>
          <w:szCs w:val="14"/>
          <w:lang w:val="en-US" w:eastAsia="en-US"/>
        </w:rPr>
        <w:t xml:space="preserve"> Universitas Andalas, Padang, 25163 Indonesia, email: </w:t>
      </w:r>
      <w:r w:rsidRPr="00877788">
        <w:rPr>
          <w:rFonts w:eastAsia="Times New Roman"/>
          <w:sz w:val="14"/>
          <w:szCs w:val="14"/>
          <w:lang w:val="en-US" w:eastAsia="en-US"/>
        </w:rPr>
        <w:t>2411523016_mikail@student.unand.ac.id</w:t>
      </w:r>
    </w:p>
    <w:p w14:paraId="4FC06148" w14:textId="23F0C346" w:rsidR="00877788" w:rsidRPr="00877788" w:rsidRDefault="00877788" w:rsidP="00877788">
      <w:pPr>
        <w:pStyle w:val="GemastikAfiliasi"/>
        <w:jc w:val="center"/>
        <w:rPr>
          <w:rFonts w:eastAsia="Times New Roman"/>
          <w:lang w:val="en-US" w:eastAsia="en-US"/>
        </w:rPr>
      </w:pPr>
      <w:r w:rsidRPr="00C27B76">
        <w:rPr>
          <w:rFonts w:eastAsia="Times New Roman"/>
          <w:color w:val="000000"/>
          <w:sz w:val="14"/>
          <w:szCs w:val="14"/>
          <w:vertAlign w:val="superscript"/>
          <w:lang w:val="en-US" w:eastAsia="en-US"/>
        </w:rPr>
        <w:t>2</w:t>
      </w:r>
      <w:r w:rsidRPr="00877788">
        <w:rPr>
          <w:rFonts w:eastAsia="Times New Roman"/>
          <w:color w:val="000000"/>
          <w:sz w:val="14"/>
          <w:szCs w:val="14"/>
          <w:lang w:val="en-US" w:eastAsia="en-US"/>
        </w:rPr>
        <w:t xml:space="preserve">Fakultas </w:t>
      </w:r>
      <w:proofErr w:type="spellStart"/>
      <w:r w:rsidRPr="00877788">
        <w:rPr>
          <w:rFonts w:eastAsia="Times New Roman"/>
          <w:color w:val="000000"/>
          <w:sz w:val="14"/>
          <w:szCs w:val="14"/>
          <w:lang w:val="en-US" w:eastAsia="en-US"/>
        </w:rPr>
        <w:t>Teknologi</w:t>
      </w:r>
      <w:proofErr w:type="spellEnd"/>
      <w:r w:rsidRPr="00877788">
        <w:rPr>
          <w:rFonts w:eastAsia="Times New Roman"/>
          <w:color w:val="000000"/>
          <w:sz w:val="14"/>
          <w:szCs w:val="14"/>
          <w:lang w:val="en-US" w:eastAsia="en-US"/>
        </w:rPr>
        <w:t xml:space="preserve"> </w:t>
      </w:r>
      <w:proofErr w:type="spellStart"/>
      <w:r w:rsidRPr="00877788">
        <w:rPr>
          <w:rFonts w:eastAsia="Times New Roman"/>
          <w:color w:val="000000"/>
          <w:sz w:val="14"/>
          <w:szCs w:val="14"/>
          <w:lang w:val="en-US" w:eastAsia="en-US"/>
        </w:rPr>
        <w:t>Informasi</w:t>
      </w:r>
      <w:proofErr w:type="spellEnd"/>
      <w:r w:rsidRPr="00877788">
        <w:rPr>
          <w:rFonts w:eastAsia="Times New Roman"/>
          <w:color w:val="000000"/>
          <w:sz w:val="14"/>
          <w:szCs w:val="14"/>
          <w:lang w:val="en-US" w:eastAsia="en-US"/>
        </w:rPr>
        <w:t xml:space="preserve"> Universitas Andalas, Padang, 25163 Indonesia, email: </w:t>
      </w:r>
      <w:r w:rsidR="00F16D9C" w:rsidRPr="00877788">
        <w:rPr>
          <w:rFonts w:eastAsia="Times New Roman"/>
          <w:sz w:val="14"/>
          <w:szCs w:val="14"/>
          <w:lang w:val="en-US" w:eastAsia="en-US"/>
        </w:rPr>
        <w:t>2411522024_muhammad@student.unand.ac.id</w:t>
      </w:r>
      <w:r w:rsidR="00F16D9C">
        <w:t xml:space="preserve"> </w:t>
      </w:r>
    </w:p>
    <w:p w14:paraId="2260E651" w14:textId="6680207B" w:rsidR="00877788" w:rsidRPr="00877788" w:rsidRDefault="00877788" w:rsidP="00877788">
      <w:pPr>
        <w:pStyle w:val="GemastikAfiliasi"/>
        <w:jc w:val="center"/>
        <w:rPr>
          <w:rFonts w:eastAsia="Times New Roman"/>
          <w:lang w:val="en-US" w:eastAsia="en-US"/>
        </w:rPr>
      </w:pPr>
      <w:r w:rsidRPr="00C27B76">
        <w:rPr>
          <w:rFonts w:eastAsia="Times New Roman"/>
          <w:color w:val="000000"/>
          <w:sz w:val="14"/>
          <w:szCs w:val="14"/>
          <w:vertAlign w:val="superscript"/>
          <w:lang w:val="en-US" w:eastAsia="en-US"/>
        </w:rPr>
        <w:t>3</w:t>
      </w:r>
      <w:r w:rsidRPr="00877788">
        <w:rPr>
          <w:rFonts w:eastAsia="Times New Roman"/>
          <w:color w:val="000000"/>
          <w:sz w:val="14"/>
          <w:szCs w:val="14"/>
          <w:lang w:val="en-US" w:eastAsia="en-US"/>
        </w:rPr>
        <w:t xml:space="preserve">Fakultas </w:t>
      </w:r>
      <w:proofErr w:type="spellStart"/>
      <w:r w:rsidRPr="00877788">
        <w:rPr>
          <w:rFonts w:eastAsia="Times New Roman"/>
          <w:color w:val="000000"/>
          <w:sz w:val="14"/>
          <w:szCs w:val="14"/>
          <w:lang w:val="en-US" w:eastAsia="en-US"/>
        </w:rPr>
        <w:t>Teknologi</w:t>
      </w:r>
      <w:proofErr w:type="spellEnd"/>
      <w:r w:rsidRPr="00877788">
        <w:rPr>
          <w:rFonts w:eastAsia="Times New Roman"/>
          <w:color w:val="000000"/>
          <w:sz w:val="14"/>
          <w:szCs w:val="14"/>
          <w:lang w:val="en-US" w:eastAsia="en-US"/>
        </w:rPr>
        <w:t xml:space="preserve"> </w:t>
      </w:r>
      <w:proofErr w:type="spellStart"/>
      <w:r w:rsidRPr="00877788">
        <w:rPr>
          <w:rFonts w:eastAsia="Times New Roman"/>
          <w:color w:val="000000"/>
          <w:sz w:val="14"/>
          <w:szCs w:val="14"/>
          <w:lang w:val="en-US" w:eastAsia="en-US"/>
        </w:rPr>
        <w:t>Informasi</w:t>
      </w:r>
      <w:proofErr w:type="spellEnd"/>
      <w:r w:rsidRPr="00877788">
        <w:rPr>
          <w:rFonts w:eastAsia="Times New Roman"/>
          <w:color w:val="000000"/>
          <w:sz w:val="14"/>
          <w:szCs w:val="14"/>
          <w:lang w:val="en-US" w:eastAsia="en-US"/>
        </w:rPr>
        <w:t xml:space="preserve"> Universitas Andalas, Padang, 25163 Indonesia, email: </w:t>
      </w:r>
      <w:r w:rsidR="00F16D9C" w:rsidRPr="00877788">
        <w:rPr>
          <w:rFonts w:eastAsia="Times New Roman"/>
          <w:sz w:val="14"/>
          <w:szCs w:val="14"/>
          <w:lang w:val="en-US" w:eastAsia="en-US"/>
        </w:rPr>
        <w:t>2411523020_sheva@student.unand.ac.id</w:t>
      </w:r>
    </w:p>
    <w:p w14:paraId="7A707F20" w14:textId="7C26962B" w:rsidR="00877788" w:rsidRDefault="00877788" w:rsidP="00877788">
      <w:pPr>
        <w:pStyle w:val="GemastikAfiliasi"/>
        <w:jc w:val="center"/>
        <w:rPr>
          <w:rFonts w:eastAsia="Times New Roman"/>
          <w:color w:val="000000"/>
          <w:sz w:val="14"/>
          <w:szCs w:val="14"/>
          <w:lang w:val="en-US" w:eastAsia="en-US"/>
        </w:rPr>
      </w:pPr>
      <w:r w:rsidRPr="00C27B76">
        <w:rPr>
          <w:rFonts w:eastAsia="Times New Roman"/>
          <w:color w:val="000000"/>
          <w:sz w:val="14"/>
          <w:szCs w:val="14"/>
          <w:vertAlign w:val="superscript"/>
          <w:lang w:val="en-US" w:eastAsia="en-US"/>
        </w:rPr>
        <w:t>4</w:t>
      </w:r>
      <w:r w:rsidRPr="00877788">
        <w:rPr>
          <w:rFonts w:eastAsia="Times New Roman"/>
          <w:color w:val="000000"/>
          <w:sz w:val="14"/>
          <w:szCs w:val="14"/>
          <w:lang w:val="en-US" w:eastAsia="en-US"/>
        </w:rPr>
        <w:t xml:space="preserve">Fakultas </w:t>
      </w:r>
      <w:proofErr w:type="spellStart"/>
      <w:r w:rsidRPr="00877788">
        <w:rPr>
          <w:rFonts w:eastAsia="Times New Roman"/>
          <w:color w:val="000000"/>
          <w:sz w:val="14"/>
          <w:szCs w:val="14"/>
          <w:lang w:val="en-US" w:eastAsia="en-US"/>
        </w:rPr>
        <w:t>Teknologi</w:t>
      </w:r>
      <w:proofErr w:type="spellEnd"/>
      <w:r w:rsidRPr="00877788">
        <w:rPr>
          <w:rFonts w:eastAsia="Times New Roman"/>
          <w:color w:val="000000"/>
          <w:sz w:val="14"/>
          <w:szCs w:val="14"/>
          <w:lang w:val="en-US" w:eastAsia="en-US"/>
        </w:rPr>
        <w:t xml:space="preserve"> </w:t>
      </w:r>
      <w:proofErr w:type="spellStart"/>
      <w:r w:rsidRPr="00877788">
        <w:rPr>
          <w:rFonts w:eastAsia="Times New Roman"/>
          <w:color w:val="000000"/>
          <w:sz w:val="14"/>
          <w:szCs w:val="14"/>
          <w:lang w:val="en-US" w:eastAsia="en-US"/>
        </w:rPr>
        <w:t>Informasi</w:t>
      </w:r>
      <w:proofErr w:type="spellEnd"/>
      <w:r w:rsidRPr="00877788">
        <w:rPr>
          <w:rFonts w:eastAsia="Times New Roman"/>
          <w:color w:val="000000"/>
          <w:sz w:val="14"/>
          <w:szCs w:val="14"/>
          <w:lang w:val="en-US" w:eastAsia="en-US"/>
        </w:rPr>
        <w:t xml:space="preserve"> Universitas Andalas, Padang, 25163 Indonesia, email: </w:t>
      </w:r>
      <w:r w:rsidR="00F16D9C" w:rsidRPr="00406779">
        <w:rPr>
          <w:rFonts w:eastAsia="Times New Roman"/>
          <w:sz w:val="14"/>
          <w:szCs w:val="14"/>
          <w:lang w:val="en-US" w:eastAsia="en-US"/>
        </w:rPr>
        <w:t>nisadwi@it.unand.ac.id</w:t>
      </w:r>
    </w:p>
    <w:p w14:paraId="48C9D653" w14:textId="4DC87499" w:rsidR="00877788" w:rsidRPr="00877788" w:rsidRDefault="00877788" w:rsidP="00F16D9C">
      <w:pPr>
        <w:spacing w:after="240"/>
        <w:jc w:val="center"/>
        <w:rPr>
          <w:rFonts w:eastAsia="Times New Roman"/>
          <w:lang w:val="en-US" w:eastAsia="en-US"/>
        </w:rPr>
      </w:pPr>
      <w:r w:rsidRPr="00877788">
        <w:rPr>
          <w:rFonts w:eastAsia="Times New Roman"/>
          <w:i/>
          <w:iCs/>
          <w:color w:val="000000"/>
          <w:sz w:val="14"/>
          <w:szCs w:val="14"/>
          <w:lang w:val="en-US" w:eastAsia="en-US"/>
        </w:rPr>
        <w:t>Corresponding Author</w:t>
      </w:r>
      <w:r w:rsidRPr="00877788">
        <w:rPr>
          <w:rFonts w:eastAsia="Times New Roman"/>
          <w:color w:val="000000"/>
          <w:sz w:val="14"/>
          <w:szCs w:val="14"/>
          <w:lang w:val="en-US" w:eastAsia="en-US"/>
        </w:rPr>
        <w:t xml:space="preserve">: Mikail </w:t>
      </w:r>
      <w:proofErr w:type="spellStart"/>
      <w:r w:rsidRPr="00877788">
        <w:rPr>
          <w:rFonts w:eastAsia="Times New Roman"/>
          <w:color w:val="000000"/>
          <w:sz w:val="14"/>
          <w:szCs w:val="14"/>
          <w:lang w:val="en-US" w:eastAsia="en-US"/>
        </w:rPr>
        <w:t>Samyth</w:t>
      </w:r>
      <w:proofErr w:type="spellEnd"/>
      <w:r w:rsidRPr="00877788">
        <w:rPr>
          <w:rFonts w:eastAsia="Times New Roman"/>
          <w:color w:val="000000"/>
          <w:sz w:val="14"/>
          <w:szCs w:val="14"/>
          <w:lang w:val="en-US" w:eastAsia="en-US"/>
        </w:rPr>
        <w:t xml:space="preserve"> Habibillah</w:t>
      </w:r>
    </w:p>
    <w:p w14:paraId="79B464E3" w14:textId="0F6F7437" w:rsidR="005376F2" w:rsidRPr="00B46A3A" w:rsidRDefault="00D667EC" w:rsidP="005F3CEB">
      <w:pPr>
        <w:pStyle w:val="GemastikIntisari"/>
        <w:ind w:right="284"/>
        <w:rPr>
          <w:sz w:val="18"/>
          <w:szCs w:val="18"/>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004A3442">
        <w:rPr>
          <w:rStyle w:val="IEEEAbstractHeadingChar"/>
          <w:rFonts w:ascii="Helvetica" w:hAnsi="Helvetica"/>
          <w:i w:val="0"/>
          <w:iCs/>
          <w:szCs w:val="18"/>
          <w:lang w:val="en-US"/>
        </w:rPr>
        <w:t xml:space="preserve"> </w:t>
      </w:r>
      <w:r w:rsidR="005376F2" w:rsidRPr="00B46A3A">
        <w:rPr>
          <w:b/>
          <w:bCs/>
          <w:i/>
          <w:iCs/>
          <w:sz w:val="18"/>
          <w:szCs w:val="18"/>
        </w:rPr>
        <w:t>—</w:t>
      </w:r>
      <w:r w:rsidR="00081D01">
        <w:rPr>
          <w:b/>
          <w:bCs/>
          <w:i/>
          <w:iCs/>
          <w:sz w:val="18"/>
          <w:szCs w:val="18"/>
          <w:lang w:val="en-US"/>
        </w:rPr>
        <w:t xml:space="preserve"> </w:t>
      </w:r>
      <w:r w:rsidR="001469DF" w:rsidRPr="001469DF">
        <w:t xml:space="preserve">Kota Padang menghadapi ancaman tsunami akibat gempa di </w:t>
      </w:r>
      <w:r w:rsidR="001469DF" w:rsidRPr="00466358">
        <w:rPr>
          <w:i/>
          <w:iCs/>
        </w:rPr>
        <w:t>megathrust</w:t>
      </w:r>
      <w:r w:rsidR="001469DF" w:rsidRPr="001469DF">
        <w:t xml:space="preserve"> Mentawai–Siberut, dengan waktu evakuasi sekitar 20–30 menit setelah gempa terjadi. Dalam waktu sesingkat itu, warga perlu segera mengetahui arah dan tempat evakuasi, sementara akses internet dapat terputus dan 54% peserta uji tidak dapat menyebutkan tempat evakuasi tanpa bantuan ponsel. 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OpenStreetMap. Tujuan evakuasi dipilih secara otomatis di antara tempat yang menjauhi pantai dan masih dapat dicapai dalam waktu evakuasi, dengan prioritas pada </w:t>
      </w:r>
      <w:r w:rsidR="00AD1121">
        <w:t>T</w:t>
      </w:r>
      <w:r w:rsidR="001469DF" w:rsidRPr="001469DF">
        <w:t xml:space="preserve">empat </w:t>
      </w:r>
      <w:r w:rsidR="00AD1121">
        <w:t>E</w:t>
      </w:r>
      <w:r w:rsidR="001469DF" w:rsidRPr="001469DF">
        <w:t xml:space="preserve">vakuasi </w:t>
      </w:r>
      <w:r w:rsidR="00AD1121">
        <w:t>A</w:t>
      </w:r>
      <w:r w:rsidR="001469DF" w:rsidRPr="001469DF">
        <w:t>khir</w:t>
      </w:r>
      <w:r w:rsidR="00AD1121">
        <w:t xml:space="preserve"> (TEA)</w:t>
      </w:r>
      <w:r w:rsidR="001469DF" w:rsidRPr="001469DF">
        <w:t xml:space="preserve"> atau zona hijau. Bila keduanya tidak terjangkau, pemodelan pergerakan kolektif membagi warga ke beberapa </w:t>
      </w:r>
      <w:r w:rsidR="00AD1121">
        <w:t>T</w:t>
      </w:r>
      <w:r w:rsidR="001469DF" w:rsidRPr="001469DF">
        <w:t xml:space="preserve">empat </w:t>
      </w:r>
      <w:r w:rsidR="00AD1121">
        <w:t>E</w:t>
      </w:r>
      <w:r w:rsidR="001469DF" w:rsidRPr="001469DF">
        <w:t xml:space="preserve">vakuasi </w:t>
      </w:r>
      <w:r w:rsidR="00AD1121">
        <w:t>S</w:t>
      </w:r>
      <w:r w:rsidR="001469DF" w:rsidRPr="001469DF">
        <w:t>ementara</w:t>
      </w:r>
      <w:r w:rsidR="00AD1121">
        <w:t xml:space="preserve"> (TES)</w:t>
      </w:r>
      <w:r w:rsidR="001469DF" w:rsidRPr="001469DF">
        <w:t xml:space="preserve">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milidetik. Pada pengujian pengguna terhadap 25 peserta, ketepatan arah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evakuasi disiapkan untuk membantu BPBD merencanakan pemerataan tujuan evakuasi serta kebutuhan tempat evakuasi tambahan.</w:t>
      </w:r>
    </w:p>
    <w:p w14:paraId="188F5273" w14:textId="77777777" w:rsidR="005376F2" w:rsidRPr="003E50E5" w:rsidRDefault="00D667EC" w:rsidP="005F3CEB">
      <w:pPr>
        <w:pStyle w:val="GemastikKataKunci"/>
        <w:ind w:right="284"/>
      </w:pPr>
      <w:r w:rsidRPr="003E50E5">
        <w:rPr>
          <w:rStyle w:val="IEEEAbstractHeadingChar"/>
          <w:rFonts w:ascii="Helvetica" w:hAnsi="Helvetica"/>
          <w:i w:val="0"/>
          <w:iCs/>
          <w:szCs w:val="18"/>
          <w:lang w:val="id-ID"/>
        </w:rPr>
        <w:t>KATA KUNCI</w:t>
      </w:r>
      <w:r w:rsidR="00081D01" w:rsidRPr="003E50E5">
        <w:rPr>
          <w:rStyle w:val="IEEEAbstractHeadingChar"/>
          <w:rFonts w:ascii="Helvetica" w:hAnsi="Helvetica"/>
          <w:i w:val="0"/>
          <w:iCs/>
          <w:szCs w:val="18"/>
          <w:lang w:val="en-US"/>
        </w:rPr>
        <w:t xml:space="preserve"> </w:t>
      </w:r>
      <w:r w:rsidR="005376F2" w:rsidRPr="003E50E5">
        <w:t>—</w:t>
      </w:r>
      <w:r w:rsidR="00081D01" w:rsidRPr="003E50E5">
        <w:rPr>
          <w:lang w:val="en-US"/>
        </w:rPr>
        <w:t xml:space="preserve"> </w:t>
      </w:r>
      <w:r>
        <w:t>Evakuasi Tsunami, Navigasi Luring, Prakomputasi Jalur, Pembagian Daya Tampung, Aplikasi Android, Kota Padang</w:t>
      </w:r>
    </w:p>
    <w:p w14:paraId="4D5AD487" w14:textId="77777777" w:rsidR="005376F2" w:rsidRPr="003E50E5" w:rsidRDefault="00D667EC" w:rsidP="003E50E5">
      <w:pPr>
        <w:pStyle w:val="GemastikHeading1"/>
        <w:numPr>
          <w:ilvl w:val="0"/>
          <w:numId w:val="22"/>
        </w:numPr>
        <w:ind w:left="284" w:hanging="284"/>
      </w:pPr>
      <w:r w:rsidRPr="003E50E5">
        <w:t>PENDAHULUAN</w:t>
      </w:r>
    </w:p>
    <w:p w14:paraId="30981536" w14:textId="77777777" w:rsidR="003577D5" w:rsidRPr="003E50E5" w:rsidRDefault="003577D5" w:rsidP="005376F2">
      <w:pPr>
        <w:pStyle w:val="IEEEParagraph"/>
        <w:rPr>
          <w:sz w:val="20"/>
          <w:szCs w:val="20"/>
          <w:lang w:val="id-ID"/>
        </w:rPr>
        <w:sectPr w:rsidR="003577D5" w:rsidRPr="003E50E5" w:rsidSect="004C669A">
          <w:headerReference w:type="even" r:id="rId12"/>
          <w:headerReference w:type="default" r:id="rId13"/>
          <w:footerReference w:type="even" r:id="rId14"/>
          <w:footerReference w:type="default" r:id="rId15"/>
          <w:footerReference w:type="first" r:id="rId16"/>
          <w:type w:val="continuous"/>
          <w:pgSz w:w="11906" w:h="16838"/>
          <w:pgMar w:top="1304" w:right="737" w:bottom="1021" w:left="737" w:header="431" w:footer="431" w:gutter="0"/>
          <w:cols w:space="238"/>
          <w:docGrid w:linePitch="360"/>
        </w:sectPr>
      </w:pPr>
    </w:p>
    <w:p w14:paraId="55728E1C" w14:textId="3310D33B" w:rsidR="009771D5" w:rsidRDefault="00000000">
      <w:pPr>
        <w:pStyle w:val="GemastikBody"/>
      </w:pPr>
      <w:r>
        <w:t xml:space="preserve">Kota Padang terletak di pesisir barat Sumatera dan berhadapan dengan segmen </w:t>
      </w:r>
      <w:r>
        <w:rPr>
          <w:i/>
        </w:rPr>
        <w:t>megathrust</w:t>
      </w:r>
      <w: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w:t>
      </w:r>
      <w:r w:rsidR="00466358">
        <w:t>menggunakan</w:t>
      </w:r>
      <w:r>
        <w:t xml:space="preserve"> rentang 20–30 menit setelah gempa sebagai acuan kesiapsiagaan [4].</w:t>
      </w:r>
    </w:p>
    <w:p w14:paraId="26C2ABAE" w14:textId="1D8172C9" w:rsidR="009771D5" w:rsidRDefault="00000000">
      <w:pPr>
        <w:pStyle w:val="GemastikBody"/>
      </w:pPr>
      <w:r>
        <w:t xml:space="preserve">Pemerintah Kota Padang dan BPBD telah menetapkan tempat evakuasi sementara (TES), yaitu bangunan atau dataran tinggi untuk menyelamatkan diri sementara, serta tempat evakuasi akhir (TEA) di luar wilayah yang berpotensi </w:t>
      </w:r>
      <w:r w:rsidR="00C80CE4">
        <w:t>tertimpa</w:t>
      </w:r>
      <w:r>
        <w:t xml:space="preserve"> tsunami. Rencana evakuasi disajikan dalam peta per kecamatan dan kelurahan [5], [6]. Saat gempa terjadi, pengguna peta perlu menemukan posisinya dan menyesuaikan arah peta dengan lingkungan sekitar, sesuatu yang sulit bagi pendatang maupun warga yang sedang berada di luar lingkungannya. Pada uji pengguna dalam penelitian ini, 13 dari 24 peserta yang menjawab tidak dapat menyebutkan tempat evakuasi tanpa bantuan ponsel, termasuk empat peserta yang sedang berlibur di Padang. Selain itu, layanan peringatan di ponsel memerlukan koneksi, padahal jaringan telekomunikasi dapat terganggu setelah gempa [7].</w:t>
      </w:r>
    </w:p>
    <w:p w14:paraId="1540EE15" w14:textId="1D13144C" w:rsidR="009771D5" w:rsidRDefault="00000000">
      <w:pPr>
        <w:pStyle w:val="GemastikBody"/>
      </w:pPr>
      <w:r>
        <w:t xml:space="preserve">Wawancara dengan tiga narasumber BPBD pada September–Oktober 2026 menghasilkan empat ketentuan yang </w:t>
      </w:r>
      <w:r>
        <w:t>kemudian menjadi aturan aplikasi: evakuasi dimulai bila gempa terasa lebih dari 30 detik, baik pelan maupun kuat; arah evakuasi menjauhi pantai, tidak mendekati dan tidak sejajar dengan garis pantai; jembatan sebaiknya tidak dilalui</w:t>
      </w:r>
      <w:r w:rsidR="00F16D9C">
        <w:t xml:space="preserve"> jika memungkinkan</w:t>
      </w:r>
      <w:r>
        <w:t xml:space="preserve">; dan wilayah dibedakan menjadi zona merah yang dapat terlanda tsunami serta zona hijau di luarnya [8]. Warga diarahkan </w:t>
      </w:r>
      <w:r w:rsidR="00466358">
        <w:t>untuk berjalan cepat, tidak menggunakan</w:t>
      </w:r>
      <w:r>
        <w:t xml:space="preserve"> kendaraan bermotor, dan tetap mengikuti arahan petugas di lapangan [4].</w:t>
      </w:r>
    </w:p>
    <w:p w14:paraId="76FA541F" w14:textId="0BBD417B" w:rsidR="009771D5" w:rsidRDefault="00000000">
      <w:pPr>
        <w:pStyle w:val="GemastikBody"/>
      </w:pPr>
      <w:r>
        <w:t xml:space="preserve">Beberapa sistem telah membantu warga dengan cara yang berbeda. InaRISK menyajikan informasi risiko berbasis lokasi [9], sedangkan InaTEWS dan sistem peringatan gempa Android menyampaikan peringatan dini [7], [10]; ketiganya tidak menentukan jalur dari posisi pengguna. NVS Tsunami Evacuation di Amerika Serikat menampilkan jalur tercepat keluar zona tsunami, tetapi sebagai layanan daring [11]. Penelitian di Kota Padang telah memetakan bangunan untuk evakuasi vertikal [12] dan menentukan jalur </w:t>
      </w:r>
      <w:r w:rsidR="00466358">
        <w:t>berdasarkan jarak dan waktu menggunakan</w:t>
      </w:r>
      <w:r>
        <w:t xml:space="preserve"> algoritma Dijkstra, </w:t>
      </w:r>
      <w:r>
        <w:rPr>
          <w:i/>
        </w:rPr>
        <w:t>Best First Search</w:t>
      </w:r>
      <w:r>
        <w:t>, serta analisis sistem informasi geografis [13]-[16]. Simulasi berbasis agen memperlihatkan pentingnya daya tampung tujuan dan beban jalur ketika warga bergerak serentak [17]-[19]. Hasil kajian tersebut umumnya dipakai untuk perencanaan dan belum sampai ke ponsel warga sebagai arahan yang dapat digunakan tanpa internet.</w:t>
      </w:r>
    </w:p>
    <w:p w14:paraId="7C7A27D0" w14:textId="77777777" w:rsidR="009771D5" w:rsidRDefault="00000000">
      <w:pPr>
        <w:pStyle w:val="GemastikBody"/>
      </w:pPr>
      <w:r>
        <w:t xml:space="preserve">Makalah ini menyajikan Siaga Padang, aplikasi Android untuk navigasi evakuasi tsunami, dengan tiga kontribusi. Pertama, jalur evakuasi dihitung sebelum kejadian sesuai aturan BPBD dan disimpan di ponsel sehingga arahan dapat ditampilkan tanpa internet. Kedua, tujuan dipilih menurut sisa waktu sejak gempa dan, bila diperlukan, menurut pembagian daya tampung TES. Ketiga, aplikasi dievaluasi melalui uji teknis, </w:t>
      </w:r>
      <w:r>
        <w:lastRenderedPageBreak/>
        <w:t>uji pengguna, dan analisis keterjangkauan yang hasilnya dapat dimanfaatkan BPBD. Bagian II menjelaskan metode, Bagian III menyajikan hasil dan diskusi, dan Bagian IV memuat kesimpulan.</w:t>
      </w:r>
    </w:p>
    <w:p w14:paraId="75564ED2" w14:textId="77777777" w:rsidR="009771D5" w:rsidRDefault="00000000">
      <w:pPr>
        <w:pStyle w:val="GemastikHeading1"/>
        <w:keepNext/>
        <w:numPr>
          <w:ilvl w:val="0"/>
          <w:numId w:val="22"/>
        </w:numPr>
        <w:ind w:left="284" w:hanging="284"/>
      </w:pPr>
      <w:r>
        <w:t>METODE</w:t>
      </w:r>
    </w:p>
    <w:p w14:paraId="0B1ABCA9" w14:textId="77777777" w:rsidR="009771D5" w:rsidRDefault="00000000">
      <w:pPr>
        <w:pStyle w:val="GemastikHeading2"/>
        <w:keepNext/>
        <w:numPr>
          <w:ilvl w:val="0"/>
          <w:numId w:val="24"/>
        </w:numPr>
        <w:ind w:left="289" w:hanging="289"/>
      </w:pPr>
      <w:r>
        <w:t>PENGEMBANGAN DAN DATA</w:t>
      </w:r>
    </w:p>
    <w:p w14:paraId="1BC4684D" w14:textId="77777777" w:rsidR="009771D5" w:rsidRDefault="00000000">
      <w:pPr>
        <w:pStyle w:val="GemastikBody"/>
      </w:pPr>
      <w:r>
        <w:t xml:space="preserve">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w:t>
      </w:r>
      <w:r>
        <w:t>dekat ke pantai daripada titik awalnya dan 31,4% jalur ke TES urutan pertama melewati jembatan. Temuan ini menjadi dasar penghitungan ulang seluruh jalur dengan aturan BPBD.</w:t>
      </w:r>
    </w:p>
    <w:p w14:paraId="58E221B2" w14:textId="77777777" w:rsidR="009771D5" w:rsidRDefault="00000000">
      <w:pPr>
        <w:pStyle w:val="GemastikBody"/>
      </w:pPr>
      <w:r>
        <w:t>Zona merah berasal dari peta bahaya tsunami KRB yang digabung dengan zona rawan pada peta evakuasi BPBD [3], [5]. Data TES dan TEA berasal dari digitasi Kelurahan Tangguh dan daftar TES BPBD, sedangkan jaringan jalan pejalan kaki diambil dari OpenStreetMap per 8 Agustus 2026 [20].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w:t>
      </w:r>
    </w:p>
    <w:p w14:paraId="76338DB1"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32CFABF3" w14:textId="77777777" w:rsidR="009771D5" w:rsidRDefault="00000000">
      <w:pPr>
        <w:keepNext/>
        <w:jc w:val="center"/>
      </w:pPr>
      <w:r>
        <w:rPr>
          <w:noProof/>
        </w:rPr>
        <w:drawing>
          <wp:inline distT="0" distB="0" distL="0" distR="0" wp14:anchorId="3B14E17A" wp14:editId="2B1AC7EF">
            <wp:extent cx="5508000" cy="24972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5508000" cy="2497284"/>
                    </a:xfrm>
                    <a:prstGeom prst="rect">
                      <a:avLst/>
                    </a:prstGeom>
                  </pic:spPr>
                </pic:pic>
              </a:graphicData>
            </a:graphic>
          </wp:inline>
        </w:drawing>
      </w:r>
    </w:p>
    <w:p w14:paraId="64044B70" w14:textId="77777777" w:rsidR="009771D5" w:rsidRDefault="00000000">
      <w:pPr>
        <w:pStyle w:val="GemastikCaptionGambar"/>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p w14:paraId="13CEF071" w14:textId="77777777" w:rsidR="009771D5" w:rsidRDefault="009771D5">
      <w:pPr>
        <w:pStyle w:val="IEEEParagraph"/>
        <w:sectPr w:rsidR="009771D5" w:rsidSect="004C669A">
          <w:type w:val="continuous"/>
          <w:pgSz w:w="11906" w:h="16838"/>
          <w:pgMar w:top="1304" w:right="737" w:bottom="1021" w:left="737" w:header="431" w:footer="431" w:gutter="0"/>
          <w:cols w:space="238"/>
          <w:docGrid w:linePitch="360"/>
        </w:sectPr>
      </w:pPr>
    </w:p>
    <w:p w14:paraId="04EACFFC" w14:textId="77777777" w:rsidR="009771D5" w:rsidRDefault="00000000">
      <w:pPr>
        <w:pStyle w:val="GemastikHeading2"/>
        <w:keepNext/>
      </w:pPr>
      <w:r>
        <w:t>PRAKOMPUTASI JALUR</w:t>
      </w:r>
    </w:p>
    <w:p w14:paraId="3F399B1D" w14:textId="73920305" w:rsidR="009771D5" w:rsidRDefault="00000000">
      <w:pPr>
        <w:pStyle w:val="GemastikBody"/>
      </w:pPr>
      <w: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w:t>
      </w:r>
      <w:r w:rsidR="00A45926">
        <w:t xml:space="preserve">menggunakan laju 1,2 m/s dan diubah dalam aplikasi menjadi 0,894 m/s, sesuai </w:t>
      </w:r>
      <w:r>
        <w:t xml:space="preserve">laju orang dengan mobilitas terbatas menurut pedoman Federal Emergency Management Agency (FEMA) P-646 yang juga dirujuk </w:t>
      </w:r>
      <w:r w:rsidR="00466358">
        <w:t xml:space="preserve">oleh </w:t>
      </w:r>
      <w:r>
        <w:t>BPBD [8], [21].</w:t>
      </w:r>
    </w:p>
    <w:p w14:paraId="20007397" w14:textId="760C342A" w:rsidR="009771D5" w:rsidRDefault="00000000">
      <w:pPr>
        <w:pStyle w:val="GemastikBody"/>
      </w:pPr>
      <w:r>
        <w:t xml:space="preserve">Dua aturan BPBD diterapkan saat </w:t>
      </w:r>
      <w:r w:rsidR="00A45926">
        <w:t>menghitung jalur</w:t>
      </w:r>
      <w:r>
        <w:t xml:space="preserve">. Tujuan harus menjauhi pantai dengan sudut lebih dari sekitar 15°, yaitu pertambahan jarak ke pantai dibagi jarak garis lurus antara simpul asal dan tujuan lebih dari 0,27; tujuan yang berjarak kurang dari 100 m dikecualikan. Jalur tanpa jembatan sepanjang 20 m atau lebih didahulukan, dan jembatan hanya </w:t>
      </w:r>
      <w:r w:rsidR="00A45926">
        <w:t>digunakan</w:t>
      </w:r>
      <w:r>
        <w:t xml:space="preserve"> bila tujuan tidak dapat dicapai tanpa melaluinya. Dengan aturan ini, 2.067 dari 10.688 jalur TES urutan pertama (19%) masih melewati jembatan karena tidak ada sambungan lain, dan aplikasi menandainya dengan keterangan “Lewat jembatan”. Sebanyak 730 simpul zona merah tidak memiliki TES yang memenuhi syarat, tetapi seluruh simpul zona merah tetap memiliki jalur menuju zona hijau.</w:t>
      </w:r>
    </w:p>
    <w:p w14:paraId="4C5F2958" w14:textId="77777777" w:rsidR="009771D5" w:rsidRDefault="00000000">
      <w:pPr>
        <w:pStyle w:val="GemastikHeading2"/>
        <w:keepNext/>
      </w:pPr>
      <w:r>
        <w:t>PEMBAGIAN DAYA TAMPUNG</w:t>
      </w:r>
    </w:p>
    <w:p w14:paraId="79C1E55D" w14:textId="2724C2AD" w:rsidR="009771D5" w:rsidRDefault="00000000">
      <w:pPr>
        <w:pStyle w:val="GemastikBody"/>
      </w:pPr>
      <w:r>
        <w:t xml:space="preserve">Pemodelan pergerakan kolektif </w:t>
      </w:r>
      <w:r w:rsidR="00327149">
        <w:t>digunakan untuk membagi penduduk ke TES berdasarkan</w:t>
      </w:r>
      <w:r>
        <w:t xml:space="preserve"> daya tampung. Penduduk terpapar menurut KRB disebar ke bangunan di wilayah bahaya setiap kelurahan, dan bangunan di zona merah tambahan dari peta evakuasi diberi perkiraan berdasarkan kepadatan per luas bangunan, sehingga diperoleh 313.862 jiwa pada simpul zona merah. Pembagian dihitung </w:t>
      </w:r>
      <w:r w:rsidR="00466358">
        <w:t>menggunakan</w:t>
      </w:r>
      <w:r>
        <w:t xml:space="preserve"> program linear yang meminimalkan total jiwa × menit tempuh, dengan syarat beban setiap TES tidak melebihi daya tampungnya dan waktu tempuh paling lama 15 menit. Kandidat hanya TES berdaya tampung tercatat yang lolos aturan arah; bila semua TES terjangkau sudah penuh, sisa penduduk ditempatkan pada TES terjangkau tercepat dan dicatat sebagai kelebihan. Pembagian ini diterapkan pada 89.158 jiwa yang tidak dapat keluar dari zona merah dalam 15 menit, tetapi masih dapat mencapai TES </w:t>
      </w:r>
      <w:r w:rsidR="00A45926">
        <w:t>dengan daya tampung yang</w:t>
      </w:r>
      <w:r>
        <w:t xml:space="preserve"> tercatat. Hasilnya berupa porsi tujuan untuk setiap simpul yang disimpan di basis data, sedangkan 77 TES tanpa angka daya tampung tetap menjadi cadangan.</w:t>
      </w:r>
    </w:p>
    <w:p w14:paraId="1E891D2B" w14:textId="77777777" w:rsidR="009771D5" w:rsidRDefault="00000000">
      <w:pPr>
        <w:pStyle w:val="GemastikHeading2"/>
        <w:keepNext/>
      </w:pPr>
      <w:r>
        <w:t>PEMILIHAN TUJUAN PADA PONSEL</w:t>
      </w:r>
    </w:p>
    <w:p w14:paraId="0D30C22E" w14:textId="77777777" w:rsidR="009771D5" w:rsidRDefault="00000000">
      <w:pPr>
        <w:pStyle w:val="GemastikBody"/>
      </w:pPr>
      <w:r>
        <w:t>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14:paraId="22962419" w14:textId="77777777" w:rsidR="009771D5" w:rsidRDefault="00000000">
      <w:pPr>
        <w:pStyle w:val="GemastikBody"/>
        <w:ind w:left="284" w:hanging="284"/>
      </w:pPr>
      <w:r>
        <w:lastRenderedPageBreak/>
        <w:t>1)</w:t>
      </w:r>
      <w:r>
        <w:tab/>
        <w:t>TEA atau zona hijau yang masih terjangkau, dipilih yang tercepat; jika sama cepat, TEA didahulukan.</w:t>
      </w:r>
    </w:p>
    <w:p w14:paraId="74F38E33" w14:textId="77777777" w:rsidR="009771D5" w:rsidRDefault="00000000">
      <w:pPr>
        <w:pStyle w:val="GemastikBody"/>
        <w:ind w:left="284" w:hanging="284"/>
      </w:pPr>
      <w:r>
        <w:t>2)</w:t>
      </w:r>
      <w:r>
        <w:tab/>
        <w:t>TES dari porsi daya tampung yang masih terjangkau. Pilihan diundi berbobot porsi dengan nilai pemilih dari kode keluarga sehingga anggota keluarga pada titik awal dan waktu yang sama memperoleh TES yang sama.</w:t>
      </w:r>
    </w:p>
    <w:p w14:paraId="3EA3206E" w14:textId="77777777" w:rsidR="009771D5" w:rsidRDefault="00000000">
      <w:pPr>
        <w:pStyle w:val="GemastikBody"/>
        <w:ind w:left="284" w:hanging="284"/>
      </w:pPr>
      <w:r>
        <w:t>3)</w:t>
      </w:r>
      <w:r>
        <w:tab/>
        <w:t>TES terjangkau yang terjauh dari pantai, asalkan sedikitnya 50 m lebih jauh daripada TES tercepat.</w:t>
      </w:r>
    </w:p>
    <w:p w14:paraId="131FF700" w14:textId="77777777" w:rsidR="009771D5" w:rsidRDefault="00000000">
      <w:pPr>
        <w:pStyle w:val="GemastikBody"/>
        <w:ind w:left="284" w:hanging="284"/>
      </w:pPr>
      <w:r>
        <w:t>4)</w:t>
      </w:r>
      <w:r>
        <w:tab/>
        <w:t>Tujuan tercepat di antara pilihan yang tersimpan.</w:t>
      </w:r>
    </w:p>
    <w:p w14:paraId="4C538913" w14:textId="77777777" w:rsidR="009771D5" w:rsidRDefault="00000000">
      <w:pPr>
        <w:pStyle w:val="GemastikBody"/>
      </w:pPr>
      <w:r>
        <w:t>Setelah dipilih, tujuan dipertahankan agar tidak berganti-ganti. Jika tujuan tidak lagi terjangkau meskipun pengguna berjalan cepat, aplikasi menawarkan pilihan yang setidaknya 2 menit lebih singkat, dan tujuan baru dipakai setelah pengguna menekan “Pindah”.</w:t>
      </w:r>
    </w:p>
    <w:p w14:paraId="3BBE8215" w14:textId="77777777" w:rsidR="009771D5" w:rsidRDefault="00000000">
      <w:pPr>
        <w:pStyle w:val="GemastikHeading2"/>
        <w:keepNext/>
      </w:pPr>
      <w:r>
        <w:t>ARSITEKTUR DAN NAVIGASI LURING</w:t>
      </w:r>
    </w:p>
    <w:p w14:paraId="169133DA" w14:textId="77777777" w:rsidR="009771D5" w:rsidRDefault="00000000">
      <w:pPr>
        <w:pStyle w:val="GemastikBody"/>
      </w:pPr>
      <w:r>
        <w:t xml:space="preserve">Siaga Padang terdiri atas persiapan data, aplikasi Android, dan server (Gambar 1). Basis data SQLite yang hanya dibaca dan peta dasar vektor 8,1 MB disertakan dalam berkas pemasangan sehingga status zona, tujuan, jalur, dan peta tersedia tanpa jaringan. Saat evakuasi, aplikasi membaca posisi dari </w:t>
      </w:r>
      <w:r>
        <w:rPr>
          <w:i/>
        </w:rPr>
        <w:t>Global Positioning System</w:t>
      </w:r>
      <w:r>
        <w:t xml:space="preserve"> (GPS) dan arah hadap dari kompas, mencari simpul terdekat, mengambil jalurnya, lalu merangkai bentuk ruas menjadi garis di peta; urutan koordinat ruas dibalik bila berlawanan dengan arah perjalanan. Ponsel tidak menjalankan pencarian lintasan.</w:t>
      </w:r>
    </w:p>
    <w:p w14:paraId="5B7EEBF7" w14:textId="77777777" w:rsidR="009771D5" w:rsidRDefault="00000000">
      <w:pPr>
        <w:pStyle w:val="GemastikBody"/>
      </w:pPr>
      <w:r>
        <w:t>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sejauh 40 m pada tiga pembacaan berturut-turut, jalur dibaca ulang dari jalan tersebut. Kedatangan dikonfirmasi setelah tiga pembacaan berturut-turut berada paling jauh 20 m dari tujuan dengan ketelitian posisi paling besar 35 m, atau berada di luar zona merah untuk tujuan zona hijau. Layar hanya menampilkan satu instruksi utama pada satu waktu untuk mengurangi beban berpikir saat panik [22].</w:t>
      </w:r>
    </w:p>
    <w:p w14:paraId="2F2F3E4B" w14:textId="77777777" w:rsidR="009771D5" w:rsidRDefault="00000000">
      <w:pPr>
        <w:pStyle w:val="GemastikBody"/>
      </w:pPr>
      <w: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Pr>
          <w:i/>
        </w:rPr>
        <w:t>dashboard</w:t>
      </w:r>
      <w:r>
        <w:t xml:space="preserve"> Ruang Kendali Siaga Padang (RKSP) untuk mengirim peringatan latihan dan melihat rekap lapor selamat. Permintaan ke server dibatasi 1 detik untuk tersambung dan 2 detik untuk menerima jawaban, lalu aplikasi tetap memakai data di ponsel.</w:t>
      </w:r>
    </w:p>
    <w:p w14:paraId="42759BBD" w14:textId="77777777" w:rsidR="009771D5" w:rsidRDefault="00000000">
      <w:pPr>
        <w:pStyle w:val="GemastikHeading2"/>
        <w:keepNext/>
      </w:pPr>
      <w:r>
        <w:t>RANCANGAN PENGUJIAN</w:t>
      </w:r>
    </w:p>
    <w:p w14:paraId="34E468FE" w14:textId="77777777" w:rsidR="009771D5" w:rsidRDefault="00000000">
      <w:pPr>
        <w:pStyle w:val="GemastikBody"/>
      </w:pPr>
      <w:r>
        <w:t xml:space="preserve">Pengujian terdiri atas uji unit, uji teknis, uji pengguna, dan analisis keterjangkauan. Uji teknis memeriksa navigasi dalam mode pesawat, waktu penyajian arahan di bawah 1 detik, selisih hasil antarponsel paling banyak 1 detik, ukuran basis data paling besar 75 MB, dan kontras warna minimal 4,5:1 menurut </w:t>
      </w:r>
      <w:r>
        <w:rPr>
          <w:i/>
        </w:rPr>
        <w:t>Web Content Accessibility Guidelines</w:t>
      </w:r>
      <w:r>
        <w:t xml:space="preserve"> (WCAG) 2.1 [23].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14:paraId="399CAF1E" w14:textId="77777777" w:rsidR="009771D5" w:rsidRDefault="00000000">
      <w:pPr>
        <w:pStyle w:val="GemastikHeading1"/>
        <w:keepNext/>
        <w:numPr>
          <w:ilvl w:val="0"/>
          <w:numId w:val="22"/>
        </w:numPr>
        <w:ind w:left="284" w:hanging="284"/>
      </w:pPr>
      <w:r>
        <w:t>HASIL DAN DISKUSI</w:t>
      </w:r>
    </w:p>
    <w:p w14:paraId="4AF6D961" w14:textId="77777777" w:rsidR="009771D5" w:rsidRDefault="00000000">
      <w:pPr>
        <w:pStyle w:val="GemastikHeading2"/>
        <w:keepNext/>
        <w:numPr>
          <w:ilvl w:val="0"/>
          <w:numId w:val="25"/>
        </w:numPr>
        <w:ind w:left="289" w:hanging="289"/>
      </w:pPr>
      <w:r>
        <w:t>IMPLEMENTASI</w:t>
      </w:r>
    </w:p>
    <w:p w14:paraId="7AFE4303" w14:textId="1356A2AA" w:rsidR="009771D5" w:rsidRDefault="00000000">
      <w:pPr>
        <w:pStyle w:val="GemastikBody"/>
      </w:pPr>
      <w:r>
        <w:t xml:space="preserve">Aplikasi dibangun dengan Kotlin, Jetpack Compose, MapLibre, dan Room. Versi 0.3.1 </w:t>
      </w:r>
      <w:r w:rsidR="00327149">
        <w:t>menggunakan</w:t>
      </w:r>
      <w:r>
        <w:t xml:space="preserve"> basis data 2026.10.18 berukuran 36,97 MB, dan 531 kasus uji unit lulus. Gambar 2 memperlihatkan layar arahan dalam mode pesawat, jendela peringatan latihan, dan layar kedatangan dengan tombol lapor selamat. Fitur pendukung meliputi rencana titik temu keluarga yang dapat dibagikan melalui kode </w:t>
      </w:r>
      <w:r>
        <w:rPr>
          <w:i/>
        </w:rPr>
        <w:t>Quick Response</w:t>
      </w:r>
      <w:r>
        <w:t xml:space="preserve"> (QR) tanpa internet, mode latihan, </w:t>
      </w:r>
      <w:r>
        <w:rPr>
          <w:i/>
        </w:rPr>
        <w:t>widget</w:t>
      </w:r>
      <w:r>
        <w:t xml:space="preserve"> layar utama, dan pengingat saat memasuki zona merah.</w:t>
      </w:r>
    </w:p>
    <w:p w14:paraId="075DD60F"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35E9BC9D" w14:textId="77777777" w:rsidR="009771D5" w:rsidRDefault="00000000">
      <w:pPr>
        <w:keepNext/>
        <w:jc w:val="center"/>
      </w:pPr>
      <w:r>
        <w:rPr>
          <w:noProof/>
        </w:rPr>
        <w:drawing>
          <wp:inline distT="0" distB="0" distL="0" distR="0" wp14:anchorId="3D74E1A8" wp14:editId="4801CEF6">
            <wp:extent cx="4194000" cy="3017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4194000" cy="3017485"/>
                    </a:xfrm>
                    <a:prstGeom prst="rect">
                      <a:avLst/>
                    </a:prstGeom>
                  </pic:spPr>
                </pic:pic>
              </a:graphicData>
            </a:graphic>
          </wp:inline>
        </w:drawing>
      </w:r>
    </w:p>
    <w:p w14:paraId="62F5B198"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p w14:paraId="06AAF6E7" w14:textId="77777777" w:rsidR="009771D5" w:rsidRDefault="009771D5">
      <w:pPr>
        <w:pStyle w:val="IEEEParagraph"/>
        <w:sectPr w:rsidR="009771D5" w:rsidSect="004C669A">
          <w:type w:val="continuous"/>
          <w:pgSz w:w="11906" w:h="16838"/>
          <w:pgMar w:top="1304" w:right="737" w:bottom="1021" w:left="737" w:header="431" w:footer="431" w:gutter="0"/>
          <w:cols w:space="238"/>
          <w:docGrid w:linePitch="360"/>
        </w:sectPr>
      </w:pPr>
    </w:p>
    <w:p w14:paraId="67CEB7DC" w14:textId="77777777" w:rsidR="009771D5" w:rsidRDefault="00000000">
      <w:pPr>
        <w:pStyle w:val="GemastikHeading2"/>
        <w:keepNext/>
      </w:pPr>
      <w:r>
        <w:lastRenderedPageBreak/>
        <w:t>PENGUJIAN TEKNIS</w:t>
      </w:r>
    </w:p>
    <w:p w14:paraId="007058C1" w14:textId="1632C588" w:rsidR="009771D5" w:rsidRDefault="00000000">
      <w:pPr>
        <w:pStyle w:val="GemastikBody"/>
      </w:pPr>
      <w: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Pengujian terpisah pada tujuh ponsel dengan 20 koordinat menghasilkan simpul awal, zona, tujuan, dan waktu tempuh yang sama </w:t>
      </w:r>
      <w:r w:rsidR="00C80CE4">
        <w:t>pada</w:t>
      </w:r>
      <w:r>
        <w:t xml:space="preserve"> semua ponsel, dengan selisih waktu pemrosesan paling besar 675 ms (Gambar 3). Kedua pengukuran </w:t>
      </w:r>
      <w:r w:rsidR="00327149">
        <w:t>menggunakan</w:t>
      </w:r>
      <w:r>
        <w:t xml:space="preserve"> versi data dan perangkat yang berbeda sehingga dilaporkan terpisah, sedangkan uji mode pesawat baru dilakukan pada satu ponsel.</w:t>
      </w:r>
    </w:p>
    <w:p w14:paraId="710991D1"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71C8279D" w14:textId="77777777">
        <w:trPr>
          <w:jc w:val="center"/>
        </w:trPr>
        <w:tc>
          <w:tcPr>
            <w:tcW w:w="1404" w:type="dxa"/>
          </w:tcPr>
          <w:p w14:paraId="172BF77D" w14:textId="77777777" w:rsidR="009771D5" w:rsidRDefault="00000000">
            <w:pPr>
              <w:pStyle w:val="IEEETableHeaderCentered"/>
            </w:pPr>
            <w:proofErr w:type="spellStart"/>
            <w:r>
              <w:t>Pengujian</w:t>
            </w:r>
            <w:proofErr w:type="spellEnd"/>
          </w:p>
        </w:tc>
        <w:tc>
          <w:tcPr>
            <w:tcW w:w="2507" w:type="dxa"/>
          </w:tcPr>
          <w:p w14:paraId="0CC23F78" w14:textId="77777777" w:rsidR="009771D5" w:rsidRDefault="00000000">
            <w:pPr>
              <w:pStyle w:val="IEEETableHeaderCentered"/>
            </w:pPr>
            <w:r>
              <w:t>Hasil</w:t>
            </w:r>
          </w:p>
        </w:tc>
        <w:tc>
          <w:tcPr>
            <w:tcW w:w="1103" w:type="dxa"/>
          </w:tcPr>
          <w:p w14:paraId="130995E5" w14:textId="77777777" w:rsidR="009771D5" w:rsidRDefault="00000000">
            <w:pPr>
              <w:pStyle w:val="IEEETableHeaderCentered"/>
            </w:pPr>
            <w:r>
              <w:t>Target</w:t>
            </w:r>
          </w:p>
        </w:tc>
      </w:tr>
      <w:tr w:rsidR="009771D5" w14:paraId="4B18BBE6" w14:textId="77777777">
        <w:trPr>
          <w:jc w:val="center"/>
        </w:trPr>
        <w:tc>
          <w:tcPr>
            <w:tcW w:w="1404" w:type="dxa"/>
          </w:tcPr>
          <w:p w14:paraId="26A49F6F" w14:textId="77777777" w:rsidR="009771D5" w:rsidRDefault="00000000">
            <w:pPr>
              <w:pStyle w:val="IEEETableCell"/>
            </w:pPr>
            <w:r>
              <w:t xml:space="preserve">Mode </w:t>
            </w:r>
            <w:proofErr w:type="spellStart"/>
            <w:r>
              <w:t>pesawat</w:t>
            </w:r>
            <w:proofErr w:type="spellEnd"/>
          </w:p>
        </w:tc>
        <w:tc>
          <w:tcPr>
            <w:tcW w:w="2507" w:type="dxa"/>
          </w:tcPr>
          <w:p w14:paraId="1485204C"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5234B536"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239513B6" w14:textId="77777777">
        <w:trPr>
          <w:jc w:val="center"/>
        </w:trPr>
        <w:tc>
          <w:tcPr>
            <w:tcW w:w="1404" w:type="dxa"/>
          </w:tcPr>
          <w:p w14:paraId="0EED33E2" w14:textId="77777777" w:rsidR="009771D5" w:rsidRDefault="00000000">
            <w:pPr>
              <w:pStyle w:val="IEEETableCell"/>
            </w:pPr>
            <w:r>
              <w:t xml:space="preserve">Waktu </w:t>
            </w:r>
            <w:proofErr w:type="spellStart"/>
            <w:r>
              <w:t>penyajian</w:t>
            </w:r>
            <w:proofErr w:type="spellEnd"/>
            <w:r>
              <w:t xml:space="preserve"> </w:t>
            </w:r>
            <w:proofErr w:type="spellStart"/>
            <w:r>
              <w:t>arahan</w:t>
            </w:r>
            <w:proofErr w:type="spellEnd"/>
          </w:p>
        </w:tc>
        <w:tc>
          <w:tcPr>
            <w:tcW w:w="2507" w:type="dxa"/>
          </w:tcPr>
          <w:p w14:paraId="3CEC29F6"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4B12996F" w14:textId="77777777" w:rsidR="009771D5" w:rsidRDefault="00000000">
            <w:pPr>
              <w:pStyle w:val="IEEETableCell"/>
              <w:jc w:val="center"/>
            </w:pPr>
            <w:r>
              <w:t xml:space="preserve">&lt; 1 </w:t>
            </w:r>
            <w:proofErr w:type="spellStart"/>
            <w:r>
              <w:t>detik</w:t>
            </w:r>
            <w:proofErr w:type="spellEnd"/>
          </w:p>
        </w:tc>
      </w:tr>
      <w:tr w:rsidR="009771D5" w14:paraId="328BD289" w14:textId="77777777">
        <w:trPr>
          <w:jc w:val="center"/>
        </w:trPr>
        <w:tc>
          <w:tcPr>
            <w:tcW w:w="1404" w:type="dxa"/>
          </w:tcPr>
          <w:p w14:paraId="29220589"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193B1923"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0B400851" w14:textId="77777777" w:rsidR="009771D5" w:rsidRDefault="00000000">
            <w:pPr>
              <w:pStyle w:val="IEEETableCell"/>
              <w:jc w:val="center"/>
            </w:pPr>
            <w:r>
              <w:t xml:space="preserve">≤ 1 </w:t>
            </w:r>
            <w:proofErr w:type="spellStart"/>
            <w:r>
              <w:t>detik</w:t>
            </w:r>
            <w:proofErr w:type="spellEnd"/>
          </w:p>
        </w:tc>
      </w:tr>
      <w:tr w:rsidR="009771D5" w14:paraId="5F36851D" w14:textId="77777777">
        <w:trPr>
          <w:jc w:val="center"/>
        </w:trPr>
        <w:tc>
          <w:tcPr>
            <w:tcW w:w="1404" w:type="dxa"/>
          </w:tcPr>
          <w:p w14:paraId="391893B5" w14:textId="77777777" w:rsidR="009771D5" w:rsidRDefault="00000000">
            <w:pPr>
              <w:pStyle w:val="IEEETableCell"/>
            </w:pPr>
            <w:proofErr w:type="spellStart"/>
            <w:r>
              <w:t>Ukuran</w:t>
            </w:r>
            <w:proofErr w:type="spellEnd"/>
            <w:r>
              <w:t xml:space="preserve"> basis data</w:t>
            </w:r>
          </w:p>
        </w:tc>
        <w:tc>
          <w:tcPr>
            <w:tcW w:w="2507" w:type="dxa"/>
          </w:tcPr>
          <w:p w14:paraId="7EE75A98" w14:textId="77777777" w:rsidR="009771D5" w:rsidRDefault="00000000">
            <w:pPr>
              <w:pStyle w:val="IEEETableCell"/>
              <w:jc w:val="center"/>
            </w:pPr>
            <w:r>
              <w:t>36,97 MB</w:t>
            </w:r>
          </w:p>
        </w:tc>
        <w:tc>
          <w:tcPr>
            <w:tcW w:w="1103" w:type="dxa"/>
          </w:tcPr>
          <w:p w14:paraId="0C8B833D" w14:textId="77777777" w:rsidR="009771D5" w:rsidRDefault="00000000">
            <w:pPr>
              <w:pStyle w:val="IEEETableCell"/>
              <w:jc w:val="center"/>
            </w:pPr>
            <w:r>
              <w:t>≤ 75 MB</w:t>
            </w:r>
          </w:p>
        </w:tc>
      </w:tr>
      <w:tr w:rsidR="009771D5" w14:paraId="74A49978" w14:textId="77777777">
        <w:trPr>
          <w:jc w:val="center"/>
        </w:trPr>
        <w:tc>
          <w:tcPr>
            <w:tcW w:w="1404" w:type="dxa"/>
          </w:tcPr>
          <w:p w14:paraId="499D8E17" w14:textId="77777777" w:rsidR="009771D5" w:rsidRDefault="00000000">
            <w:pPr>
              <w:pStyle w:val="IEEETableCell"/>
            </w:pPr>
            <w:r>
              <w:t xml:space="preserve">Kontras </w:t>
            </w:r>
            <w:proofErr w:type="spellStart"/>
            <w:r>
              <w:t>warna</w:t>
            </w:r>
            <w:proofErr w:type="spellEnd"/>
          </w:p>
        </w:tc>
        <w:tc>
          <w:tcPr>
            <w:tcW w:w="2507" w:type="dxa"/>
          </w:tcPr>
          <w:p w14:paraId="3C60D90E"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6A73B99D" w14:textId="77777777" w:rsidR="009771D5" w:rsidRDefault="00000000">
            <w:pPr>
              <w:pStyle w:val="IEEETableCell"/>
              <w:jc w:val="center"/>
            </w:pPr>
            <w:r>
              <w:t>≥ 4,5:1</w:t>
            </w:r>
          </w:p>
        </w:tc>
      </w:tr>
      <w:tr w:rsidR="009771D5" w14:paraId="59B50011" w14:textId="77777777">
        <w:trPr>
          <w:jc w:val="center"/>
        </w:trPr>
        <w:tc>
          <w:tcPr>
            <w:tcW w:w="1404" w:type="dxa"/>
          </w:tcPr>
          <w:p w14:paraId="69A07DD6" w14:textId="77777777" w:rsidR="009771D5" w:rsidRDefault="00000000">
            <w:pPr>
              <w:pStyle w:val="IEEETableCell"/>
            </w:pPr>
            <w:r>
              <w:t>Uji unit</w:t>
            </w:r>
          </w:p>
        </w:tc>
        <w:tc>
          <w:tcPr>
            <w:tcW w:w="2507" w:type="dxa"/>
          </w:tcPr>
          <w:p w14:paraId="4D0874A6"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586FF273" w14:textId="77777777" w:rsidR="009771D5" w:rsidRDefault="00000000">
            <w:pPr>
              <w:pStyle w:val="IEEETableCell"/>
              <w:jc w:val="center"/>
            </w:pPr>
            <w:proofErr w:type="spellStart"/>
            <w:r>
              <w:t>Semua</w:t>
            </w:r>
            <w:proofErr w:type="spellEnd"/>
            <w:r>
              <w:t xml:space="preserve"> lulus</w:t>
            </w:r>
          </w:p>
        </w:tc>
      </w:tr>
    </w:tbl>
    <w:p w14:paraId="32CFABF3" w14:textId="77777777" w:rsidR="009771D5" w:rsidRDefault="00000000">
      <w:pPr>
        <w:keepNext/>
        <w:jc w:val="center"/>
      </w:pPr>
      <w:r>
        <w:drawing>
          <wp:inline xmlns:a="http://schemas.openxmlformats.org/drawingml/2006/main" xmlns:pic="http://schemas.openxmlformats.org/drawingml/2006/picture">
            <wp:extent cx="3204000" cy="1943897"/>
            <wp:docPr id="3" name="Picture 3"/>
            <wp:cNvGraphicFramePr>
              <a:graphicFrameLocks noChangeAspect="1"/>
            </wp:cNvGraphicFramePr>
            <a:graphic>
              <a:graphicData uri="http://schemas.openxmlformats.org/drawingml/2006/picture">
                <pic:pic>
                  <pic:nvPicPr>
                    <pic:cNvPr id="0" name="makalah_waktu_ponsel.png"/>
                    <pic:cNvPicPr/>
                  </pic:nvPicPr>
                  <pic:blipFill>
                    <a:blip r:embed="rId21"/>
                    <a:stretch>
                      <a:fillRect/>
                    </a:stretch>
                  </pic:blipFill>
                  <pic:spPr>
                    <a:xfrm>
                      <a:off x="0" y="0"/>
                      <a:ext cx="3204000" cy="1943897"/>
                    </a:xfrm>
                    <a:prstGeom prst="rect"/>
                  </pic:spPr>
                </pic:pic>
              </a:graphicData>
            </a:graphic>
          </wp:inline>
        </w:drawing>
      </w:r>
    </w:p>
    <w:p w14:paraId="62F5B198" w14:textId="77777777" w:rsidR="009771D5" w:rsidRDefault="00000000">
      <w:pPr>
        <w:pStyle w:val="GemastikCaptionGambar"/>
        <w:jc w:val="both"/>
      </w:pPr>
      <w:r>
        <w:rPr>
          <w:b/>
        </w:rPr>
        <w:t>Gambar 3.</w:t>
      </w:r>
      <w:r>
        <w:t xml:space="preserve"> Waktu pemrosesan arahan pada tujuh ponsel dengan 20 koordinat yang sama (data 2026.10.16); seluruh nilai berada di bawah target 1 detik.</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FD0614C" w14:textId="77777777" w:rsidR="009771D5" w:rsidRDefault="00000000">
      <w:pPr>
        <w:pStyle w:val="GemastikHeading2"/>
        <w:keepNext/>
      </w:pPr>
      <w:r>
        <w:t>UJI PENGGUNA</w:t>
      </w:r>
    </w:p>
    <w:p w14:paraId="48316146" w14:textId="77777777" w:rsidR="009771D5" w:rsidRDefault="00000000">
      <w:pPr>
        <w:pStyle w:val="GemastikBody"/>
      </w:pPr>
      <w:r>
        <w:t>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 Dengan peta cetak, 20 peserta benar dan 5 peserta tidak berhasil, termasuk 1 peserta yang menyerah pada detik ke-35. Waktu kelompok mahasiswa tidak dihitung karena peserta dapat mendengar jawaban orang sebelumnya, dan durasi kedua cara tidak dibandingkan langsung karena urutan dan lokasi tugasnya berbeda.</w:t>
      </w:r>
    </w:p>
    <w:p w14:paraId="296D8AE8"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7008F4E7" w14:textId="77777777">
        <w:trPr>
          <w:jc w:val="center"/>
        </w:trPr>
        <w:tc>
          <w:tcPr>
            <w:tcW w:w="2006" w:type="dxa"/>
          </w:tcPr>
          <w:p w14:paraId="6A769CE7" w14:textId="77777777" w:rsidR="009771D5" w:rsidRDefault="00000000">
            <w:pPr>
              <w:pStyle w:val="IEEETableHeaderCentered"/>
            </w:pPr>
            <w:proofErr w:type="spellStart"/>
            <w:r>
              <w:t>Aspek</w:t>
            </w:r>
            <w:proofErr w:type="spellEnd"/>
          </w:p>
        </w:tc>
        <w:tc>
          <w:tcPr>
            <w:tcW w:w="1504" w:type="dxa"/>
          </w:tcPr>
          <w:p w14:paraId="636E33B7" w14:textId="77777777" w:rsidR="009771D5" w:rsidRDefault="00000000">
            <w:pPr>
              <w:pStyle w:val="IEEETableHeaderCentered"/>
            </w:pPr>
            <w:proofErr w:type="spellStart"/>
            <w:r>
              <w:t>Aplikasi</w:t>
            </w:r>
            <w:proofErr w:type="spellEnd"/>
          </w:p>
        </w:tc>
        <w:tc>
          <w:tcPr>
            <w:tcW w:w="1504" w:type="dxa"/>
          </w:tcPr>
          <w:p w14:paraId="15C2DF9B" w14:textId="77777777" w:rsidR="009771D5" w:rsidRDefault="00000000">
            <w:pPr>
              <w:pStyle w:val="IEEETableHeaderCentered"/>
            </w:pPr>
            <w:r>
              <w:t xml:space="preserve">Peta </w:t>
            </w:r>
            <w:proofErr w:type="spellStart"/>
            <w:r>
              <w:t>cetak</w:t>
            </w:r>
            <w:proofErr w:type="spellEnd"/>
          </w:p>
        </w:tc>
      </w:tr>
      <w:tr w:rsidR="009771D5" w14:paraId="60F670FB" w14:textId="77777777">
        <w:trPr>
          <w:jc w:val="center"/>
        </w:trPr>
        <w:tc>
          <w:tcPr>
            <w:tcW w:w="2006" w:type="dxa"/>
          </w:tcPr>
          <w:p w14:paraId="22A83995" w14:textId="77777777" w:rsidR="009771D5" w:rsidRDefault="00000000">
            <w:pPr>
              <w:pStyle w:val="IEEETableCell"/>
            </w:pPr>
            <w:proofErr w:type="spellStart"/>
            <w:r>
              <w:t>Peserta</w:t>
            </w:r>
            <w:proofErr w:type="spellEnd"/>
          </w:p>
        </w:tc>
        <w:tc>
          <w:tcPr>
            <w:tcW w:w="1504" w:type="dxa"/>
          </w:tcPr>
          <w:p w14:paraId="2AB5BFC1" w14:textId="77777777" w:rsidR="009771D5" w:rsidRDefault="00000000">
            <w:pPr>
              <w:pStyle w:val="IEEETableCell"/>
              <w:jc w:val="center"/>
            </w:pPr>
            <w:r>
              <w:t>25</w:t>
            </w:r>
          </w:p>
        </w:tc>
        <w:tc>
          <w:tcPr>
            <w:tcW w:w="1504" w:type="dxa"/>
          </w:tcPr>
          <w:p w14:paraId="198A128D" w14:textId="77777777" w:rsidR="009771D5" w:rsidRDefault="00000000">
            <w:pPr>
              <w:pStyle w:val="IEEETableCell"/>
              <w:jc w:val="center"/>
            </w:pPr>
            <w:r>
              <w:t>25</w:t>
            </w:r>
          </w:p>
        </w:tc>
      </w:tr>
      <w:tr w:rsidR="009771D5" w14:paraId="32BEE9DF" w14:textId="77777777">
        <w:trPr>
          <w:jc w:val="center"/>
        </w:trPr>
        <w:tc>
          <w:tcPr>
            <w:tcW w:w="2006" w:type="dxa"/>
          </w:tcPr>
          <w:p w14:paraId="69592B24" w14:textId="77777777" w:rsidR="009771D5" w:rsidRDefault="00000000">
            <w:pPr>
              <w:pStyle w:val="IEEETableCell"/>
            </w:pPr>
            <w:r>
              <w:t xml:space="preserve">Arah </w:t>
            </w:r>
            <w:proofErr w:type="spellStart"/>
            <w:r>
              <w:t>benar</w:t>
            </w:r>
            <w:proofErr w:type="spellEnd"/>
          </w:p>
        </w:tc>
        <w:tc>
          <w:tcPr>
            <w:tcW w:w="1504" w:type="dxa"/>
          </w:tcPr>
          <w:p w14:paraId="1CD8FBBE" w14:textId="77777777" w:rsidR="009771D5" w:rsidRDefault="00000000">
            <w:pPr>
              <w:pStyle w:val="IEEETableCell"/>
              <w:jc w:val="center"/>
            </w:pPr>
            <w:r>
              <w:t>25 (100%)</w:t>
            </w:r>
          </w:p>
        </w:tc>
        <w:tc>
          <w:tcPr>
            <w:tcW w:w="1504" w:type="dxa"/>
          </w:tcPr>
          <w:p w14:paraId="4B3E5E92" w14:textId="77777777" w:rsidR="009771D5" w:rsidRDefault="00000000">
            <w:pPr>
              <w:pStyle w:val="IEEETableCell"/>
              <w:jc w:val="center"/>
            </w:pPr>
            <w:r>
              <w:t>20 (80%)</w:t>
            </w:r>
          </w:p>
        </w:tc>
      </w:tr>
      <w:tr w:rsidR="009771D5" w14:paraId="3E9BA18A" w14:textId="77777777">
        <w:trPr>
          <w:jc w:val="center"/>
        </w:trPr>
        <w:tc>
          <w:tcPr>
            <w:tcW w:w="2006" w:type="dxa"/>
          </w:tcPr>
          <w:p w14:paraId="6F14BE13" w14:textId="77777777" w:rsidR="009771D5" w:rsidRDefault="00000000">
            <w:pPr>
              <w:pStyle w:val="IEEETableCell"/>
            </w:pPr>
            <w:r>
              <w:t xml:space="preserve">Tidak </w:t>
            </w:r>
            <w:proofErr w:type="spellStart"/>
            <w:r>
              <w:t>berhasil</w:t>
            </w:r>
            <w:proofErr w:type="spellEnd"/>
          </w:p>
        </w:tc>
        <w:tc>
          <w:tcPr>
            <w:tcW w:w="1504" w:type="dxa"/>
          </w:tcPr>
          <w:p w14:paraId="09CCE0C2" w14:textId="77777777" w:rsidR="009771D5" w:rsidRDefault="00000000">
            <w:pPr>
              <w:pStyle w:val="IEEETableCell"/>
              <w:jc w:val="center"/>
            </w:pPr>
            <w:r>
              <w:t>–</w:t>
            </w:r>
          </w:p>
        </w:tc>
        <w:tc>
          <w:tcPr>
            <w:tcW w:w="1504" w:type="dxa"/>
          </w:tcPr>
          <w:p w14:paraId="13D71DB7" w14:textId="77777777" w:rsidR="009771D5" w:rsidRDefault="00000000">
            <w:pPr>
              <w:pStyle w:val="IEEETableCell"/>
              <w:jc w:val="center"/>
            </w:pPr>
            <w:r>
              <w:t>5</w:t>
            </w:r>
          </w:p>
        </w:tc>
      </w:tr>
      <w:tr w:rsidR="009771D5" w14:paraId="5F5647ED" w14:textId="77777777">
        <w:trPr>
          <w:jc w:val="center"/>
        </w:trPr>
        <w:tc>
          <w:tcPr>
            <w:tcW w:w="2006" w:type="dxa"/>
          </w:tcPr>
          <w:p w14:paraId="7390FD7A"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1C592310" w14:textId="77777777" w:rsidR="009771D5" w:rsidRDefault="00000000">
            <w:pPr>
              <w:pStyle w:val="IEEETableCell"/>
              <w:jc w:val="center"/>
            </w:pPr>
            <w:r>
              <w:t xml:space="preserve">5–8 (15 </w:t>
            </w:r>
            <w:proofErr w:type="spellStart"/>
            <w:r>
              <w:t>peserta</w:t>
            </w:r>
            <w:proofErr w:type="spellEnd"/>
            <w:r>
              <w:t>)</w:t>
            </w:r>
          </w:p>
        </w:tc>
        <w:tc>
          <w:tcPr>
            <w:tcW w:w="1504" w:type="dxa"/>
          </w:tcPr>
          <w:p w14:paraId="22A2EC77" w14:textId="77777777" w:rsidR="009771D5" w:rsidRDefault="00000000">
            <w:pPr>
              <w:pStyle w:val="IEEETableCell"/>
              <w:jc w:val="center"/>
            </w:pPr>
            <w:r>
              <w:t xml:space="preserve">10–58 (15 </w:t>
            </w:r>
            <w:proofErr w:type="spellStart"/>
            <w:r>
              <w:t>peserta</w:t>
            </w:r>
            <w:proofErr w:type="spellEnd"/>
            <w:r>
              <w:t>)</w:t>
            </w:r>
          </w:p>
        </w:tc>
      </w:tr>
    </w:tbl>
    <w:p w14:paraId="0C123FDE" w14:textId="485C52C5" w:rsidR="009771D5" w:rsidRDefault="00000000">
      <w:pPr>
        <w:pStyle w:val="GemastikBody"/>
      </w:pPr>
      <w:r>
        <w:t xml:space="preserve">Dua peserta melanjutkan uji dengan berjalan ke TES. Peserta yang </w:t>
      </w:r>
      <w:r w:rsidR="00327149">
        <w:t>menggunakan internet tiba dalam 9 menit dengan perkiraan</w:t>
      </w:r>
      <w:r>
        <w:t xml:space="preserve"> 18 menit, sedangkan peserta dalam mode pesawat tiba dalam 7 menit dengan perkiraan 12 menit. Perkiraan aplikasi lebih lama karena </w:t>
      </w:r>
      <w:r w:rsidR="00327149">
        <w:t>menggunakan</w:t>
      </w:r>
      <w:r>
        <w:t xml:space="preserve"> laju perencanaan 0,894 m/s. Masukan peserta, seperti tampilan awal yang lebih sederhana, nomor darurat, ikon yang lebih jelas, dan warna yang lebih </w:t>
      </w:r>
      <w:r>
        <w:t>nyaman, digunakan untuk menyusun ulang Beranda dan penanda TES dan TEA pada desain akhir.</w:t>
      </w:r>
    </w:p>
    <w:p w14:paraId="3328E949" w14:textId="77777777" w:rsidR="009771D5" w:rsidRDefault="00000000">
      <w:pPr>
        <w:pStyle w:val="GemastikHeading2"/>
        <w:keepNext/>
      </w:pPr>
      <w:r>
        <w:t>KETERJANGKAUAN DAN BEBAN TES</w:t>
      </w:r>
    </w:p>
    <w:p w14:paraId="438A73DB" w14:textId="4FDDDD7D" w:rsidR="009771D5" w:rsidRDefault="00000000">
      <w:pPr>
        <w:pStyle w:val="GemastikBody"/>
      </w:pPr>
      <w:r>
        <w:t xml:space="preserve">Analisis jaringan memperkirakan 78,7% penduduk zona merah dapat mencapai tujuan tercepatnya dalam 20 menit. Tabel III membandingkan tiga aturan pemilihan tujuan dengan batas perjalanan 15 menit. Dibandingkan dengan aturan tujuan tercepat, aturan terbaru </w:t>
      </w:r>
      <w:r w:rsidR="00A45926">
        <w:t>meningkatkan proporsi penduduk yang memiliki tujuan dalam 15 menit dari 61,2% menjadi 69,1% dan menurunkan proporsi yang tiba dalam</w:t>
      </w:r>
      <w:r>
        <w:t xml:space="preserve"> 15–20 menit dari 17,5% menjadi 9,6%. Total kelebihan beban pada TES berdaya tampung tercatat turun dari 58.363 menjadi 44.264 jiwa (24,2%), walaupun jumlah TES yang terlampaui naik dari 43 menjadi 45. Karena itu, besarnya kelebihan beban lebih tepat </w:t>
      </w:r>
      <w:r w:rsidR="00327149">
        <w:t>digunakan</w:t>
      </w:r>
      <w:r>
        <w:t xml:space="preserve"> sebagai ukuran daripada jumlah TES yang terlampaui.</w:t>
      </w:r>
    </w:p>
    <w:p w14:paraId="318B6656"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1E553B57" w14:textId="77777777">
        <w:trPr>
          <w:jc w:val="center"/>
        </w:trPr>
        <w:tc>
          <w:tcPr>
            <w:tcW w:w="1604" w:type="dxa"/>
          </w:tcPr>
          <w:p w14:paraId="4BE1B98C" w14:textId="77777777" w:rsidR="009771D5" w:rsidRDefault="00000000">
            <w:pPr>
              <w:pStyle w:val="IEEETableHeaderCentered"/>
            </w:pPr>
            <w:proofErr w:type="spellStart"/>
            <w:r>
              <w:t>Aturan</w:t>
            </w:r>
            <w:proofErr w:type="spellEnd"/>
          </w:p>
        </w:tc>
        <w:tc>
          <w:tcPr>
            <w:tcW w:w="752" w:type="dxa"/>
          </w:tcPr>
          <w:p w14:paraId="2D981490" w14:textId="77777777" w:rsidR="009771D5" w:rsidRDefault="00000000">
            <w:pPr>
              <w:pStyle w:val="IEEETableHeaderCentered"/>
            </w:pPr>
            <w:r>
              <w:t xml:space="preserve">Tujuan ≤ 15 </w:t>
            </w:r>
            <w:proofErr w:type="spellStart"/>
            <w:r>
              <w:t>menit</w:t>
            </w:r>
            <w:proofErr w:type="spellEnd"/>
          </w:p>
        </w:tc>
        <w:tc>
          <w:tcPr>
            <w:tcW w:w="752" w:type="dxa"/>
          </w:tcPr>
          <w:p w14:paraId="3E59B6F3" w14:textId="77777777" w:rsidR="009771D5" w:rsidRDefault="00000000">
            <w:pPr>
              <w:pStyle w:val="IEEETableHeaderCentered"/>
            </w:pPr>
            <w:r>
              <w:t xml:space="preserve">15–20 </w:t>
            </w:r>
            <w:proofErr w:type="spellStart"/>
            <w:r>
              <w:t>menit</w:t>
            </w:r>
            <w:proofErr w:type="spellEnd"/>
          </w:p>
        </w:tc>
        <w:tc>
          <w:tcPr>
            <w:tcW w:w="802" w:type="dxa"/>
          </w:tcPr>
          <w:p w14:paraId="12CC4B91" w14:textId="77777777" w:rsidR="009771D5" w:rsidRDefault="00000000">
            <w:pPr>
              <w:pStyle w:val="IEEETableHeaderCentered"/>
            </w:pPr>
            <w:r>
              <w:t xml:space="preserve">TES </w:t>
            </w:r>
            <w:proofErr w:type="spellStart"/>
            <w:r>
              <w:t>terlampaui</w:t>
            </w:r>
            <w:proofErr w:type="spellEnd"/>
          </w:p>
        </w:tc>
        <w:tc>
          <w:tcPr>
            <w:tcW w:w="1103" w:type="dxa"/>
          </w:tcPr>
          <w:p w14:paraId="427BB17F"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4C919825" w14:textId="77777777">
        <w:trPr>
          <w:jc w:val="center"/>
        </w:trPr>
        <w:tc>
          <w:tcPr>
            <w:tcW w:w="1604" w:type="dxa"/>
          </w:tcPr>
          <w:p w14:paraId="46D24927" w14:textId="77777777" w:rsidR="009771D5" w:rsidRDefault="00000000">
            <w:pPr>
              <w:pStyle w:val="IEEETableCell"/>
            </w:pPr>
            <w:r>
              <w:t xml:space="preserve">Tujuan </w:t>
            </w:r>
            <w:proofErr w:type="spellStart"/>
            <w:r>
              <w:t>tercepat</w:t>
            </w:r>
            <w:proofErr w:type="spellEnd"/>
          </w:p>
        </w:tc>
        <w:tc>
          <w:tcPr>
            <w:tcW w:w="752" w:type="dxa"/>
          </w:tcPr>
          <w:p w14:paraId="0C4D4120" w14:textId="77777777" w:rsidR="009771D5" w:rsidRDefault="00000000">
            <w:pPr>
              <w:pStyle w:val="IEEETableCell"/>
              <w:jc w:val="center"/>
            </w:pPr>
            <w:r>
              <w:t>61,2%</w:t>
            </w:r>
          </w:p>
        </w:tc>
        <w:tc>
          <w:tcPr>
            <w:tcW w:w="752" w:type="dxa"/>
          </w:tcPr>
          <w:p w14:paraId="0AC827F1" w14:textId="77777777" w:rsidR="009771D5" w:rsidRDefault="00000000">
            <w:pPr>
              <w:pStyle w:val="IEEETableCell"/>
              <w:jc w:val="center"/>
            </w:pPr>
            <w:r>
              <w:t>17,5%</w:t>
            </w:r>
          </w:p>
        </w:tc>
        <w:tc>
          <w:tcPr>
            <w:tcW w:w="802" w:type="dxa"/>
          </w:tcPr>
          <w:p w14:paraId="3BB10EAF" w14:textId="77777777" w:rsidR="009771D5" w:rsidRDefault="00000000">
            <w:pPr>
              <w:pStyle w:val="IEEETableCell"/>
              <w:jc w:val="center"/>
            </w:pPr>
            <w:r>
              <w:t>43</w:t>
            </w:r>
          </w:p>
        </w:tc>
        <w:tc>
          <w:tcPr>
            <w:tcW w:w="1103" w:type="dxa"/>
          </w:tcPr>
          <w:p w14:paraId="128D2A04" w14:textId="77777777" w:rsidR="009771D5" w:rsidRDefault="00000000">
            <w:pPr>
              <w:pStyle w:val="IEEETableCell"/>
              <w:jc w:val="center"/>
            </w:pPr>
            <w:r>
              <w:t>58.363</w:t>
            </w:r>
          </w:p>
        </w:tc>
      </w:tr>
      <w:tr w:rsidR="009771D5" w14:paraId="76C9B07C" w14:textId="77777777">
        <w:trPr>
          <w:jc w:val="center"/>
        </w:trPr>
        <w:tc>
          <w:tcPr>
            <w:tcW w:w="1604" w:type="dxa"/>
          </w:tcPr>
          <w:p w14:paraId="0886A23B"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300A5C4B" w14:textId="77777777" w:rsidR="009771D5" w:rsidRDefault="00000000">
            <w:pPr>
              <w:pStyle w:val="IEEETableCell"/>
              <w:jc w:val="center"/>
            </w:pPr>
            <w:r>
              <w:t>61,2%</w:t>
            </w:r>
          </w:p>
        </w:tc>
        <w:tc>
          <w:tcPr>
            <w:tcW w:w="752" w:type="dxa"/>
          </w:tcPr>
          <w:p w14:paraId="18837F31" w14:textId="77777777" w:rsidR="009771D5" w:rsidRDefault="00000000">
            <w:pPr>
              <w:pStyle w:val="IEEETableCell"/>
              <w:jc w:val="center"/>
            </w:pPr>
            <w:r>
              <w:t>17,5%</w:t>
            </w:r>
          </w:p>
        </w:tc>
        <w:tc>
          <w:tcPr>
            <w:tcW w:w="802" w:type="dxa"/>
          </w:tcPr>
          <w:p w14:paraId="07B33B65" w14:textId="77777777" w:rsidR="009771D5" w:rsidRDefault="00000000">
            <w:pPr>
              <w:pStyle w:val="IEEETableCell"/>
              <w:jc w:val="center"/>
            </w:pPr>
            <w:r>
              <w:t>40</w:t>
            </w:r>
          </w:p>
        </w:tc>
        <w:tc>
          <w:tcPr>
            <w:tcW w:w="1103" w:type="dxa"/>
          </w:tcPr>
          <w:p w14:paraId="01FA34D6" w14:textId="77777777" w:rsidR="009771D5" w:rsidRDefault="00000000">
            <w:pPr>
              <w:pStyle w:val="IEEETableCell"/>
              <w:jc w:val="center"/>
            </w:pPr>
            <w:r>
              <w:t>53.470</w:t>
            </w:r>
          </w:p>
        </w:tc>
      </w:tr>
      <w:tr w:rsidR="009771D5" w14:paraId="3ED923FB" w14:textId="77777777">
        <w:trPr>
          <w:jc w:val="center"/>
        </w:trPr>
        <w:tc>
          <w:tcPr>
            <w:tcW w:w="1604" w:type="dxa"/>
          </w:tcPr>
          <w:p w14:paraId="32846E79"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1D8EF83E" w14:textId="77777777" w:rsidR="009771D5" w:rsidRDefault="00000000">
            <w:pPr>
              <w:pStyle w:val="IEEETableCell"/>
              <w:jc w:val="center"/>
            </w:pPr>
            <w:r>
              <w:t>69,1%</w:t>
            </w:r>
          </w:p>
        </w:tc>
        <w:tc>
          <w:tcPr>
            <w:tcW w:w="752" w:type="dxa"/>
          </w:tcPr>
          <w:p w14:paraId="10D625AA" w14:textId="77777777" w:rsidR="009771D5" w:rsidRDefault="00000000">
            <w:pPr>
              <w:pStyle w:val="IEEETableCell"/>
              <w:jc w:val="center"/>
            </w:pPr>
            <w:r>
              <w:t>9,6%</w:t>
            </w:r>
          </w:p>
        </w:tc>
        <w:tc>
          <w:tcPr>
            <w:tcW w:w="802" w:type="dxa"/>
          </w:tcPr>
          <w:p w14:paraId="026F94A6" w14:textId="77777777" w:rsidR="009771D5" w:rsidRDefault="00000000">
            <w:pPr>
              <w:pStyle w:val="IEEETableCell"/>
              <w:jc w:val="center"/>
            </w:pPr>
            <w:r>
              <w:t>45</w:t>
            </w:r>
          </w:p>
        </w:tc>
        <w:tc>
          <w:tcPr>
            <w:tcW w:w="1103" w:type="dxa"/>
          </w:tcPr>
          <w:p w14:paraId="0DA64607" w14:textId="77777777" w:rsidR="009771D5" w:rsidRDefault="00000000">
            <w:pPr>
              <w:pStyle w:val="IEEETableCell"/>
              <w:jc w:val="center"/>
            </w:pPr>
            <w:r>
              <w:t>44.264</w:t>
            </w:r>
          </w:p>
        </w:tc>
      </w:tr>
    </w:tbl>
    <w:p w14:paraId="2B462FD3" w14:textId="77777777" w:rsidR="009771D5" w:rsidRDefault="00000000">
      <w:pPr>
        <w:pStyle w:val="GemastikBody"/>
      </w:pPr>
      <w:r>
        <w:t>Kelebihan beban tetap muncul karena Tabel III memproyeksikan seluruh 313.862 jiwa, termasuk penduduk yang waktu tempuhnya melebihi 15 menit dan tetap diberi tujuan cadangan. Pada kelompok 89.158 jiwa yang dibagi menurut daya tampung, beban tersebar ke 122 TES dan kelebihan 23.442 jiwa terjadi di 37 TES, terutama di pesisir utara dan pusat kota (Gambar 4). Pada aturan terbaru, tujuan seluruh penduduk terbagi menjadi zona hijau 51,4%, TEA 3,1%, dan TES 45,5%. Kelurahan dengan jumlah penduduk terbesar yang belum dapat mencapai tempat evakuasi dalam 20 menit adalah Batang Kabung, Padang Sarai, Parupuk Tabing, Pasir Nan Tigo, dan Dadok Tunggul Hitam, sehingga wilayah ini menjadi prioritas penambahan tempat evakuasi. Angka tersebut merupakan perkiraan berbasis jaringan jalan dan laju perencanaan, bukan prediksi waktu tiba tsunami, dan belum memperhitungkan antrean di jalan.</w:t>
      </w:r>
    </w:p>
    <w:p w14:paraId="32CFABF3" w14:textId="77777777" w:rsidR="009771D5" w:rsidRDefault="00000000">
      <w:pPr>
        <w:keepNext/>
        <w:jc w:val="center"/>
      </w:pPr>
      <w:r>
        <w:drawing>
          <wp:inline xmlns:a="http://schemas.openxmlformats.org/drawingml/2006/main" xmlns:pic="http://schemas.openxmlformats.org/drawingml/2006/picture">
            <wp:extent cx="3204000" cy="3192565"/>
            <wp:docPr id="4" name="Picture 4"/>
            <wp:cNvGraphicFramePr>
              <a:graphicFrameLocks noChangeAspect="1"/>
            </wp:cNvGraphicFramePr>
            <a:graphic>
              <a:graphicData uri="http://schemas.openxmlformats.org/drawingml/2006/picture">
                <pic:pic>
                  <pic:nvPicPr>
                    <pic:cNvPr id="0" name="makalah_peta_beban_tes.png"/>
                    <pic:cNvPicPr/>
                  </pic:nvPicPr>
                  <pic:blipFill>
                    <a:blip r:embed="rId22"/>
                    <a:stretch>
                      <a:fillRect/>
                    </a:stretch>
                  </pic:blipFill>
                  <pic:spPr>
                    <a:xfrm>
                      <a:off x="0" y="0"/>
                      <a:ext cx="3204000" cy="3192565"/>
                    </a:xfrm>
                    <a:prstGeom prst="rect"/>
                  </pic:spPr>
                </pic:pic>
              </a:graphicData>
            </a:graphic>
          </wp:inline>
        </w:drawing>
      </w:r>
    </w:p>
    <w:p w14:paraId="62F5B198" w14:textId="77777777" w:rsidR="009771D5" w:rsidRDefault="00000000">
      <w:pPr>
        <w:pStyle w:val="GemastikCaptionGambar"/>
        <w:jc w:val="both"/>
      </w:pPr>
      <w:r>
        <w:rPr>
          <w:b/>
        </w:rPr>
        <w:t>Gambar 4.</w:t>
      </w:r>
      <w:r>
        <w:t xml:space="preserve"> Beban model tiap TES berdaya tampung tercatat pada kelompok pembagian 89.158 jiwa (data 2026.10.18). Warna dan bentuk penanda menunjukkan rasio beban terhadap daya tampung.</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3EA56AC0" w14:textId="77777777" w:rsidR="009771D5" w:rsidRDefault="00000000">
      <w:pPr>
        <w:pStyle w:val="GemastikHeading2"/>
        <w:keepNext/>
      </w:pPr>
      <w:r>
        <w:t>KETERBATASAN</w:t>
      </w:r>
    </w:p>
    <w:p w14:paraId="6AFD0AF5" w14:textId="5F7EF547" w:rsidR="009771D5" w:rsidRDefault="00000000">
      <w:pPr>
        <w:pStyle w:val="GemastikBody"/>
      </w:pPr>
      <w:r>
        <w:t xml:space="preserve">Pengujian teknis </w:t>
      </w:r>
      <w:r w:rsidR="00327149">
        <w:t>menggunakan</w:t>
      </w:r>
      <w:r>
        <w:t xml:space="preserve"> koordinat tetap sehingga pengaruh ketelitian GPS di lapangan belum diukur, dan uji mode pesawat baru dilakukan pada satu ponsel. Rencana keluarga belum diuji antarponsel. Pembagian daya tampung mengikuti angka pada data sumber yang belum </w:t>
      </w:r>
      <w:r w:rsidR="00327149">
        <w:t>menggunakan</w:t>
      </w:r>
      <w:r>
        <w:t xml:space="preserve"> standar luas per orang yang sama, sementara 77 TES belum memiliki angka daya tampung. Model juga belum memperhitungkan antrean di jalan, dan uji pengguna melibatkan 25 peserta dengan sebagian di antaranya pernah melihat aplikasi sebelumnya.</w:t>
      </w:r>
    </w:p>
    <w:p w14:paraId="089A5696" w14:textId="77777777" w:rsidR="009771D5" w:rsidRDefault="00000000">
      <w:pPr>
        <w:pStyle w:val="GemastikHeading1"/>
        <w:keepNext/>
        <w:numPr>
          <w:ilvl w:val="0"/>
          <w:numId w:val="22"/>
        </w:numPr>
        <w:ind w:left="284" w:hanging="284"/>
      </w:pPr>
      <w:r>
        <w:t>KESIMPULAN</w:t>
      </w:r>
    </w:p>
    <w:p w14:paraId="23F87C74" w14:textId="673FA0E0" w:rsidR="009771D5" w:rsidRDefault="00000000">
      <w:pPr>
        <w:pStyle w:val="GemastikBody"/>
      </w:pPr>
      <w:r>
        <w:t xml:space="preserve">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Pemilihan tujuan </w:t>
      </w:r>
      <w:r w:rsidR="00327149">
        <w:t>berdasarkan sisa waktu dan pembagian daya tampung meningkatkan</w:t>
      </w:r>
      <w:r>
        <w:t xml:space="preserve">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uji rencana keluarga antarponsel, </w:t>
      </w:r>
      <w:r>
        <w:lastRenderedPageBreak/>
        <w:t>pembaruan daya tampung TES bersama BPBD, serta uji dengan pengguna yang lebih beragam, termasuk lansia dan penyandang disabilitas.</w:t>
      </w:r>
    </w:p>
    <w:p w14:paraId="0ECB3E51" w14:textId="77777777" w:rsidR="009771D5" w:rsidRDefault="00000000">
      <w:pPr>
        <w:pStyle w:val="GemastikHeading1"/>
      </w:pPr>
      <w:r>
        <w:t>REFERENSI</w:t>
      </w:r>
    </w:p>
    <w:p w14:paraId="26226A8A" w14:textId="77777777" w:rsidR="009771D5" w:rsidRDefault="00000000">
      <w:pPr>
        <w:pStyle w:val="GemastikReferensi"/>
      </w:pPr>
      <w:r>
        <w:t xml:space="preserve">Badan Meteorologi, Klimatologi, dan Geofisika. (2024) Tentang Gempa di Selat Sunda dan Mentawai–Siberut yang “Tinggal Menunggu Waktu”. [Online], </w:t>
      </w:r>
      <w:r>
        <w:rPr>
          <w:i/>
        </w:rPr>
        <w:t>https://www.bmkg.go.id/berita/utama/tentang-gempa-di-selat-sunda-dan-mentawai-siberut-yang-tinggal-menunggu-waktu</w:t>
      </w:r>
      <w:r>
        <w:t>, tanggal akses: 10-Agu-2026.</w:t>
      </w:r>
    </w:p>
    <w:p w14:paraId="115E040E"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(2022) BMKG </w:t>
      </w:r>
      <w:proofErr w:type="spellStart"/>
      <w:r>
        <w:t>Dorong</w:t>
      </w:r>
      <w:proofErr w:type="spellEnd"/>
      <w:r>
        <w:t xml:space="preserve"> Kota Padang </w:t>
      </w:r>
      <w:proofErr w:type="spellStart"/>
      <w:r>
        <w:t>Wujudkan</w:t>
      </w:r>
      <w:proofErr w:type="spellEnd"/>
      <w:r>
        <w:t xml:space="preserve"> Tsunami Ready Community, </w:t>
      </w:r>
      <w:proofErr w:type="spellStart"/>
      <w:r>
        <w:t>Tingkatkan</w:t>
      </w:r>
      <w:proofErr w:type="spellEnd"/>
      <w:r>
        <w:t xml:space="preserve"> </w:t>
      </w:r>
      <w:proofErr w:type="spellStart"/>
      <w:r>
        <w:t>Kesiapsiagaan</w:t>
      </w:r>
      <w:proofErr w:type="spellEnd"/>
      <w:r>
        <w:t xml:space="preserve"> </w:t>
      </w:r>
      <w:proofErr w:type="spellStart"/>
      <w:r>
        <w:t>Gempa</w:t>
      </w:r>
      <w:proofErr w:type="spellEnd"/>
      <w:r>
        <w:t xml:space="preserve"> dan Tsunami. [Online], </w:t>
      </w:r>
      <w:r>
        <w:rPr>
          <w:i/>
        </w:rPr>
        <w:t>https://www.bmkg.go.id/berita/utama/bmkg-dorong-kota-padang-wujudkan-tsunami-ready-community-tingkatkan-kesiapsiagaan-gempa-dan-tsunami</w:t>
      </w:r>
      <w:r>
        <w:t xml:space="preserve">, </w:t>
      </w:r>
      <w:proofErr w:type="spellStart"/>
      <w:r>
        <w:t>tanggal</w:t>
      </w:r>
      <w:proofErr w:type="spellEnd"/>
      <w:r>
        <w:t xml:space="preserve"> </w:t>
      </w:r>
      <w:proofErr w:type="spellStart"/>
      <w:r>
        <w:t>akses</w:t>
      </w:r>
      <w:proofErr w:type="spellEnd"/>
      <w:r>
        <w:t>: 10-Agu-2026.</w:t>
      </w:r>
    </w:p>
    <w:p w14:paraId="5ECE5158"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rPr>
          <w:i/>
        </w:rPr>
        <w:t>Dokumen</w:t>
      </w:r>
      <w:proofErr w:type="spellEnd"/>
      <w:r>
        <w:rPr>
          <w:i/>
        </w:rPr>
        <w:t xml:space="preserve"> Kajian Risiko </w:t>
      </w:r>
      <w:proofErr w:type="spellStart"/>
      <w:r>
        <w:rPr>
          <w:i/>
        </w:rPr>
        <w:t>Bencana</w:t>
      </w:r>
      <w:proofErr w:type="spellEnd"/>
      <w:r>
        <w:rPr>
          <w:i/>
        </w:rPr>
        <w:t xml:space="preserve"> Kota Padang </w:t>
      </w:r>
      <w:proofErr w:type="spellStart"/>
      <w:r>
        <w:rPr>
          <w:i/>
        </w:rPr>
        <w:t>Provinsi</w:t>
      </w:r>
      <w:proofErr w:type="spellEnd"/>
      <w:r>
        <w:rPr>
          <w:i/>
        </w:rPr>
        <w:t xml:space="preserve"> Sumatera Barat 2023–2027</w:t>
      </w:r>
      <w:r>
        <w:t>. Padang, Indonesia: BPBD Kota Padang, 2022.</w:t>
      </w:r>
    </w:p>
    <w:p w14:paraId="2C138904"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r>
        <w:rPr>
          <w:i/>
        </w:rPr>
        <w:t xml:space="preserve">Materi </w:t>
      </w:r>
      <w:proofErr w:type="spellStart"/>
      <w:r>
        <w:rPr>
          <w:i/>
        </w:rPr>
        <w:t>Sosialisasi</w:t>
      </w:r>
      <w:proofErr w:type="spellEnd"/>
      <w:r>
        <w:rPr>
          <w:i/>
        </w:rPr>
        <w:t xml:space="preserve"> </w:t>
      </w:r>
      <w:proofErr w:type="spellStart"/>
      <w:r>
        <w:rPr>
          <w:i/>
        </w:rPr>
        <w:t>Simulasi</w:t>
      </w:r>
      <w:proofErr w:type="spellEnd"/>
      <w:r>
        <w:rPr>
          <w:i/>
        </w:rPr>
        <w:t xml:space="preserve"> </w:t>
      </w:r>
      <w:proofErr w:type="spellStart"/>
      <w:r>
        <w:rPr>
          <w:i/>
        </w:rPr>
        <w:t>Gempa</w:t>
      </w:r>
      <w:proofErr w:type="spellEnd"/>
      <w:r>
        <w:rPr>
          <w:i/>
        </w:rPr>
        <w:t xml:space="preserve"> </w:t>
      </w:r>
      <w:proofErr w:type="spellStart"/>
      <w:r>
        <w:rPr>
          <w:i/>
        </w:rPr>
        <w:t>Berpotensi</w:t>
      </w:r>
      <w:proofErr w:type="spellEnd"/>
      <w:r>
        <w:rPr>
          <w:i/>
        </w:rPr>
        <w:t xml:space="preserve"> Tsunami Kota Padang</w:t>
      </w:r>
      <w:r>
        <w:t>. Padang, Indonesia: BPBD Kota Padang, 2025.</w:t>
      </w:r>
    </w:p>
    <w:p w14:paraId="047C3573" w14:textId="77777777" w:rsidR="009771D5" w:rsidRDefault="00000000">
      <w:pPr>
        <w:pStyle w:val="IEEEReferenceItem"/>
      </w:pPr>
      <w:proofErr w:type="spellStart"/>
      <w:r>
        <w:t>Pemerintah</w:t>
      </w:r>
      <w:proofErr w:type="spellEnd"/>
      <w:r>
        <w:t xml:space="preserve"> Kota Padang dan Badan </w:t>
      </w:r>
      <w:proofErr w:type="spellStart"/>
      <w:r>
        <w:t>Penanggulangan</w:t>
      </w:r>
      <w:proofErr w:type="spellEnd"/>
      <w:r>
        <w:t xml:space="preserve"> </w:t>
      </w:r>
      <w:proofErr w:type="spellStart"/>
      <w:r>
        <w:t>Bencana</w:t>
      </w:r>
      <w:proofErr w:type="spellEnd"/>
      <w:r>
        <w:t xml:space="preserve"> Daerah Kota Padang, </w:t>
      </w:r>
      <w:r>
        <w:rPr>
          <w:i/>
        </w:rPr>
        <w:t xml:space="preserve">Peta </w:t>
      </w:r>
      <w:proofErr w:type="spellStart"/>
      <w:r>
        <w:rPr>
          <w:i/>
        </w:rPr>
        <w:t>Tempat</w:t>
      </w:r>
      <w:proofErr w:type="spellEnd"/>
      <w:r>
        <w:rPr>
          <w:i/>
        </w:rPr>
        <w:t xml:space="preserve"> </w:t>
      </w:r>
      <w:proofErr w:type="spellStart"/>
      <w:r>
        <w:rPr>
          <w:i/>
        </w:rPr>
        <w:t>Evakuasi</w:t>
      </w:r>
      <w:proofErr w:type="spellEnd"/>
      <w:r>
        <w:rPr>
          <w:i/>
        </w:rPr>
        <w:t xml:space="preserve"> </w:t>
      </w:r>
      <w:proofErr w:type="spellStart"/>
      <w:r>
        <w:rPr>
          <w:i/>
        </w:rPr>
        <w:t>Sementara</w:t>
      </w:r>
      <w:proofErr w:type="spellEnd"/>
      <w:r>
        <w:rPr>
          <w:i/>
        </w:rPr>
        <w:t xml:space="preserve"> dan Lokasi </w:t>
      </w:r>
      <w:proofErr w:type="spellStart"/>
      <w:r>
        <w:rPr>
          <w:i/>
        </w:rPr>
        <w:t>Potensial</w:t>
      </w:r>
      <w:proofErr w:type="spellEnd"/>
      <w:r>
        <w:rPr>
          <w:i/>
        </w:rPr>
        <w:t xml:space="preserve"> Shelter</w:t>
      </w:r>
      <w:r>
        <w:t xml:space="preserve">, </w:t>
      </w:r>
      <w:proofErr w:type="spellStart"/>
      <w:r>
        <w:t>skala</w:t>
      </w:r>
      <w:proofErr w:type="spellEnd"/>
      <w:r>
        <w:t xml:space="preserve"> 1:15.000. Padang, Indonesia: </w:t>
      </w:r>
      <w:proofErr w:type="spellStart"/>
      <w:r>
        <w:t>Pemerintah</w:t>
      </w:r>
      <w:proofErr w:type="spellEnd"/>
      <w:r>
        <w:t xml:space="preserve"> Kota Padang, KOGAMI, dan Mercy Corps Indonesia, t.t.</w:t>
      </w:r>
    </w:p>
    <w:p w14:paraId="2C1B2BD5" w14:textId="77777777" w:rsidR="009771D5" w:rsidRDefault="00000000">
      <w:pPr>
        <w:pStyle w:val="IEEEReferenceItem"/>
      </w:pPr>
      <w:proofErr w:type="spellStart"/>
      <w:r>
        <w:t>Pemerintah</w:t>
      </w:r>
      <w:proofErr w:type="spellEnd"/>
      <w:r>
        <w:t xml:space="preserve"> Kota Padang. Padang Sigap. [Online], </w:t>
      </w:r>
      <w:r>
        <w:rPr>
          <w:i/>
        </w:rPr>
        <w:t>https://padang.go.id/padangsigap</w:t>
      </w:r>
      <w:r>
        <w:t xml:space="preserve">, </w:t>
      </w:r>
      <w:proofErr w:type="spellStart"/>
      <w:r>
        <w:t>tanggal</w:t>
      </w:r>
      <w:proofErr w:type="spellEnd"/>
      <w:r>
        <w:t xml:space="preserve"> </w:t>
      </w:r>
      <w:proofErr w:type="spellStart"/>
      <w:r>
        <w:t>akses</w:t>
      </w:r>
      <w:proofErr w:type="spellEnd"/>
      <w:r>
        <w:t>: 10-Agu-2026.</w:t>
      </w:r>
    </w:p>
    <w:p w14:paraId="296D66EB" w14:textId="77777777" w:rsidR="009771D5" w:rsidRDefault="00000000">
      <w:pPr>
        <w:pStyle w:val="IEEEReferenceItem"/>
      </w:pPr>
      <w:r>
        <w:t xml:space="preserve">Google Research. (2025) Android Earthquake Alerts: A Global System for Early Warning. [Online], </w:t>
      </w:r>
      <w:r>
        <w:rPr>
          <w:i/>
        </w:rPr>
        <w:t>https://research.google/blog/android-earthquake-alerts-a-global-system-for-early-warning/</w:t>
      </w:r>
      <w:r>
        <w:t xml:space="preserve">, </w:t>
      </w:r>
      <w:proofErr w:type="spellStart"/>
      <w:r>
        <w:t>tanggal</w:t>
      </w:r>
      <w:proofErr w:type="spellEnd"/>
      <w:r>
        <w:t xml:space="preserve"> </w:t>
      </w:r>
      <w:proofErr w:type="spellStart"/>
      <w:r>
        <w:t>akses</w:t>
      </w:r>
      <w:proofErr w:type="spellEnd"/>
      <w:r>
        <w:t>: 10-Agu-2026.</w:t>
      </w:r>
    </w:p>
    <w:p w14:paraId="6512055C"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t>wawancara</w:t>
      </w:r>
      <w:proofErr w:type="spellEnd"/>
      <w:r>
        <w:t xml:space="preserve"> </w:t>
      </w:r>
      <w:proofErr w:type="spellStart"/>
      <w:r>
        <w:t>dengan</w:t>
      </w:r>
      <w:proofErr w:type="spellEnd"/>
      <w:r>
        <w:t xml:space="preserve"> </w:t>
      </w:r>
      <w:proofErr w:type="spellStart"/>
      <w:r>
        <w:t>Bidang</w:t>
      </w:r>
      <w:proofErr w:type="spellEnd"/>
      <w:r>
        <w:t xml:space="preserve"> </w:t>
      </w:r>
      <w:proofErr w:type="spellStart"/>
      <w:r>
        <w:t>Kedaruratan</w:t>
      </w:r>
      <w:proofErr w:type="spellEnd"/>
      <w:r>
        <w:t xml:space="preserve"> dan Logistik </w:t>
      </w:r>
      <w:proofErr w:type="spellStart"/>
      <w:r>
        <w:t>serta</w:t>
      </w:r>
      <w:proofErr w:type="spellEnd"/>
      <w:r>
        <w:t xml:space="preserve"> </w:t>
      </w:r>
      <w:proofErr w:type="spellStart"/>
      <w:r>
        <w:t>Bidang</w:t>
      </w:r>
      <w:proofErr w:type="spellEnd"/>
      <w:r>
        <w:t xml:space="preserve"> </w:t>
      </w:r>
      <w:proofErr w:type="spellStart"/>
      <w:r>
        <w:t>Pencegahan</w:t>
      </w:r>
      <w:proofErr w:type="spellEnd"/>
      <w:r>
        <w:t xml:space="preserve"> dan </w:t>
      </w:r>
      <w:proofErr w:type="spellStart"/>
      <w:r>
        <w:t>Kesiapsiagaan</w:t>
      </w:r>
      <w:proofErr w:type="spellEnd"/>
      <w:r>
        <w:t xml:space="preserve">, Padang, 28 Sep.–7 </w:t>
      </w:r>
      <w:proofErr w:type="spellStart"/>
      <w:r>
        <w:t>Okt</w:t>
      </w:r>
      <w:proofErr w:type="spellEnd"/>
      <w:r>
        <w:t xml:space="preserve">. 2026, </w:t>
      </w:r>
      <w:proofErr w:type="spellStart"/>
      <w:r>
        <w:t>komunikasi</w:t>
      </w:r>
      <w:proofErr w:type="spellEnd"/>
      <w:r>
        <w:t xml:space="preserve"> </w:t>
      </w:r>
      <w:proofErr w:type="spellStart"/>
      <w:r>
        <w:t>pribadi</w:t>
      </w:r>
      <w:proofErr w:type="spellEnd"/>
      <w:r>
        <w:t>.</w:t>
      </w:r>
    </w:p>
    <w:p w14:paraId="7F6478E7" w14:textId="77777777" w:rsidR="009771D5" w:rsidRDefault="00000000">
      <w:pPr>
        <w:pStyle w:val="IEEEReferenceItem"/>
      </w:pPr>
      <w:r>
        <w:t xml:space="preserve">Badan Nasional </w:t>
      </w:r>
      <w:proofErr w:type="spellStart"/>
      <w:r>
        <w:t>Penanggulangan</w:t>
      </w:r>
      <w:proofErr w:type="spellEnd"/>
      <w:r>
        <w:t xml:space="preserve"> </w:t>
      </w:r>
      <w:proofErr w:type="spellStart"/>
      <w:r>
        <w:t>Bencana</w:t>
      </w:r>
      <w:proofErr w:type="spellEnd"/>
      <w:r>
        <w:t xml:space="preserve">. </w:t>
      </w:r>
      <w:proofErr w:type="spellStart"/>
      <w:r>
        <w:t>InaRISK</w:t>
      </w:r>
      <w:proofErr w:type="spellEnd"/>
      <w:r>
        <w:t xml:space="preserve">. [Online], </w:t>
      </w:r>
      <w:r>
        <w:rPr>
          <w:i/>
        </w:rPr>
        <w:t>https://inarisk.bnpb.go.id/</w:t>
      </w:r>
      <w:r>
        <w:t xml:space="preserve">, </w:t>
      </w:r>
      <w:proofErr w:type="spellStart"/>
      <w:r>
        <w:t>tanggal</w:t>
      </w:r>
      <w:proofErr w:type="spellEnd"/>
      <w:r>
        <w:t xml:space="preserve"> </w:t>
      </w:r>
      <w:proofErr w:type="spellStart"/>
      <w:r>
        <w:t>akses</w:t>
      </w:r>
      <w:proofErr w:type="spellEnd"/>
      <w:r>
        <w:t>: 10-Agu-2026.</w:t>
      </w:r>
    </w:p>
    <w:p w14:paraId="4C7F37FE"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w:t>
      </w:r>
      <w:proofErr w:type="spellStart"/>
      <w:r>
        <w:t>InaTEWS</w:t>
      </w:r>
      <w:proofErr w:type="spellEnd"/>
      <w:r>
        <w:t xml:space="preserve">: Indonesia Tsunami Early Warning System. [Online], </w:t>
      </w:r>
      <w:r>
        <w:rPr>
          <w:i/>
        </w:rPr>
        <w:t>https://inatews.bmkg.go.id/</w:t>
      </w:r>
      <w:r>
        <w:t xml:space="preserve">, </w:t>
      </w:r>
      <w:proofErr w:type="spellStart"/>
      <w:r>
        <w:t>tanggal</w:t>
      </w:r>
      <w:proofErr w:type="spellEnd"/>
      <w:r>
        <w:t xml:space="preserve"> </w:t>
      </w:r>
      <w:proofErr w:type="spellStart"/>
      <w:r>
        <w:t>akses</w:t>
      </w:r>
      <w:proofErr w:type="spellEnd"/>
      <w:r>
        <w:t>: 10-Agu-2026.</w:t>
      </w:r>
    </w:p>
    <w:p w14:paraId="4793F1B3" w14:textId="77777777" w:rsidR="009771D5" w:rsidRDefault="00000000">
      <w:pPr>
        <w:pStyle w:val="IEEEReferenceItem"/>
      </w:pPr>
      <w:r>
        <w:t xml:space="preserve">NANOOS. (2025) NVS Tsunami Evacuation, </w:t>
      </w:r>
      <w:proofErr w:type="spellStart"/>
      <w:r>
        <w:t>versi</w:t>
      </w:r>
      <w:proofErr w:type="spellEnd"/>
      <w:r>
        <w:t xml:space="preserve"> 2.6. [Online], </w:t>
      </w:r>
      <w:r>
        <w:rPr>
          <w:i/>
        </w:rPr>
        <w:t>https://apps.apple.com/us/app/nvs-tsunami-evacuation/id478984841</w:t>
      </w:r>
      <w:r>
        <w:t xml:space="preserve">, </w:t>
      </w:r>
      <w:proofErr w:type="spellStart"/>
      <w:r>
        <w:t>tanggal</w:t>
      </w:r>
      <w:proofErr w:type="spellEnd"/>
      <w:r>
        <w:t xml:space="preserve"> </w:t>
      </w:r>
      <w:proofErr w:type="spellStart"/>
      <w:r>
        <w:t>akses</w:t>
      </w:r>
      <w:proofErr w:type="spellEnd"/>
      <w:r>
        <w:t>: 27-Sep-2026.</w:t>
      </w:r>
    </w:p>
    <w:p w14:paraId="11AC457C" w14:textId="77777777" w:rsidR="009771D5" w:rsidRDefault="00000000">
      <w:pPr>
        <w:pStyle w:val="IEEEReferenceItem"/>
      </w:pPr>
      <w:r>
        <w:t>H.A. Fina dan P.R. Rahmad, “</w:t>
      </w:r>
      <w:proofErr w:type="spellStart"/>
      <w:r>
        <w:t>Pemetaan</w:t>
      </w:r>
      <w:proofErr w:type="spellEnd"/>
      <w:r>
        <w:t xml:space="preserve"> </w:t>
      </w:r>
      <w:proofErr w:type="spellStart"/>
      <w:r>
        <w:t>Bangunan</w:t>
      </w:r>
      <w:proofErr w:type="spellEnd"/>
      <w:r>
        <w:t xml:space="preserve"> Gedung Engineered Structure </w:t>
      </w:r>
      <w:proofErr w:type="spellStart"/>
      <w:r>
        <w:t>sebagai</w:t>
      </w:r>
      <w:proofErr w:type="spellEnd"/>
      <w:r>
        <w:t xml:space="preserve"> </w:t>
      </w:r>
      <w:proofErr w:type="spellStart"/>
      <w:r>
        <w:t>Vertikal</w:t>
      </w:r>
      <w:proofErr w:type="spellEnd"/>
      <w:r>
        <w:t xml:space="preserve"> </w:t>
      </w:r>
      <w:proofErr w:type="spellStart"/>
      <w:r>
        <w:t>Evakuasi</w:t>
      </w:r>
      <w:proofErr w:type="spellEnd"/>
      <w:r>
        <w:t xml:space="preserve"> Shelter </w:t>
      </w:r>
      <w:proofErr w:type="spellStart"/>
      <w:r>
        <w:t>Berdasarkan</w:t>
      </w:r>
      <w:proofErr w:type="spellEnd"/>
      <w:r>
        <w:t xml:space="preserve"> </w:t>
      </w:r>
      <w:proofErr w:type="spellStart"/>
      <w:r>
        <w:t>Ketinggian</w:t>
      </w:r>
      <w:proofErr w:type="spellEnd"/>
      <w:r>
        <w:t xml:space="preserve"> </w:t>
      </w:r>
      <w:proofErr w:type="spellStart"/>
      <w:r>
        <w:t>Jangkauan</w:t>
      </w:r>
      <w:proofErr w:type="spellEnd"/>
      <w:r>
        <w:t xml:space="preserve"> Tsunami di Kota Padang,” </w:t>
      </w:r>
      <w:r>
        <w:rPr>
          <w:i/>
        </w:rPr>
        <w:t xml:space="preserve">J. Pendidikan </w:t>
      </w:r>
      <w:proofErr w:type="spellStart"/>
      <w:r>
        <w:rPr>
          <w:i/>
        </w:rPr>
        <w:t>Tambusai</w:t>
      </w:r>
      <w:proofErr w:type="spellEnd"/>
      <w:r>
        <w:t xml:space="preserve">, Vol. 10, No. 2, </w:t>
      </w:r>
      <w:proofErr w:type="spellStart"/>
      <w:r>
        <w:t>hal</w:t>
      </w:r>
      <w:proofErr w:type="spellEnd"/>
      <w:r>
        <w:t>. 9992–10001, 2026.</w:t>
      </w:r>
    </w:p>
    <w:p w14:paraId="18F25747" w14:textId="77777777" w:rsidR="009771D5" w:rsidRDefault="00000000">
      <w:pPr>
        <w:pStyle w:val="IEEEReferenceItem"/>
      </w:pPr>
      <w:r>
        <w:t xml:space="preserve">L.O. Andreas, F. Ashar, dan N. </w:t>
      </w:r>
      <w:proofErr w:type="spellStart"/>
      <w:r>
        <w:t>Zuwida</w:t>
      </w:r>
      <w:proofErr w:type="spellEnd"/>
      <w:r>
        <w:t xml:space="preserve">, “Analisa Parameter </w:t>
      </w:r>
      <w:proofErr w:type="spellStart"/>
      <w:r>
        <w:t>Kebutuhan</w:t>
      </w:r>
      <w:proofErr w:type="spellEnd"/>
      <w:r>
        <w:t xml:space="preserve"> Jarak dan Waktu Zona Rawan Tsunami pada Proses </w:t>
      </w:r>
      <w:proofErr w:type="spellStart"/>
      <w:r>
        <w:t>Evakuasi</w:t>
      </w:r>
      <w:proofErr w:type="spellEnd"/>
      <w:r>
        <w:t xml:space="preserve"> Masyarakat Kota di Padang,” </w:t>
      </w:r>
      <w:r>
        <w:rPr>
          <w:i/>
        </w:rPr>
        <w:t>CIVED</w:t>
      </w:r>
      <w:r>
        <w:t xml:space="preserve">, Vol. 9, No. 3, </w:t>
      </w:r>
      <w:proofErr w:type="spellStart"/>
      <w:r>
        <w:t>hal</w:t>
      </w:r>
      <w:proofErr w:type="spellEnd"/>
      <w:r>
        <w:t xml:space="preserve">. 291–296, 2022, </w:t>
      </w:r>
      <w:proofErr w:type="spellStart"/>
      <w:r>
        <w:t>doi</w:t>
      </w:r>
      <w:proofErr w:type="spellEnd"/>
      <w:r>
        <w:t>: 10.24036/</w:t>
      </w:r>
      <w:proofErr w:type="gramStart"/>
      <w:r>
        <w:t>cived.v</w:t>
      </w:r>
      <w:proofErr w:type="gramEnd"/>
      <w:r>
        <w:t>9i3.336.</w:t>
      </w:r>
    </w:p>
    <w:p w14:paraId="240AFF3C" w14:textId="77777777" w:rsidR="009771D5" w:rsidRDefault="00000000">
      <w:pPr>
        <w:pStyle w:val="IEEEReferenceItem"/>
      </w:pPr>
      <w:r>
        <w:t xml:space="preserve">D. </w:t>
      </w:r>
      <w:proofErr w:type="spellStart"/>
      <w:r>
        <w:t>Setyawan</w:t>
      </w:r>
      <w:proofErr w:type="spellEnd"/>
      <w:r>
        <w:t xml:space="preserve"> dan Y. Basuki, “</w:t>
      </w:r>
      <w:proofErr w:type="spellStart"/>
      <w:r>
        <w:t>Analisis</w:t>
      </w:r>
      <w:proofErr w:type="spellEnd"/>
      <w:r>
        <w:t xml:space="preserve"> </w:t>
      </w:r>
      <w:proofErr w:type="spellStart"/>
      <w:r>
        <w:t>Topografi</w:t>
      </w:r>
      <w:proofErr w:type="spellEnd"/>
      <w:r>
        <w:t xml:space="preserve"> </w:t>
      </w:r>
      <w:proofErr w:type="spellStart"/>
      <w:r>
        <w:t>dalam</w:t>
      </w:r>
      <w:proofErr w:type="spellEnd"/>
      <w:r>
        <w:t xml:space="preserve"> </w:t>
      </w:r>
      <w:proofErr w:type="spellStart"/>
      <w:r>
        <w:t>Penentuan</w:t>
      </w:r>
      <w:proofErr w:type="spellEnd"/>
      <w:r>
        <w:t xml:space="preserve"> Jalur </w:t>
      </w:r>
      <w:proofErr w:type="spellStart"/>
      <w:r>
        <w:t>Evakuasi</w:t>
      </w:r>
      <w:proofErr w:type="spellEnd"/>
      <w:r>
        <w:t xml:space="preserve"> Tsunami di Kota Padang,” </w:t>
      </w:r>
      <w:r>
        <w:rPr>
          <w:i/>
        </w:rPr>
        <w:t>J. Pembangunan Wilayah dan Kota</w:t>
      </w:r>
      <w:r>
        <w:t xml:space="preserve">, Vol. 17, No. 1, </w:t>
      </w:r>
      <w:proofErr w:type="spellStart"/>
      <w:r>
        <w:t>hal</w:t>
      </w:r>
      <w:proofErr w:type="spellEnd"/>
      <w:r>
        <w:t xml:space="preserve">. 48–58, 2021, </w:t>
      </w:r>
      <w:proofErr w:type="spellStart"/>
      <w:r>
        <w:t>doi</w:t>
      </w:r>
      <w:proofErr w:type="spellEnd"/>
      <w:r>
        <w:t>: 10.14710/</w:t>
      </w:r>
      <w:proofErr w:type="gramStart"/>
      <w:r>
        <w:t>pwk.v</w:t>
      </w:r>
      <w:proofErr w:type="gramEnd"/>
      <w:r>
        <w:t>17i1.22358.</w:t>
      </w:r>
    </w:p>
    <w:p w14:paraId="54EE5C5D" w14:textId="77777777" w:rsidR="009771D5" w:rsidRDefault="00000000">
      <w:pPr>
        <w:pStyle w:val="IEEEReferenceItem"/>
      </w:pPr>
      <w:proofErr w:type="spellStart"/>
      <w:r>
        <w:t>Anisya</w:t>
      </w:r>
      <w:proofErr w:type="spellEnd"/>
      <w:r>
        <w:t xml:space="preserve"> dan G.Y. Swara, “</w:t>
      </w:r>
      <w:proofErr w:type="spellStart"/>
      <w:r>
        <w:t>Aplikasi</w:t>
      </w:r>
      <w:proofErr w:type="spellEnd"/>
      <w:r>
        <w:t xml:space="preserve"> </w:t>
      </w:r>
      <w:proofErr w:type="spellStart"/>
      <w:r>
        <w:t>Pencarian</w:t>
      </w:r>
      <w:proofErr w:type="spellEnd"/>
      <w:r>
        <w:t xml:space="preserve"> Shelter Tsunami </w:t>
      </w:r>
      <w:proofErr w:type="spellStart"/>
      <w:r>
        <w:t>Terdekat</w:t>
      </w:r>
      <w:proofErr w:type="spellEnd"/>
      <w:r>
        <w:t xml:space="preserve"> di Kota Padang </w:t>
      </w:r>
      <w:proofErr w:type="spellStart"/>
      <w:r>
        <w:t>Menggunakan</w:t>
      </w:r>
      <w:proofErr w:type="spellEnd"/>
      <w:r>
        <w:t xml:space="preserve"> Metode Best First Search,” </w:t>
      </w:r>
      <w:r>
        <w:rPr>
          <w:i/>
        </w:rPr>
        <w:t xml:space="preserve">J. </w:t>
      </w:r>
      <w:proofErr w:type="spellStart"/>
      <w:r>
        <w:rPr>
          <w:i/>
        </w:rPr>
        <w:t>Teknoif</w:t>
      </w:r>
      <w:proofErr w:type="spellEnd"/>
      <w:r>
        <w:t xml:space="preserve">, Vol. 5, No. 1, </w:t>
      </w:r>
      <w:proofErr w:type="spellStart"/>
      <w:r>
        <w:t>hal</w:t>
      </w:r>
      <w:proofErr w:type="spellEnd"/>
      <w:r>
        <w:t xml:space="preserve">. 63–70, 2017, </w:t>
      </w:r>
      <w:proofErr w:type="spellStart"/>
      <w:r>
        <w:t>doi</w:t>
      </w:r>
      <w:proofErr w:type="spellEnd"/>
      <w:r>
        <w:t>: 10.21063/</w:t>
      </w:r>
      <w:proofErr w:type="gramStart"/>
      <w:r>
        <w:t>jtif.2017.V</w:t>
      </w:r>
      <w:proofErr w:type="gramEnd"/>
      <w:r>
        <w:t>5.1.63-70.</w:t>
      </w:r>
    </w:p>
    <w:p w14:paraId="575A4522" w14:textId="77777777" w:rsidR="009771D5" w:rsidRDefault="00000000">
      <w:pPr>
        <w:pStyle w:val="IEEEReferenceItem"/>
      </w:pPr>
      <w:r>
        <w:t xml:space="preserve">F. Ashar, D. Amaratunga, dan R. Haigh, “Tsunami Evacuation Routes Using Network Analysis: A Case Study in Padang,” </w:t>
      </w:r>
      <w:r>
        <w:rPr>
          <w:i/>
        </w:rPr>
        <w:t>Procedia Eng.</w:t>
      </w:r>
      <w:r>
        <w:t xml:space="preserve">, Vol. 212, </w:t>
      </w:r>
      <w:proofErr w:type="spellStart"/>
      <w:r>
        <w:t>hal</w:t>
      </w:r>
      <w:proofErr w:type="spellEnd"/>
      <w:r>
        <w:t xml:space="preserve">. 109–116, 2018, </w:t>
      </w:r>
      <w:proofErr w:type="spellStart"/>
      <w:r>
        <w:t>doi</w:t>
      </w:r>
      <w:proofErr w:type="spellEnd"/>
      <w:r>
        <w:t>: 10.1016/j.proeng.2018.01.015.</w:t>
      </w:r>
    </w:p>
    <w:p w14:paraId="3D1B1207" w14:textId="77777777" w:rsidR="009771D5" w:rsidRDefault="00000000">
      <w:pPr>
        <w:pStyle w:val="IEEEReferenceItem"/>
      </w:pPr>
      <w:r>
        <w:t xml:space="preserve">T. </w:t>
      </w:r>
      <w:proofErr w:type="spellStart"/>
      <w:r>
        <w:t>Takabatake</w:t>
      </w:r>
      <w:proofErr w:type="spellEnd"/>
      <w:r>
        <w:t xml:space="preserve">, K. Asai, H. </w:t>
      </w:r>
      <w:proofErr w:type="spellStart"/>
      <w:r>
        <w:t>Kakuta</w:t>
      </w:r>
      <w:proofErr w:type="spellEnd"/>
      <w:r>
        <w:t xml:space="preserve">, dan N. Hasegawa, “Optimizing Evacuation Paths Using Agent-Based Evacuation Simulations and Reinforcement Learning,” </w:t>
      </w:r>
      <w:r>
        <w:rPr>
          <w:i/>
        </w:rPr>
        <w:t xml:space="preserve">Int. J. Disaster Risk </w:t>
      </w:r>
      <w:proofErr w:type="spellStart"/>
      <w:r>
        <w:rPr>
          <w:i/>
        </w:rPr>
        <w:t>Reduct</w:t>
      </w:r>
      <w:proofErr w:type="spellEnd"/>
      <w:r>
        <w:rPr>
          <w:i/>
        </w:rPr>
        <w:t>.</w:t>
      </w:r>
      <w:r>
        <w:t xml:space="preserve">, Vol. 117, art. 105173, 2025, </w:t>
      </w:r>
      <w:proofErr w:type="spellStart"/>
      <w:r>
        <w:t>doi</w:t>
      </w:r>
      <w:proofErr w:type="spellEnd"/>
      <w:r>
        <w:t>: 10.1016/j.ijdrr.2024.105173.</w:t>
      </w:r>
    </w:p>
    <w:p w14:paraId="528F66DE" w14:textId="77777777" w:rsidR="009771D5" w:rsidRDefault="00000000">
      <w:pPr>
        <w:pStyle w:val="IEEEReferenceItem"/>
      </w:pPr>
      <w:r>
        <w:t xml:space="preserve">D. </w:t>
      </w:r>
      <w:proofErr w:type="spellStart"/>
      <w:r>
        <w:t>Purbani</w:t>
      </w:r>
      <w:proofErr w:type="spellEnd"/>
      <w:r>
        <w:t xml:space="preserve"> </w:t>
      </w:r>
      <w:proofErr w:type="spellStart"/>
      <w:r>
        <w:t>dkk</w:t>
      </w:r>
      <w:proofErr w:type="spellEnd"/>
      <w:r>
        <w:t xml:space="preserve">., “Tsunami Evacuation Model in the </w:t>
      </w:r>
      <w:proofErr w:type="spellStart"/>
      <w:r>
        <w:t>Panimbang</w:t>
      </w:r>
      <w:proofErr w:type="spellEnd"/>
      <w:r>
        <w:t xml:space="preserve"> Subdistrict, Banten Province, Indonesia: GIS- and Agent-Based Modeling Approaches,” </w:t>
      </w:r>
      <w:proofErr w:type="spellStart"/>
      <w:r>
        <w:rPr>
          <w:i/>
        </w:rPr>
        <w:t>Geographia</w:t>
      </w:r>
      <w:proofErr w:type="spellEnd"/>
      <w:r>
        <w:rPr>
          <w:i/>
        </w:rPr>
        <w:t xml:space="preserve"> Technica</w:t>
      </w:r>
      <w:r>
        <w:t xml:space="preserve">, Vol. 18, No. 2, </w:t>
      </w:r>
      <w:proofErr w:type="spellStart"/>
      <w:r>
        <w:t>hal</w:t>
      </w:r>
      <w:proofErr w:type="spellEnd"/>
      <w:r>
        <w:t xml:space="preserve">. 132–148, 2023, </w:t>
      </w:r>
      <w:proofErr w:type="spellStart"/>
      <w:r>
        <w:t>doi</w:t>
      </w:r>
      <w:proofErr w:type="spellEnd"/>
      <w:r>
        <w:t>: 10.21163/GT_2023.182.10.</w:t>
      </w:r>
    </w:p>
    <w:p w14:paraId="626A21B2" w14:textId="77777777" w:rsidR="009771D5" w:rsidRDefault="00000000">
      <w:pPr>
        <w:pStyle w:val="IEEEReferenceItem"/>
      </w:pPr>
      <w:r>
        <w:t xml:space="preserve">E. Mas, S. </w:t>
      </w:r>
      <w:proofErr w:type="spellStart"/>
      <w:r>
        <w:t>Koshimura</w:t>
      </w:r>
      <w:proofErr w:type="spellEnd"/>
      <w:r>
        <w:t xml:space="preserve">, F. Imamura, A. </w:t>
      </w:r>
      <w:proofErr w:type="spellStart"/>
      <w:r>
        <w:t>Suppasri</w:t>
      </w:r>
      <w:proofErr w:type="spellEnd"/>
      <w:r>
        <w:t xml:space="preserve">, A. Muhari, dan B. Adriano, “Recent Advances in Agent-Based Tsunami Evacuation Simulations: Case Studies in Indonesia, Thailand, Japan and Peru,” </w:t>
      </w:r>
      <w:r>
        <w:rPr>
          <w:i/>
        </w:rPr>
        <w:t>Pure Appl. Geophys.</w:t>
      </w:r>
      <w:r>
        <w:t xml:space="preserve">, Vol. 172, </w:t>
      </w:r>
      <w:proofErr w:type="spellStart"/>
      <w:r>
        <w:t>hal</w:t>
      </w:r>
      <w:proofErr w:type="spellEnd"/>
      <w:r>
        <w:t xml:space="preserve">. 3409–3424, 2015, </w:t>
      </w:r>
      <w:proofErr w:type="spellStart"/>
      <w:r>
        <w:t>doi</w:t>
      </w:r>
      <w:proofErr w:type="spellEnd"/>
      <w:r>
        <w:t>: 10.1007/s00024-015-1105-y.</w:t>
      </w:r>
    </w:p>
    <w:p w14:paraId="1C9B9BB5" w14:textId="77777777" w:rsidR="009771D5" w:rsidRDefault="00000000">
      <w:pPr>
        <w:pStyle w:val="IEEEReferenceItem"/>
      </w:pPr>
      <w:r>
        <w:t xml:space="preserve">OpenStreetMap Foundation. Copyright and License. [Online], </w:t>
      </w:r>
      <w:r>
        <w:rPr>
          <w:i/>
        </w:rPr>
        <w:t>https://www.openstreetmap.org/copyright</w:t>
      </w:r>
      <w:r>
        <w:t xml:space="preserve">, </w:t>
      </w:r>
      <w:proofErr w:type="spellStart"/>
      <w:r>
        <w:t>tanggal</w:t>
      </w:r>
      <w:proofErr w:type="spellEnd"/>
      <w:r>
        <w:t xml:space="preserve"> </w:t>
      </w:r>
      <w:proofErr w:type="spellStart"/>
      <w:r>
        <w:t>akses</w:t>
      </w:r>
      <w:proofErr w:type="spellEnd"/>
      <w:r>
        <w:t>: 10-Agu-2026.</w:t>
      </w:r>
    </w:p>
    <w:p w14:paraId="18B133C4" w14:textId="77777777" w:rsidR="009771D5" w:rsidRDefault="00000000">
      <w:pPr>
        <w:pStyle w:val="IEEEReferenceItem"/>
      </w:pPr>
      <w:r>
        <w:t xml:space="preserve">Federal Emergency Management Agency, </w:t>
      </w:r>
      <w:r>
        <w:rPr>
          <w:i/>
        </w:rPr>
        <w:t>Guidelines for Design of Structures for Vertical Evacuation from Tsunamis</w:t>
      </w:r>
      <w:r>
        <w:t>, 3rd ed., FEMA P-646. Washington, DC, USA: FEMA, 2019.</w:t>
      </w:r>
    </w:p>
    <w:p w14:paraId="611BA4D7" w14:textId="77777777" w:rsidR="009771D5" w:rsidRDefault="00000000">
      <w:pPr>
        <w:pStyle w:val="IEEEReferenceItem"/>
      </w:pPr>
      <w:r>
        <w:t xml:space="preserve">J. Leach, “Why People ‘Freeze’ in an Emergency: Temporal and Cognitive Constraints on Survival Responses,” </w:t>
      </w:r>
      <w:r>
        <w:rPr>
          <w:i/>
        </w:rPr>
        <w:t>Aviat. Space Environ. Med.</w:t>
      </w:r>
      <w:r>
        <w:t xml:space="preserve">, Vol. 75, No. 6, </w:t>
      </w:r>
      <w:proofErr w:type="spellStart"/>
      <w:r>
        <w:t>hal</w:t>
      </w:r>
      <w:proofErr w:type="spellEnd"/>
      <w:r>
        <w:t>. 539–542, 2004.</w:t>
      </w:r>
    </w:p>
    <w:p w14:paraId="7C8FC69C" w14:textId="77777777" w:rsidR="009771D5" w:rsidRDefault="00000000">
      <w:pPr>
        <w:pStyle w:val="IEEEReferenceItem"/>
      </w:pPr>
      <w:r>
        <w:t xml:space="preserve">World Wide Web Consortium. (2018) Web Content Accessibility Guidelines (WCAG) 2.1. [Online], </w:t>
      </w:r>
      <w:r>
        <w:rPr>
          <w:i/>
        </w:rPr>
        <w:t>https://www.w3.org/TR/WCAG21/</w:t>
      </w:r>
      <w:r>
        <w:t xml:space="preserve">, </w:t>
      </w:r>
      <w:proofErr w:type="spellStart"/>
      <w:r>
        <w:t>tanggal</w:t>
      </w:r>
      <w:proofErr w:type="spellEnd"/>
      <w:r>
        <w:t xml:space="preserve"> </w:t>
      </w:r>
      <w:proofErr w:type="spellStart"/>
      <w:r>
        <w:t>akses</w:t>
      </w:r>
      <w:proofErr w:type="spellEnd"/>
      <w:r>
        <w:t>: 25-Okt-2026.</w:t>
      </w:r>
    </w:p>
    <w:p w14:paraId="32C34E33"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099BDA5D" w14:textId="77777777" w:rsidR="00833E35" w:rsidRDefault="00833E35"/>
    <w:sectPr w:rsidR="00833E35"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DF851" w14:textId="77777777" w:rsidR="006F4406" w:rsidRDefault="006F4406" w:rsidP="005376F2">
      <w:r>
        <w:separator/>
      </w:r>
    </w:p>
  </w:endnote>
  <w:endnote w:type="continuationSeparator" w:id="0">
    <w:p w14:paraId="4DFC56A5" w14:textId="77777777" w:rsidR="006F4406" w:rsidRDefault="006F4406"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F5FC" w14:textId="77777777" w:rsidR="009771D5"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Habibillah</w:t>
    </w:r>
    <w:proofErr w:type="spellEnd"/>
    <w:r w:rsidR="00440DA7">
      <w:t xml:space="preserve"> </w:t>
    </w:r>
    <w:proofErr w:type="spellStart"/>
    <w:r w:rsidR="00440DA7">
      <w:t>dkk</w:t>
    </w:r>
    <w:proofErr w:type="spellEnd"/>
    <w:r w:rsidR="00440DA7">
      <w:t xml:space="preserve">: </w:t>
    </w:r>
    <w:proofErr w:type="spellStart"/>
    <w:r w:rsidR="00440DA7">
      <w:t>Siaga</w:t>
    </w:r>
    <w:proofErr w:type="spellEnd"/>
    <w:r w:rsidR="00440DA7">
      <w:t xml:space="preserve"> Padang: </w:t>
    </w:r>
    <w:proofErr w:type="spellStart"/>
    <w:r w:rsidR="00440DA7">
      <w:t>Sistem</w:t>
    </w:r>
    <w:proofErr w:type="spellEnd"/>
    <w:r w:rsidR="00440DA7">
      <w:t xml:space="preserve"> </w:t>
    </w:r>
    <w:proofErr w:type="spellStart"/>
    <w:r w:rsidR="00440DA7">
      <w:t>Navigasi</w:t>
    </w:r>
    <w:proofErr w:type="spellEnd"/>
    <w:r w:rsidR="00440DA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47BE" w14:textId="77777777" w:rsidR="009771D5"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Habibillah</w:t>
    </w:r>
    <w:proofErr w:type="spellEnd"/>
    <w:r>
      <w:rPr>
        <w:rFonts w:ascii="Helvetica" w:hAnsi="Helvetica" w:cs="Helvetica"/>
        <w:sz w:val="16"/>
        <w:szCs w:val="16"/>
      </w:rPr>
      <w:t xml:space="preserve"> </w:t>
    </w:r>
    <w:proofErr w:type="spellStart"/>
    <w:r>
      <w:rPr>
        <w:rFonts w:ascii="Helvetica" w:hAnsi="Helvetica" w:cs="Helvetica"/>
        <w:sz w:val="16"/>
        <w:szCs w:val="16"/>
      </w:rPr>
      <w:t>dkk</w:t>
    </w:r>
    <w:proofErr w:type="spellEnd"/>
    <w:r>
      <w:rPr>
        <w:rFonts w:ascii="Helvetica" w:hAnsi="Helvetica" w:cs="Helvetica"/>
        <w:sz w:val="16"/>
        <w:szCs w:val="16"/>
      </w:rPr>
      <w:t xml:space="preserve">: </w:t>
    </w:r>
    <w:proofErr w:type="spellStart"/>
    <w:r>
      <w:rPr>
        <w:rFonts w:ascii="Helvetica" w:hAnsi="Helvetica" w:cs="Helvetica"/>
        <w:sz w:val="16"/>
        <w:szCs w:val="16"/>
      </w:rPr>
      <w:t>Siaga</w:t>
    </w:r>
    <w:proofErr w:type="spellEnd"/>
    <w:r>
      <w:rPr>
        <w:rFonts w:ascii="Helvetica" w:hAnsi="Helvetica" w:cs="Helvetica"/>
        <w:sz w:val="16"/>
        <w:szCs w:val="16"/>
      </w:rPr>
      <w:t xml:space="preserve"> Padang: </w:t>
    </w:r>
    <w:proofErr w:type="spellStart"/>
    <w:r>
      <w:rPr>
        <w:rFonts w:ascii="Helvetica" w:hAnsi="Helvetica" w:cs="Helvetica"/>
        <w:sz w:val="16"/>
        <w:szCs w:val="16"/>
      </w:rPr>
      <w:t>Sistem</w:t>
    </w:r>
    <w:proofErr w:type="spellEnd"/>
    <w:r>
      <w:rPr>
        <w:rFonts w:ascii="Helvetica" w:hAnsi="Helvetica" w:cs="Helvetica"/>
        <w:sz w:val="16"/>
        <w:szCs w:val="16"/>
      </w:rPr>
      <w:t xml:space="preserve"> </w:t>
    </w:r>
    <w:proofErr w:type="spellStart"/>
    <w:r>
      <w:rPr>
        <w:rFonts w:ascii="Helvetica" w:hAnsi="Helvetica" w:cs="Helvetica"/>
        <w:sz w:val="16"/>
        <w:szCs w:val="16"/>
      </w:rPr>
      <w:t>Navigasi</w:t>
    </w:r>
    <w:proofErr w:type="spellEnd"/>
    <w:r>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76F3" w14:textId="77777777" w:rsidR="009771D5" w:rsidRDefault="0097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0B0F3" w14:textId="77777777" w:rsidR="006F4406" w:rsidRDefault="006F4406" w:rsidP="005376F2">
      <w:r>
        <w:separator/>
      </w:r>
    </w:p>
  </w:footnote>
  <w:footnote w:type="continuationSeparator" w:id="0">
    <w:p w14:paraId="14DF452F" w14:textId="77777777" w:rsidR="006F4406" w:rsidRDefault="006F4406"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0DDC0A7C" w14:textId="77777777" w:rsidTr="004D24E6">
      <w:tc>
        <w:tcPr>
          <w:tcW w:w="10490" w:type="dxa"/>
        </w:tcPr>
        <w:p w14:paraId="405FA686"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3084316E" w14:textId="77777777" w:rsidR="004D24E6" w:rsidRDefault="00440DA7" w:rsidP="00937089">
          <w:pPr>
            <w:pStyle w:val="GemastikISSN"/>
            <w:ind w:right="-113"/>
          </w:pPr>
          <w:r w:rsidRPr="00440DA7">
            <w:t xml:space="preserve">ISSN: </w:t>
          </w:r>
          <w:proofErr w:type="spellStart"/>
          <w:r w:rsidRPr="00440DA7">
            <w:t>xxxxxx</w:t>
          </w:r>
          <w:proofErr w:type="spellEnd"/>
        </w:p>
        <w:p w14:paraId="5A691F21" w14:textId="77777777" w:rsidR="004D24E6" w:rsidRPr="004D24E6" w:rsidRDefault="004D24E6" w:rsidP="007A7417">
          <w:pPr>
            <w:pStyle w:val="Header"/>
            <w:tabs>
              <w:tab w:val="left" w:pos="5732"/>
            </w:tabs>
            <w:ind w:right="-113"/>
            <w:rPr>
              <w:color w:val="000000" w:themeColor="text1"/>
              <w:sz w:val="14"/>
              <w:szCs w:val="14"/>
            </w:rPr>
          </w:pPr>
        </w:p>
      </w:tc>
    </w:tr>
  </w:tbl>
  <w:p w14:paraId="4D8AF430" w14:textId="77777777" w:rsidR="009771D5" w:rsidRPr="00C36842" w:rsidRDefault="009771D5"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13D011DD" w14:textId="77777777" w:rsidTr="00BC3182">
      <w:trPr>
        <w:jc w:val="center"/>
      </w:trPr>
      <w:tc>
        <w:tcPr>
          <w:tcW w:w="10490" w:type="dxa"/>
        </w:tcPr>
        <w:p w14:paraId="7080F9FA"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1F02EA60"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4DE636C5"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304A0D26" w14:textId="77777777" w:rsidR="009771D5"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 w:numId="24" w16cid:durableId="1793749813">
    <w:abstractNumId w:val="3"/>
    <w:lvlOverride w:ilvl="0">
      <w:startOverride w:val="1"/>
    </w:lvlOverride>
  </w:num>
  <w:num w:numId="25" w16cid:durableId="194003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469DF"/>
    <w:rsid w:val="001503DD"/>
    <w:rsid w:val="00151BDB"/>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27149"/>
    <w:rsid w:val="00330CC8"/>
    <w:rsid w:val="00334321"/>
    <w:rsid w:val="003451C3"/>
    <w:rsid w:val="00355B3D"/>
    <w:rsid w:val="003577D5"/>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6358"/>
    <w:rsid w:val="004674DE"/>
    <w:rsid w:val="00472334"/>
    <w:rsid w:val="00473ECC"/>
    <w:rsid w:val="00480B74"/>
    <w:rsid w:val="004815DC"/>
    <w:rsid w:val="004A3442"/>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468A"/>
    <w:rsid w:val="0067489B"/>
    <w:rsid w:val="006917A8"/>
    <w:rsid w:val="006A7ACA"/>
    <w:rsid w:val="006C24DE"/>
    <w:rsid w:val="006C4DCE"/>
    <w:rsid w:val="006D3FA5"/>
    <w:rsid w:val="006D45E9"/>
    <w:rsid w:val="006E4477"/>
    <w:rsid w:val="006E7D4C"/>
    <w:rsid w:val="006F3ED9"/>
    <w:rsid w:val="006F4406"/>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3E35"/>
    <w:rsid w:val="0083740B"/>
    <w:rsid w:val="00842156"/>
    <w:rsid w:val="008606E5"/>
    <w:rsid w:val="008621DD"/>
    <w:rsid w:val="008639D0"/>
    <w:rsid w:val="00877788"/>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1D5"/>
    <w:rsid w:val="00977B89"/>
    <w:rsid w:val="009807E0"/>
    <w:rsid w:val="00983073"/>
    <w:rsid w:val="0098451E"/>
    <w:rsid w:val="00984BA3"/>
    <w:rsid w:val="009B0174"/>
    <w:rsid w:val="009D5E57"/>
    <w:rsid w:val="009F06BB"/>
    <w:rsid w:val="009F39A5"/>
    <w:rsid w:val="00A15392"/>
    <w:rsid w:val="00A173B2"/>
    <w:rsid w:val="00A33529"/>
    <w:rsid w:val="00A35279"/>
    <w:rsid w:val="00A45926"/>
    <w:rsid w:val="00A46DCF"/>
    <w:rsid w:val="00A6048F"/>
    <w:rsid w:val="00A73A33"/>
    <w:rsid w:val="00AB4A02"/>
    <w:rsid w:val="00AB6DAA"/>
    <w:rsid w:val="00AC58B9"/>
    <w:rsid w:val="00AC72AA"/>
    <w:rsid w:val="00AD1121"/>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27B76"/>
    <w:rsid w:val="00C30AD9"/>
    <w:rsid w:val="00C31EA0"/>
    <w:rsid w:val="00C36842"/>
    <w:rsid w:val="00C42997"/>
    <w:rsid w:val="00C438D5"/>
    <w:rsid w:val="00C4794C"/>
    <w:rsid w:val="00C50253"/>
    <w:rsid w:val="00C5764B"/>
    <w:rsid w:val="00C75E9B"/>
    <w:rsid w:val="00C80CE4"/>
    <w:rsid w:val="00CB1E59"/>
    <w:rsid w:val="00CB636D"/>
    <w:rsid w:val="00CC7274"/>
    <w:rsid w:val="00CD58DA"/>
    <w:rsid w:val="00CE65CF"/>
    <w:rsid w:val="00CF6EFC"/>
    <w:rsid w:val="00D0664B"/>
    <w:rsid w:val="00D2303C"/>
    <w:rsid w:val="00D32210"/>
    <w:rsid w:val="00D36798"/>
    <w:rsid w:val="00D41B4D"/>
    <w:rsid w:val="00D667EC"/>
    <w:rsid w:val="00D668BB"/>
    <w:rsid w:val="00D679F6"/>
    <w:rsid w:val="00D75A71"/>
    <w:rsid w:val="00D771DB"/>
    <w:rsid w:val="00D81FC3"/>
    <w:rsid w:val="00D8317C"/>
    <w:rsid w:val="00D96C0D"/>
    <w:rsid w:val="00DA2CC1"/>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16D9C"/>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47A50"/>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523016_mikail@student.unand.ac.id" TargetMode="External"/><Relationship Id="rId13" Type="http://schemas.openxmlformats.org/officeDocument/2006/relationships/header" Target="header2.xml"/><Relationship Id="rId18"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dwi@it.unand.ac.i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2411523020_sheva@student.unand.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2411522024_muhammad@student.unand.ac.id" TargetMode="External"/><Relationship Id="rId14" Type="http://schemas.openxmlformats.org/officeDocument/2006/relationships/footer" Target="footer1.xml"/><Relationship Id="rId21" Type="http://schemas.openxmlformats.org/officeDocument/2006/relationships/image" Target="media/image3.png"/><Relationship Id="rId2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218</TotalTime>
  <Pages>5</Pages>
  <Words>3840</Words>
  <Characters>21889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Siaga Padang: Sistem Navigasi Evakuasi Tsunami Luring Berbasis Pemodelan Pergerakan Kolektif</vt:lpstr>
    </vt:vector>
  </TitlesOfParts>
  <Company/>
  <LinksUpToDate>false</LinksUpToDate>
  <CharactersWithSpaces>25678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Siaga Padang: Sistem Navigasi Evakuasi Tsunami Luring Berbasis Pemodelan Pergerakan Kolektif</dc:title>
  <dc:subject/>
  <dc:creator>Mikail Samyth Habibillah</dc:creator>
  <cp:keywords/>
  <dc:description/>
  <cp:lastModifiedBy>MUHAMMAD HABIB</cp:lastModifiedBy>
  <cp:revision>22</cp:revision>
  <dcterms:created xsi:type="dcterms:W3CDTF">2023-03-13T14:33:00Z</dcterms:created>
  <dcterms:modified xsi:type="dcterms:W3CDTF">2026-10-29T11:49:00Z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