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8"/>
        </w:rPr>
        <w:t>Part 2: Incident Readiness Pack</w:t>
      </w:r>
    </w:p>
    <w:p>
      <w:pPr>
        <w:spacing w:after="360"/>
      </w:pPr>
      <w:r>
        <w:rPr>
          <w:i/>
          <w:color w:val="008080"/>
          <w:sz w:val="26"/>
        </w:rPr>
        <w:t>Task 2.1 — Organisation Profile &amp; Risk Register | Al Amal Hospital</w:t>
      </w:r>
    </w:p>
    <w:p>
      <w:pPr>
        <w:spacing w:before="280" w:after="120"/>
      </w:pPr>
      <w:r>
        <w:rPr>
          <w:b/>
          <w:color w:val="1B365D"/>
          <w:sz w:val="32"/>
        </w:rPr>
        <w:t>1. Organisation Profile — Al Amal Hospital</w:t>
      </w:r>
    </w:p>
    <w:p>
      <w:pPr>
        <w:spacing w:after="200" w:line="276" w:lineRule="auto"/>
      </w:pPr>
      <w:r>
        <w:t>Al Amal Hospital is a 300-bed regional trauma center and acute care facility providing 24/7 emergency medicine, intensive care, surgical operations, DICOM medical imaging, and automated pharmaceutical dispensing. The hospital relies heavily on interconnected clinical IT infrastructure, centralized electronic health records, and active directory identity services to maintain patient care delivery and clinical safety.</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312"/>
        <w:gridCol w:w="3312"/>
        <w:gridCol w:w="3312"/>
      </w:tblGrid>
      <w:tr>
        <w:tc>
          <w:tcPr>
            <w:tcW w:type="dxa" w:w="2880"/>
            <w:shd w:fill="1B365D"/>
            <w:tcMar>
              <w:top w:w="120" w:type="dxa"/>
              <w:bottom w:w="120" w:type="dxa"/>
              <w:left w:w="120" w:type="dxa"/>
              <w:right w:w="120" w:type="dxa"/>
            </w:tcMar>
          </w:tcPr>
          <w:p>
            <w:pPr>
              <w:spacing w:after="0"/>
            </w:pPr>
            <w:r>
              <w:rPr>
                <w:b/>
                <w:color w:val="FFFFFF"/>
                <w:sz w:val="20"/>
              </w:rPr>
              <w:t>Critical System</w:t>
            </w:r>
          </w:p>
        </w:tc>
        <w:tc>
          <w:tcPr>
            <w:tcW w:type="dxa" w:w="3168"/>
            <w:shd w:fill="1B365D"/>
            <w:tcMar>
              <w:top w:w="120" w:type="dxa"/>
              <w:bottom w:w="120" w:type="dxa"/>
              <w:left w:w="120" w:type="dxa"/>
              <w:right w:w="120" w:type="dxa"/>
            </w:tcMar>
          </w:tcPr>
          <w:p>
            <w:pPr>
              <w:spacing w:after="0"/>
            </w:pPr>
            <w:r>
              <w:rPr>
                <w:b/>
                <w:color w:val="FFFFFF"/>
                <w:sz w:val="20"/>
              </w:rPr>
              <w:t>Maximum Tolerable Downtime (MTD)</w:t>
            </w:r>
          </w:p>
        </w:tc>
        <w:tc>
          <w:tcPr>
            <w:tcW w:type="dxa" w:w="3744"/>
            <w:shd w:fill="1B365D"/>
            <w:tcMar>
              <w:top w:w="120" w:type="dxa"/>
              <w:bottom w:w="120" w:type="dxa"/>
              <w:left w:w="120" w:type="dxa"/>
              <w:right w:w="120" w:type="dxa"/>
            </w:tcMar>
          </w:tcPr>
          <w:p>
            <w:pPr>
              <w:spacing w:after="0"/>
            </w:pPr>
            <w:r>
              <w:rPr>
                <w:b/>
                <w:color w:val="FFFFFF"/>
                <w:sz w:val="20"/>
              </w:rPr>
              <w:t>Operational &amp; Clinical Impact</w:t>
            </w:r>
          </w:p>
        </w:tc>
      </w:tr>
      <w:tr>
        <w:tc>
          <w:tcPr>
            <w:tcW w:type="dxa" w:w="2880"/>
            <w:shd w:fill="F4F6F9"/>
            <w:tcMar>
              <w:top w:w="100" w:type="dxa"/>
              <w:bottom w:w="100" w:type="dxa"/>
              <w:left w:w="120" w:type="dxa"/>
              <w:right w:w="120" w:type="dxa"/>
            </w:tcMar>
          </w:tcPr>
          <w:p>
            <w:pPr>
              <w:spacing w:after="0"/>
            </w:pPr>
            <w:r>
              <w:rPr>
                <w:sz w:val="19"/>
              </w:rPr>
              <w:t>EHR Database / Patient Management</w:t>
            </w:r>
          </w:p>
        </w:tc>
        <w:tc>
          <w:tcPr>
            <w:tcW w:type="dxa" w:w="3168"/>
            <w:shd w:fill="F4F6F9"/>
            <w:tcMar>
              <w:top w:w="100" w:type="dxa"/>
              <w:bottom w:w="100" w:type="dxa"/>
              <w:left w:w="120" w:type="dxa"/>
              <w:right w:w="120" w:type="dxa"/>
            </w:tcMar>
          </w:tcPr>
          <w:p>
            <w:pPr>
              <w:spacing w:after="0"/>
            </w:pPr>
            <w:r>
              <w:rPr>
                <w:b/>
                <w:color w:val="1B365D"/>
                <w:sz w:val="19"/>
              </w:rPr>
              <w:t>1 Hour</w:t>
            </w:r>
          </w:p>
        </w:tc>
        <w:tc>
          <w:tcPr>
            <w:tcW w:type="dxa" w:w="3744"/>
            <w:shd w:fill="F4F6F9"/>
            <w:tcMar>
              <w:top w:w="100" w:type="dxa"/>
              <w:bottom w:w="100" w:type="dxa"/>
              <w:left w:w="120" w:type="dxa"/>
              <w:right w:w="120" w:type="dxa"/>
            </w:tcMar>
          </w:tcPr>
          <w:p>
            <w:pPr>
              <w:spacing w:after="0"/>
            </w:pPr>
            <w:r>
              <w:rPr>
                <w:sz w:val="19"/>
              </w:rPr>
              <w:t>Severe disruption to clinical workflows, lost medical histories, emergency triage delays, medication risks.</w:t>
            </w:r>
          </w:p>
        </w:tc>
      </w:tr>
      <w:tr>
        <w:tc>
          <w:tcPr>
            <w:tcW w:type="dxa" w:w="2880"/>
            <w:shd w:fill="FFFFFF"/>
            <w:tcMar>
              <w:top w:w="100" w:type="dxa"/>
              <w:bottom w:w="100" w:type="dxa"/>
              <w:left w:w="120" w:type="dxa"/>
              <w:right w:w="120" w:type="dxa"/>
            </w:tcMar>
          </w:tcPr>
          <w:p>
            <w:pPr>
              <w:spacing w:after="0"/>
            </w:pPr>
            <w:r>
              <w:rPr>
                <w:sz w:val="19"/>
              </w:rPr>
              <w:t>PACS (Medical Imaging / DICOM Server)</w:t>
            </w:r>
          </w:p>
        </w:tc>
        <w:tc>
          <w:tcPr>
            <w:tcW w:type="dxa" w:w="3168"/>
            <w:shd w:fill="FFFFFF"/>
            <w:tcMar>
              <w:top w:w="100" w:type="dxa"/>
              <w:bottom w:w="100" w:type="dxa"/>
              <w:left w:w="120" w:type="dxa"/>
              <w:right w:w="120" w:type="dxa"/>
            </w:tcMar>
          </w:tcPr>
          <w:p>
            <w:pPr>
              <w:spacing w:after="0"/>
            </w:pPr>
            <w:r>
              <w:rPr>
                <w:b/>
                <w:color w:val="1B365D"/>
                <w:sz w:val="19"/>
              </w:rPr>
              <w:t>4 Hours</w:t>
            </w:r>
          </w:p>
        </w:tc>
        <w:tc>
          <w:tcPr>
            <w:tcW w:type="dxa" w:w="3744"/>
            <w:shd w:fill="FFFFFF"/>
            <w:tcMar>
              <w:top w:w="100" w:type="dxa"/>
              <w:bottom w:w="100" w:type="dxa"/>
              <w:left w:w="120" w:type="dxa"/>
              <w:right w:w="120" w:type="dxa"/>
            </w:tcMar>
          </w:tcPr>
          <w:p>
            <w:pPr>
              <w:spacing w:after="0"/>
            </w:pPr>
            <w:r>
              <w:rPr>
                <w:sz w:val="19"/>
              </w:rPr>
              <w:t>Inability to retrieve radiology scans (X-Ray/CT/MRI), causing critical delays in surgical planning.</w:t>
            </w:r>
          </w:p>
        </w:tc>
      </w:tr>
      <w:tr>
        <w:tc>
          <w:tcPr>
            <w:tcW w:type="dxa" w:w="2880"/>
            <w:shd w:fill="F4F6F9"/>
            <w:tcMar>
              <w:top w:w="100" w:type="dxa"/>
              <w:bottom w:w="100" w:type="dxa"/>
              <w:left w:w="120" w:type="dxa"/>
              <w:right w:w="120" w:type="dxa"/>
            </w:tcMar>
          </w:tcPr>
          <w:p>
            <w:pPr>
              <w:spacing w:after="0"/>
            </w:pPr>
            <w:r>
              <w:rPr>
                <w:sz w:val="19"/>
              </w:rPr>
              <w:t>Active Directory / Domain Controller</w:t>
            </w:r>
          </w:p>
        </w:tc>
        <w:tc>
          <w:tcPr>
            <w:tcW w:type="dxa" w:w="3168"/>
            <w:shd w:fill="F4F6F9"/>
            <w:tcMar>
              <w:top w:w="100" w:type="dxa"/>
              <w:bottom w:w="100" w:type="dxa"/>
              <w:left w:w="120" w:type="dxa"/>
              <w:right w:w="120" w:type="dxa"/>
            </w:tcMar>
          </w:tcPr>
          <w:p>
            <w:pPr>
              <w:spacing w:after="0"/>
            </w:pPr>
            <w:r>
              <w:rPr>
                <w:b/>
                <w:color w:val="1B365D"/>
                <w:sz w:val="19"/>
              </w:rPr>
              <w:t>2 Hours</w:t>
            </w:r>
          </w:p>
        </w:tc>
        <w:tc>
          <w:tcPr>
            <w:tcW w:type="dxa" w:w="3744"/>
            <w:shd w:fill="F4F6F9"/>
            <w:tcMar>
              <w:top w:w="100" w:type="dxa"/>
              <w:bottom w:w="100" w:type="dxa"/>
              <w:left w:w="120" w:type="dxa"/>
              <w:right w:w="120" w:type="dxa"/>
            </w:tcMar>
          </w:tcPr>
          <w:p>
            <w:pPr>
              <w:spacing w:after="0"/>
            </w:pPr>
            <w:r>
              <w:rPr>
                <w:sz w:val="19"/>
              </w:rPr>
              <w:t>Staff lockout across clinical workstations, emergency room terminals, and administrative systems.</w:t>
            </w:r>
          </w:p>
        </w:tc>
      </w:tr>
      <w:tr>
        <w:tc>
          <w:tcPr>
            <w:tcW w:type="dxa" w:w="2880"/>
            <w:shd w:fill="FFFFFF"/>
            <w:tcMar>
              <w:top w:w="100" w:type="dxa"/>
              <w:bottom w:w="100" w:type="dxa"/>
              <w:left w:w="120" w:type="dxa"/>
              <w:right w:w="120" w:type="dxa"/>
            </w:tcMar>
          </w:tcPr>
          <w:p>
            <w:pPr>
              <w:spacing w:after="0"/>
            </w:pPr>
            <w:r>
              <w:rPr>
                <w:sz w:val="19"/>
              </w:rPr>
              <w:t>Automated Pharmacy Dispensing</w:t>
            </w:r>
          </w:p>
        </w:tc>
        <w:tc>
          <w:tcPr>
            <w:tcW w:type="dxa" w:w="3168"/>
            <w:shd w:fill="FFFFFF"/>
            <w:tcMar>
              <w:top w:w="100" w:type="dxa"/>
              <w:bottom w:w="100" w:type="dxa"/>
              <w:left w:w="120" w:type="dxa"/>
              <w:right w:w="120" w:type="dxa"/>
            </w:tcMar>
          </w:tcPr>
          <w:p>
            <w:pPr>
              <w:spacing w:after="0"/>
            </w:pPr>
            <w:r>
              <w:rPr>
                <w:b/>
                <w:color w:val="1B365D"/>
                <w:sz w:val="19"/>
              </w:rPr>
              <w:t>30 Minutes</w:t>
            </w:r>
          </w:p>
        </w:tc>
        <w:tc>
          <w:tcPr>
            <w:tcW w:type="dxa" w:w="3744"/>
            <w:shd w:fill="FFFFFF"/>
            <w:tcMar>
              <w:top w:w="100" w:type="dxa"/>
              <w:bottom w:w="100" w:type="dxa"/>
              <w:left w:w="120" w:type="dxa"/>
              <w:right w:w="120" w:type="dxa"/>
            </w:tcMar>
          </w:tcPr>
          <w:p>
            <w:pPr>
              <w:spacing w:after="0"/>
            </w:pPr>
            <w:r>
              <w:rPr>
                <w:sz w:val="19"/>
              </w:rPr>
              <w:t>Direct patient safety hazard due to potential delay or failure in urgent medication administration.</w:t>
            </w:r>
          </w:p>
        </w:tc>
      </w:tr>
    </w:tbl>
    <w:p>
      <w:pPr>
        <w:spacing w:after="160"/>
      </w:pPr>
    </w:p>
    <w:p>
      <w:pPr>
        <w:spacing w:before="320" w:after="120"/>
      </w:pPr>
      <w:r>
        <w:rPr>
          <w:b/>
          <w:color w:val="1B365D"/>
          <w:sz w:val="32"/>
        </w:rPr>
        <w:t>2. Risk Register (Mapped to Part 1 SIEM Rules)</w:t>
      </w:r>
    </w:p>
    <w:p>
      <w:pPr>
        <w:spacing w:after="200"/>
      </w:pPr>
      <w:r>
        <w:t>The following risk register outlines 10 threat scenarios mapped to Al Amal Hospital's critical assets, MITRE ATT&amp;CK techniques, and the detection rules implemented in Part 1.</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04"/>
        <w:gridCol w:w="1104"/>
        <w:gridCol w:w="1104"/>
        <w:gridCol w:w="1104"/>
        <w:gridCol w:w="1104"/>
        <w:gridCol w:w="1104"/>
        <w:gridCol w:w="1104"/>
        <w:gridCol w:w="1104"/>
        <w:gridCol w:w="1104"/>
      </w:tblGrid>
      <w:tr>
        <w:tc>
          <w:tcPr>
            <w:tcW w:type="dxa" w:w="432"/>
            <w:shd w:fill="1B365D"/>
            <w:tcMar>
              <w:top w:w="100" w:type="dxa"/>
              <w:bottom w:w="100" w:type="dxa"/>
              <w:left w:w="60" w:type="dxa"/>
              <w:right w:w="60" w:type="dxa"/>
            </w:tcMar>
          </w:tcPr>
          <w:p>
            <w:pPr>
              <w:spacing w:after="0"/>
            </w:pPr>
            <w:r>
              <w:rPr>
                <w:b/>
                <w:color w:val="FFFFFF"/>
                <w:sz w:val="17"/>
              </w:rPr>
              <w:t>#</w:t>
            </w:r>
          </w:p>
        </w:tc>
        <w:tc>
          <w:tcPr>
            <w:tcW w:type="dxa" w:w="2160"/>
            <w:shd w:fill="1B365D"/>
            <w:tcMar>
              <w:top w:w="100" w:type="dxa"/>
              <w:bottom w:w="100" w:type="dxa"/>
              <w:left w:w="60" w:type="dxa"/>
              <w:right w:w="60" w:type="dxa"/>
            </w:tcMar>
          </w:tcPr>
          <w:p>
            <w:pPr>
              <w:spacing w:after="0"/>
            </w:pPr>
            <w:r>
              <w:rPr>
                <w:b/>
                <w:color w:val="FFFFFF"/>
                <w:sz w:val="17"/>
              </w:rPr>
              <w:t>Risk Scenario</w:t>
            </w:r>
          </w:p>
        </w:tc>
        <w:tc>
          <w:tcPr>
            <w:tcW w:type="dxa" w:w="1296"/>
            <w:shd w:fill="1B365D"/>
            <w:tcMar>
              <w:top w:w="100" w:type="dxa"/>
              <w:bottom w:w="100" w:type="dxa"/>
              <w:left w:w="60" w:type="dxa"/>
              <w:right w:w="60" w:type="dxa"/>
            </w:tcMar>
          </w:tcPr>
          <w:p>
            <w:pPr>
              <w:spacing w:after="0"/>
            </w:pPr>
            <w:r>
              <w:rPr>
                <w:b/>
                <w:color w:val="FFFFFF"/>
                <w:sz w:val="17"/>
              </w:rPr>
              <w:t>Asset</w:t>
            </w:r>
          </w:p>
        </w:tc>
        <w:tc>
          <w:tcPr>
            <w:tcW w:type="dxa" w:w="576"/>
            <w:shd w:fill="1B365D"/>
            <w:tcMar>
              <w:top w:w="100" w:type="dxa"/>
              <w:bottom w:w="100" w:type="dxa"/>
              <w:left w:w="60" w:type="dxa"/>
              <w:right w:w="60" w:type="dxa"/>
            </w:tcMar>
          </w:tcPr>
          <w:p>
            <w:pPr>
              <w:spacing w:after="0"/>
            </w:pPr>
            <w:r>
              <w:rPr>
                <w:b/>
                <w:color w:val="FFFFFF"/>
                <w:sz w:val="17"/>
              </w:rPr>
              <w:t>L</w:t>
            </w:r>
          </w:p>
        </w:tc>
        <w:tc>
          <w:tcPr>
            <w:tcW w:type="dxa" w:w="576"/>
            <w:shd w:fill="1B365D"/>
            <w:tcMar>
              <w:top w:w="100" w:type="dxa"/>
              <w:bottom w:w="100" w:type="dxa"/>
              <w:left w:w="60" w:type="dxa"/>
              <w:right w:w="60" w:type="dxa"/>
            </w:tcMar>
          </w:tcPr>
          <w:p>
            <w:pPr>
              <w:spacing w:after="0"/>
            </w:pPr>
            <w:r>
              <w:rPr>
                <w:b/>
                <w:color w:val="FFFFFF"/>
                <w:sz w:val="17"/>
              </w:rPr>
              <w:t>I</w:t>
            </w:r>
          </w:p>
        </w:tc>
        <w:tc>
          <w:tcPr>
            <w:tcW w:type="dxa" w:w="1296"/>
            <w:shd w:fill="1B365D"/>
            <w:tcMar>
              <w:top w:w="100" w:type="dxa"/>
              <w:bottom w:w="100" w:type="dxa"/>
              <w:left w:w="60" w:type="dxa"/>
              <w:right w:w="60" w:type="dxa"/>
            </w:tcMar>
          </w:tcPr>
          <w:p>
            <w:pPr>
              <w:spacing w:after="0"/>
            </w:pPr>
            <w:r>
              <w:rPr>
                <w:b/>
                <w:color w:val="FFFFFF"/>
                <w:sz w:val="17"/>
              </w:rPr>
              <w:t>Owner</w:t>
            </w:r>
          </w:p>
        </w:tc>
        <w:tc>
          <w:tcPr>
            <w:tcW w:type="dxa" w:w="1872"/>
            <w:shd w:fill="1B365D"/>
            <w:tcMar>
              <w:top w:w="100" w:type="dxa"/>
              <w:bottom w:w="100" w:type="dxa"/>
              <w:left w:w="60" w:type="dxa"/>
              <w:right w:w="60" w:type="dxa"/>
            </w:tcMar>
          </w:tcPr>
          <w:p>
            <w:pPr>
              <w:spacing w:after="0"/>
            </w:pPr>
            <w:r>
              <w:rPr>
                <w:b/>
                <w:color w:val="FFFFFF"/>
                <w:sz w:val="17"/>
              </w:rPr>
              <w:t>Mitigation / Action</w:t>
            </w:r>
          </w:p>
        </w:tc>
        <w:tc>
          <w:tcPr>
            <w:tcW w:type="dxa" w:w="864"/>
            <w:shd w:fill="1B365D"/>
            <w:tcMar>
              <w:top w:w="100" w:type="dxa"/>
              <w:bottom w:w="100" w:type="dxa"/>
              <w:left w:w="60" w:type="dxa"/>
              <w:right w:w="60" w:type="dxa"/>
            </w:tcMar>
          </w:tcPr>
          <w:p>
            <w:pPr>
              <w:spacing w:after="0"/>
            </w:pPr>
            <w:r>
              <w:rPr>
                <w:b/>
                <w:color w:val="FFFFFF"/>
                <w:sz w:val="17"/>
              </w:rPr>
              <w:t>ATT&amp;CK</w:t>
            </w:r>
          </w:p>
        </w:tc>
        <w:tc>
          <w:tcPr>
            <w:tcW w:type="dxa" w:w="1008"/>
            <w:shd w:fill="1B365D"/>
            <w:tcMar>
              <w:top w:w="100" w:type="dxa"/>
              <w:bottom w:w="100" w:type="dxa"/>
              <w:left w:w="60" w:type="dxa"/>
              <w:right w:w="60" w:type="dxa"/>
            </w:tcMar>
          </w:tcPr>
          <w:p>
            <w:pPr>
              <w:spacing w:after="0"/>
            </w:pPr>
            <w:r>
              <w:rPr>
                <w:b/>
                <w:color w:val="FFFFFF"/>
                <w:sz w:val="17"/>
              </w:rPr>
              <w:t>Part 1 Rule</w:t>
            </w:r>
          </w:p>
        </w:tc>
      </w:tr>
      <w:tr>
        <w:tc>
          <w:tcPr>
            <w:tcW w:type="dxa" w:w="432"/>
            <w:shd w:fill="F4F6F9"/>
            <w:tcMar>
              <w:top w:w="80" w:type="dxa"/>
              <w:bottom w:w="80" w:type="dxa"/>
              <w:left w:w="60" w:type="dxa"/>
              <w:right w:w="60" w:type="dxa"/>
            </w:tcMar>
          </w:tcPr>
          <w:p>
            <w:pPr>
              <w:spacing w:after="0"/>
            </w:pPr>
            <w:r>
              <w:rPr>
                <w:sz w:val="17"/>
              </w:rPr>
              <w:t>1</w:t>
            </w:r>
          </w:p>
        </w:tc>
        <w:tc>
          <w:tcPr>
            <w:tcW w:type="dxa" w:w="2160"/>
            <w:shd w:fill="F4F6F9"/>
            <w:tcMar>
              <w:top w:w="80" w:type="dxa"/>
              <w:bottom w:w="80" w:type="dxa"/>
              <w:left w:w="60" w:type="dxa"/>
              <w:right w:w="60" w:type="dxa"/>
            </w:tcMar>
          </w:tcPr>
          <w:p>
            <w:pPr>
              <w:spacing w:after="0"/>
            </w:pPr>
            <w:r>
              <w:rPr>
                <w:sz w:val="17"/>
              </w:rPr>
              <w:t>Credential Brute-Forcing on Clinical Portals</w:t>
            </w:r>
          </w:p>
        </w:tc>
        <w:tc>
          <w:tcPr>
            <w:tcW w:type="dxa" w:w="1296"/>
            <w:shd w:fill="F4F6F9"/>
            <w:tcMar>
              <w:top w:w="80" w:type="dxa"/>
              <w:bottom w:w="80" w:type="dxa"/>
              <w:left w:w="60" w:type="dxa"/>
              <w:right w:w="60" w:type="dxa"/>
            </w:tcMar>
          </w:tcPr>
          <w:p>
            <w:pPr>
              <w:spacing w:after="0"/>
            </w:pPr>
            <w:r>
              <w:rPr>
                <w:sz w:val="17"/>
              </w:rPr>
              <w:t>EHR Gateway / AD</w:t>
            </w:r>
          </w:p>
        </w:tc>
        <w:tc>
          <w:tcPr>
            <w:tcW w:type="dxa" w:w="576"/>
            <w:shd w:fill="F4F6F9"/>
            <w:tcMar>
              <w:top w:w="80" w:type="dxa"/>
              <w:bottom w:w="80" w:type="dxa"/>
              <w:left w:w="60" w:type="dxa"/>
              <w:right w:w="60" w:type="dxa"/>
            </w:tcMar>
          </w:tcPr>
          <w:p>
            <w:pPr>
              <w:spacing w:after="0"/>
            </w:pPr>
            <w:r>
              <w:rPr>
                <w:sz w:val="17"/>
              </w:rPr>
              <w:t>High</w:t>
            </w:r>
          </w:p>
        </w:tc>
        <w:tc>
          <w:tcPr>
            <w:tcW w:type="dxa" w:w="576"/>
            <w:shd w:fill="F4F6F9"/>
            <w:tcMar>
              <w:top w:w="80" w:type="dxa"/>
              <w:bottom w:w="80" w:type="dxa"/>
              <w:left w:w="60" w:type="dxa"/>
              <w:right w:w="60" w:type="dxa"/>
            </w:tcMar>
          </w:tcPr>
          <w:p>
            <w:pPr>
              <w:spacing w:after="0"/>
            </w:pPr>
            <w:r>
              <w:rPr>
                <w:sz w:val="17"/>
              </w:rPr>
              <w:t>High</w:t>
            </w:r>
          </w:p>
        </w:tc>
        <w:tc>
          <w:tcPr>
            <w:tcW w:type="dxa" w:w="1296"/>
            <w:shd w:fill="F4F6F9"/>
            <w:tcMar>
              <w:top w:w="80" w:type="dxa"/>
              <w:bottom w:w="80" w:type="dxa"/>
              <w:left w:w="60" w:type="dxa"/>
              <w:right w:w="60" w:type="dxa"/>
            </w:tcMar>
          </w:tcPr>
          <w:p>
            <w:pPr>
              <w:spacing w:after="0"/>
            </w:pPr>
            <w:r>
              <w:rPr>
                <w:sz w:val="17"/>
              </w:rPr>
              <w:t>IT Security Team</w:t>
            </w:r>
          </w:p>
        </w:tc>
        <w:tc>
          <w:tcPr>
            <w:tcW w:type="dxa" w:w="1872"/>
            <w:shd w:fill="F4F6F9"/>
            <w:tcMar>
              <w:top w:w="80" w:type="dxa"/>
              <w:bottom w:w="80" w:type="dxa"/>
              <w:left w:w="60" w:type="dxa"/>
              <w:right w:w="60" w:type="dxa"/>
            </w:tcMar>
          </w:tcPr>
          <w:p>
            <w:pPr>
              <w:spacing w:after="0"/>
            </w:pPr>
            <w:r>
              <w:rPr>
                <w:sz w:val="17"/>
              </w:rPr>
              <w:t>Enforce MFA &amp; lockout policies; monitor login anomalies.</w:t>
            </w:r>
          </w:p>
        </w:tc>
        <w:tc>
          <w:tcPr>
            <w:tcW w:type="dxa" w:w="864"/>
            <w:shd w:fill="F4F6F9"/>
            <w:tcMar>
              <w:top w:w="80" w:type="dxa"/>
              <w:bottom w:w="80" w:type="dxa"/>
              <w:left w:w="60" w:type="dxa"/>
              <w:right w:w="60" w:type="dxa"/>
            </w:tcMar>
          </w:tcPr>
          <w:p>
            <w:pPr>
              <w:spacing w:after="0"/>
            </w:pPr>
            <w:r>
              <w:rPr>
                <w:sz w:val="17"/>
              </w:rPr>
              <w:t>T1110</w:t>
            </w:r>
          </w:p>
        </w:tc>
        <w:tc>
          <w:tcPr>
            <w:tcW w:type="dxa" w:w="1008"/>
            <w:shd w:fill="F4F6F9"/>
            <w:tcMar>
              <w:top w:w="80" w:type="dxa"/>
              <w:bottom w:w="80" w:type="dxa"/>
              <w:left w:w="60" w:type="dxa"/>
              <w:right w:w="60" w:type="dxa"/>
            </w:tcMar>
          </w:tcPr>
          <w:p>
            <w:pPr>
              <w:spacing w:after="0"/>
            </w:pPr>
            <w:r>
              <w:rPr>
                <w:b/>
                <w:color w:val="008080"/>
                <w:sz w:val="17"/>
              </w:rPr>
              <w:t>R01 / R08</w:t>
            </w:r>
          </w:p>
        </w:tc>
      </w:tr>
      <w:tr>
        <w:tc>
          <w:tcPr>
            <w:tcW w:type="dxa" w:w="432"/>
            <w:shd w:fill="FFFFFF"/>
            <w:tcMar>
              <w:top w:w="80" w:type="dxa"/>
              <w:bottom w:w="80" w:type="dxa"/>
              <w:left w:w="60" w:type="dxa"/>
              <w:right w:w="60" w:type="dxa"/>
            </w:tcMar>
          </w:tcPr>
          <w:p>
            <w:pPr>
              <w:spacing w:after="0"/>
            </w:pPr>
            <w:r>
              <w:rPr>
                <w:sz w:val="17"/>
              </w:rPr>
              <w:t>2</w:t>
            </w:r>
          </w:p>
        </w:tc>
        <w:tc>
          <w:tcPr>
            <w:tcW w:type="dxa" w:w="2160"/>
            <w:shd w:fill="FFFFFF"/>
            <w:tcMar>
              <w:top w:w="80" w:type="dxa"/>
              <w:bottom w:w="80" w:type="dxa"/>
              <w:left w:w="60" w:type="dxa"/>
              <w:right w:w="60" w:type="dxa"/>
            </w:tcMar>
          </w:tcPr>
          <w:p>
            <w:pPr>
              <w:spacing w:after="0"/>
            </w:pPr>
            <w:r>
              <w:rPr>
                <w:sz w:val="17"/>
              </w:rPr>
              <w:t>Malicious PowerShell Payload via Phishing</w:t>
            </w:r>
          </w:p>
        </w:tc>
        <w:tc>
          <w:tcPr>
            <w:tcW w:type="dxa" w:w="1296"/>
            <w:shd w:fill="FFFFFF"/>
            <w:tcMar>
              <w:top w:w="80" w:type="dxa"/>
              <w:bottom w:w="80" w:type="dxa"/>
              <w:left w:w="60" w:type="dxa"/>
              <w:right w:w="60" w:type="dxa"/>
            </w:tcMar>
          </w:tcPr>
          <w:p>
            <w:pPr>
              <w:spacing w:after="0"/>
            </w:pPr>
            <w:r>
              <w:rPr>
                <w:sz w:val="17"/>
              </w:rPr>
              <w:t>Workstation Endpoint</w:t>
            </w:r>
          </w:p>
        </w:tc>
        <w:tc>
          <w:tcPr>
            <w:tcW w:type="dxa" w:w="576"/>
            <w:shd w:fill="FFFFFF"/>
            <w:tcMar>
              <w:top w:w="80" w:type="dxa"/>
              <w:bottom w:w="80" w:type="dxa"/>
              <w:left w:w="60" w:type="dxa"/>
              <w:right w:w="60" w:type="dxa"/>
            </w:tcMar>
          </w:tcPr>
          <w:p>
            <w:pPr>
              <w:spacing w:after="0"/>
            </w:pPr>
            <w:r>
              <w:rPr>
                <w:sz w:val="17"/>
              </w:rPr>
              <w:t>High</w:t>
            </w:r>
          </w:p>
        </w:tc>
        <w:tc>
          <w:tcPr>
            <w:tcW w:type="dxa" w:w="576"/>
            <w:shd w:fill="FFFFFF"/>
            <w:tcMar>
              <w:top w:w="80" w:type="dxa"/>
              <w:bottom w:w="80" w:type="dxa"/>
              <w:left w:w="60" w:type="dxa"/>
              <w:right w:w="60" w:type="dxa"/>
            </w:tcMar>
          </w:tcPr>
          <w:p>
            <w:pPr>
              <w:spacing w:after="0"/>
            </w:pPr>
            <w:r>
              <w:rPr>
                <w:sz w:val="17"/>
              </w:rPr>
              <w:t>Critical</w:t>
            </w:r>
          </w:p>
        </w:tc>
        <w:tc>
          <w:tcPr>
            <w:tcW w:type="dxa" w:w="1296"/>
            <w:shd w:fill="FFFFFF"/>
            <w:tcMar>
              <w:top w:w="80" w:type="dxa"/>
              <w:bottom w:w="80" w:type="dxa"/>
              <w:left w:w="60" w:type="dxa"/>
              <w:right w:w="60" w:type="dxa"/>
            </w:tcMar>
          </w:tcPr>
          <w:p>
            <w:pPr>
              <w:spacing w:after="0"/>
            </w:pPr>
            <w:r>
              <w:rPr>
                <w:sz w:val="17"/>
              </w:rPr>
              <w:t>Endpoint Sec Team</w:t>
            </w:r>
          </w:p>
        </w:tc>
        <w:tc>
          <w:tcPr>
            <w:tcW w:type="dxa" w:w="1872"/>
            <w:shd w:fill="FFFFFF"/>
            <w:tcMar>
              <w:top w:w="80" w:type="dxa"/>
              <w:bottom w:w="80" w:type="dxa"/>
              <w:left w:w="60" w:type="dxa"/>
              <w:right w:w="60" w:type="dxa"/>
            </w:tcMar>
          </w:tcPr>
          <w:p>
            <w:pPr>
              <w:spacing w:after="0"/>
            </w:pPr>
            <w:r>
              <w:rPr>
                <w:sz w:val="17"/>
              </w:rPr>
              <w:t>Restrict execution policies (Constrained Language); isolate host.</w:t>
            </w:r>
          </w:p>
        </w:tc>
        <w:tc>
          <w:tcPr>
            <w:tcW w:type="dxa" w:w="864"/>
            <w:shd w:fill="FFFFFF"/>
            <w:tcMar>
              <w:top w:w="80" w:type="dxa"/>
              <w:bottom w:w="80" w:type="dxa"/>
              <w:left w:w="60" w:type="dxa"/>
              <w:right w:w="60" w:type="dxa"/>
            </w:tcMar>
          </w:tcPr>
          <w:p>
            <w:pPr>
              <w:spacing w:after="0"/>
            </w:pPr>
            <w:r>
              <w:rPr>
                <w:sz w:val="17"/>
              </w:rPr>
              <w:t>T1059.001</w:t>
            </w:r>
          </w:p>
        </w:tc>
        <w:tc>
          <w:tcPr>
            <w:tcW w:type="dxa" w:w="1008"/>
            <w:shd w:fill="FFFFFF"/>
            <w:tcMar>
              <w:top w:w="80" w:type="dxa"/>
              <w:bottom w:w="80" w:type="dxa"/>
              <w:left w:w="60" w:type="dxa"/>
              <w:right w:w="60" w:type="dxa"/>
            </w:tcMar>
          </w:tcPr>
          <w:p>
            <w:pPr>
              <w:spacing w:after="0"/>
            </w:pPr>
            <w:r>
              <w:rPr>
                <w:b/>
                <w:color w:val="008080"/>
                <w:sz w:val="17"/>
              </w:rPr>
              <w:t>R02</w:t>
            </w:r>
          </w:p>
        </w:tc>
      </w:tr>
      <w:tr>
        <w:tc>
          <w:tcPr>
            <w:tcW w:type="dxa" w:w="432"/>
            <w:shd w:fill="F4F6F9"/>
            <w:tcMar>
              <w:top w:w="80" w:type="dxa"/>
              <w:bottom w:w="80" w:type="dxa"/>
              <w:left w:w="60" w:type="dxa"/>
              <w:right w:w="60" w:type="dxa"/>
            </w:tcMar>
          </w:tcPr>
          <w:p>
            <w:pPr>
              <w:spacing w:after="0"/>
            </w:pPr>
            <w:r>
              <w:rPr>
                <w:sz w:val="17"/>
              </w:rPr>
              <w:t>3</w:t>
            </w:r>
          </w:p>
        </w:tc>
        <w:tc>
          <w:tcPr>
            <w:tcW w:type="dxa" w:w="2160"/>
            <w:shd w:fill="F4F6F9"/>
            <w:tcMar>
              <w:top w:w="80" w:type="dxa"/>
              <w:bottom w:w="80" w:type="dxa"/>
              <w:left w:w="60" w:type="dxa"/>
              <w:right w:w="60" w:type="dxa"/>
            </w:tcMar>
          </w:tcPr>
          <w:p>
            <w:pPr>
              <w:spacing w:after="0"/>
            </w:pPr>
            <w:r>
              <w:rPr>
                <w:sz w:val="17"/>
              </w:rPr>
              <w:t>Malware / Unauthorized Process Execution</w:t>
            </w:r>
          </w:p>
        </w:tc>
        <w:tc>
          <w:tcPr>
            <w:tcW w:type="dxa" w:w="1296"/>
            <w:shd w:fill="F4F6F9"/>
            <w:tcMar>
              <w:top w:w="80" w:type="dxa"/>
              <w:bottom w:w="80" w:type="dxa"/>
              <w:left w:w="60" w:type="dxa"/>
              <w:right w:w="60" w:type="dxa"/>
            </w:tcMar>
          </w:tcPr>
          <w:p>
            <w:pPr>
              <w:spacing w:after="0"/>
            </w:pPr>
            <w:r>
              <w:rPr>
                <w:sz w:val="17"/>
              </w:rPr>
              <w:t>EHR Workstation</w:t>
            </w:r>
          </w:p>
        </w:tc>
        <w:tc>
          <w:tcPr>
            <w:tcW w:type="dxa" w:w="576"/>
            <w:shd w:fill="F4F6F9"/>
            <w:tcMar>
              <w:top w:w="80" w:type="dxa"/>
              <w:bottom w:w="80" w:type="dxa"/>
              <w:left w:w="60" w:type="dxa"/>
              <w:right w:w="60" w:type="dxa"/>
            </w:tcMar>
          </w:tcPr>
          <w:p>
            <w:pPr>
              <w:spacing w:after="0"/>
            </w:pPr>
            <w:r>
              <w:rPr>
                <w:sz w:val="17"/>
              </w:rPr>
              <w:t>Medium</w:t>
            </w:r>
          </w:p>
        </w:tc>
        <w:tc>
          <w:tcPr>
            <w:tcW w:type="dxa" w:w="576"/>
            <w:shd w:fill="F4F6F9"/>
            <w:tcMar>
              <w:top w:w="80" w:type="dxa"/>
              <w:bottom w:w="80" w:type="dxa"/>
              <w:left w:w="60" w:type="dxa"/>
              <w:right w:w="60" w:type="dxa"/>
            </w:tcMar>
          </w:tcPr>
          <w:p>
            <w:pPr>
              <w:spacing w:after="0"/>
            </w:pPr>
            <w:r>
              <w:rPr>
                <w:sz w:val="17"/>
              </w:rPr>
              <w:t>Critical</w:t>
            </w:r>
          </w:p>
        </w:tc>
        <w:tc>
          <w:tcPr>
            <w:tcW w:type="dxa" w:w="1296"/>
            <w:shd w:fill="F4F6F9"/>
            <w:tcMar>
              <w:top w:w="80" w:type="dxa"/>
              <w:bottom w:w="80" w:type="dxa"/>
              <w:left w:w="60" w:type="dxa"/>
              <w:right w:w="60" w:type="dxa"/>
            </w:tcMar>
          </w:tcPr>
          <w:p>
            <w:pPr>
              <w:spacing w:after="0"/>
            </w:pPr>
            <w:r>
              <w:rPr>
                <w:sz w:val="17"/>
              </w:rPr>
              <w:t>SOC Analyst</w:t>
            </w:r>
          </w:p>
        </w:tc>
        <w:tc>
          <w:tcPr>
            <w:tcW w:type="dxa" w:w="1872"/>
            <w:shd w:fill="F4F6F9"/>
            <w:tcMar>
              <w:top w:w="80" w:type="dxa"/>
              <w:bottom w:w="80" w:type="dxa"/>
              <w:left w:w="60" w:type="dxa"/>
              <w:right w:w="60" w:type="dxa"/>
            </w:tcMar>
          </w:tcPr>
          <w:p>
            <w:pPr>
              <w:spacing w:after="0"/>
            </w:pPr>
            <w:r>
              <w:rPr>
                <w:sz w:val="17"/>
              </w:rPr>
              <w:t>Kill process tree; isolate host; volatile memory capture.</w:t>
            </w:r>
          </w:p>
        </w:tc>
        <w:tc>
          <w:tcPr>
            <w:tcW w:type="dxa" w:w="864"/>
            <w:shd w:fill="F4F6F9"/>
            <w:tcMar>
              <w:top w:w="80" w:type="dxa"/>
              <w:bottom w:w="80" w:type="dxa"/>
              <w:left w:w="60" w:type="dxa"/>
              <w:right w:w="60" w:type="dxa"/>
            </w:tcMar>
          </w:tcPr>
          <w:p>
            <w:pPr>
              <w:spacing w:after="0"/>
            </w:pPr>
            <w:r>
              <w:rPr>
                <w:sz w:val="17"/>
              </w:rPr>
              <w:t>T1204.002</w:t>
            </w:r>
          </w:p>
        </w:tc>
        <w:tc>
          <w:tcPr>
            <w:tcW w:type="dxa" w:w="1008"/>
            <w:shd w:fill="F4F6F9"/>
            <w:tcMar>
              <w:top w:w="80" w:type="dxa"/>
              <w:bottom w:w="80" w:type="dxa"/>
              <w:left w:w="60" w:type="dxa"/>
              <w:right w:w="60" w:type="dxa"/>
            </w:tcMar>
          </w:tcPr>
          <w:p>
            <w:pPr>
              <w:spacing w:after="0"/>
            </w:pPr>
            <w:r>
              <w:rPr>
                <w:b/>
                <w:color w:val="008080"/>
                <w:sz w:val="17"/>
              </w:rPr>
              <w:t>R03</w:t>
            </w:r>
          </w:p>
        </w:tc>
      </w:tr>
      <w:tr>
        <w:tc>
          <w:tcPr>
            <w:tcW w:type="dxa" w:w="432"/>
            <w:shd w:fill="FFFFFF"/>
            <w:tcMar>
              <w:top w:w="80" w:type="dxa"/>
              <w:bottom w:w="80" w:type="dxa"/>
              <w:left w:w="60" w:type="dxa"/>
              <w:right w:w="60" w:type="dxa"/>
            </w:tcMar>
          </w:tcPr>
          <w:p>
            <w:pPr>
              <w:spacing w:after="0"/>
            </w:pPr>
            <w:r>
              <w:rPr>
                <w:sz w:val="17"/>
              </w:rPr>
              <w:t>4</w:t>
            </w:r>
          </w:p>
        </w:tc>
        <w:tc>
          <w:tcPr>
            <w:tcW w:type="dxa" w:w="2160"/>
            <w:shd w:fill="FFFFFF"/>
            <w:tcMar>
              <w:top w:w="80" w:type="dxa"/>
              <w:bottom w:w="80" w:type="dxa"/>
              <w:left w:w="60" w:type="dxa"/>
              <w:right w:w="60" w:type="dxa"/>
            </w:tcMar>
          </w:tcPr>
          <w:p>
            <w:pPr>
              <w:spacing w:after="0"/>
            </w:pPr>
            <w:r>
              <w:rPr>
                <w:sz w:val="17"/>
              </w:rPr>
              <w:t>Persistence via Scheduled Tasks (Backdoor)</w:t>
            </w:r>
          </w:p>
        </w:tc>
        <w:tc>
          <w:tcPr>
            <w:tcW w:type="dxa" w:w="1296"/>
            <w:shd w:fill="FFFFFF"/>
            <w:tcMar>
              <w:top w:w="80" w:type="dxa"/>
              <w:bottom w:w="80" w:type="dxa"/>
              <w:left w:w="60" w:type="dxa"/>
              <w:right w:w="60" w:type="dxa"/>
            </w:tcMar>
          </w:tcPr>
          <w:p>
            <w:pPr>
              <w:spacing w:after="0"/>
            </w:pPr>
            <w:r>
              <w:rPr>
                <w:sz w:val="17"/>
              </w:rPr>
              <w:t>Windows Host</w:t>
            </w:r>
          </w:p>
        </w:tc>
        <w:tc>
          <w:tcPr>
            <w:tcW w:type="dxa" w:w="576"/>
            <w:shd w:fill="FFFFFF"/>
            <w:tcMar>
              <w:top w:w="80" w:type="dxa"/>
              <w:bottom w:w="80" w:type="dxa"/>
              <w:left w:w="60" w:type="dxa"/>
              <w:right w:w="60" w:type="dxa"/>
            </w:tcMar>
          </w:tcPr>
          <w:p>
            <w:pPr>
              <w:spacing w:after="0"/>
            </w:pPr>
            <w:r>
              <w:rPr>
                <w:sz w:val="17"/>
              </w:rPr>
              <w:t>Medium</w:t>
            </w:r>
          </w:p>
        </w:tc>
        <w:tc>
          <w:tcPr>
            <w:tcW w:type="dxa" w:w="576"/>
            <w:shd w:fill="FFFFFF"/>
            <w:tcMar>
              <w:top w:w="80" w:type="dxa"/>
              <w:bottom w:w="80" w:type="dxa"/>
              <w:left w:w="60" w:type="dxa"/>
              <w:right w:w="60" w:type="dxa"/>
            </w:tcMar>
          </w:tcPr>
          <w:p>
            <w:pPr>
              <w:spacing w:after="0"/>
            </w:pPr>
            <w:r>
              <w:rPr>
                <w:sz w:val="17"/>
              </w:rPr>
              <w:t>High</w:t>
            </w:r>
          </w:p>
        </w:tc>
        <w:tc>
          <w:tcPr>
            <w:tcW w:type="dxa" w:w="1296"/>
            <w:shd w:fill="FFFFFF"/>
            <w:tcMar>
              <w:top w:w="80" w:type="dxa"/>
              <w:bottom w:w="80" w:type="dxa"/>
              <w:left w:w="60" w:type="dxa"/>
              <w:right w:w="60" w:type="dxa"/>
            </w:tcMar>
          </w:tcPr>
          <w:p>
            <w:pPr>
              <w:spacing w:after="0"/>
            </w:pPr>
            <w:r>
              <w:rPr>
                <w:sz w:val="17"/>
              </w:rPr>
              <w:t>System Admin</w:t>
            </w:r>
          </w:p>
        </w:tc>
        <w:tc>
          <w:tcPr>
            <w:tcW w:type="dxa" w:w="1872"/>
            <w:shd w:fill="FFFFFF"/>
            <w:tcMar>
              <w:top w:w="80" w:type="dxa"/>
              <w:bottom w:w="80" w:type="dxa"/>
              <w:left w:w="60" w:type="dxa"/>
              <w:right w:w="60" w:type="dxa"/>
            </w:tcMar>
          </w:tcPr>
          <w:p>
            <w:pPr>
              <w:spacing w:after="0"/>
            </w:pPr>
            <w:r>
              <w:rPr>
                <w:sz w:val="17"/>
              </w:rPr>
              <w:t>Audit scheduled tasks; alert on task creation.</w:t>
            </w:r>
          </w:p>
        </w:tc>
        <w:tc>
          <w:tcPr>
            <w:tcW w:type="dxa" w:w="864"/>
            <w:shd w:fill="FFFFFF"/>
            <w:tcMar>
              <w:top w:w="80" w:type="dxa"/>
              <w:bottom w:w="80" w:type="dxa"/>
              <w:left w:w="60" w:type="dxa"/>
              <w:right w:w="60" w:type="dxa"/>
            </w:tcMar>
          </w:tcPr>
          <w:p>
            <w:pPr>
              <w:spacing w:after="0"/>
            </w:pPr>
            <w:r>
              <w:rPr>
                <w:sz w:val="17"/>
              </w:rPr>
              <w:t>T1053.005</w:t>
            </w:r>
          </w:p>
        </w:tc>
        <w:tc>
          <w:tcPr>
            <w:tcW w:type="dxa" w:w="1008"/>
            <w:shd w:fill="FFFFFF"/>
            <w:tcMar>
              <w:top w:w="80" w:type="dxa"/>
              <w:bottom w:w="80" w:type="dxa"/>
              <w:left w:w="60" w:type="dxa"/>
              <w:right w:w="60" w:type="dxa"/>
            </w:tcMar>
          </w:tcPr>
          <w:p>
            <w:pPr>
              <w:spacing w:after="0"/>
            </w:pPr>
            <w:r>
              <w:rPr>
                <w:b/>
                <w:color w:val="008080"/>
                <w:sz w:val="17"/>
              </w:rPr>
              <w:t>R04</w:t>
            </w:r>
          </w:p>
        </w:tc>
      </w:tr>
      <w:tr>
        <w:tc>
          <w:tcPr>
            <w:tcW w:type="dxa" w:w="432"/>
            <w:shd w:fill="F4F6F9"/>
            <w:tcMar>
              <w:top w:w="80" w:type="dxa"/>
              <w:bottom w:w="80" w:type="dxa"/>
              <w:left w:w="60" w:type="dxa"/>
              <w:right w:w="60" w:type="dxa"/>
            </w:tcMar>
          </w:tcPr>
          <w:p>
            <w:pPr>
              <w:spacing w:after="0"/>
            </w:pPr>
            <w:r>
              <w:rPr>
                <w:sz w:val="17"/>
              </w:rPr>
              <w:t>5</w:t>
            </w:r>
          </w:p>
        </w:tc>
        <w:tc>
          <w:tcPr>
            <w:tcW w:type="dxa" w:w="2160"/>
            <w:shd w:fill="F4F6F9"/>
            <w:tcMar>
              <w:top w:w="80" w:type="dxa"/>
              <w:bottom w:w="80" w:type="dxa"/>
              <w:left w:w="60" w:type="dxa"/>
              <w:right w:w="60" w:type="dxa"/>
            </w:tcMar>
          </w:tcPr>
          <w:p>
            <w:pPr>
              <w:spacing w:after="0"/>
            </w:pPr>
            <w:r>
              <w:rPr>
                <w:sz w:val="17"/>
              </w:rPr>
              <w:t>Disabling Host Firewall to Bypass Controls</w:t>
            </w:r>
          </w:p>
        </w:tc>
        <w:tc>
          <w:tcPr>
            <w:tcW w:type="dxa" w:w="1296"/>
            <w:shd w:fill="F4F6F9"/>
            <w:tcMar>
              <w:top w:w="80" w:type="dxa"/>
              <w:bottom w:w="80" w:type="dxa"/>
              <w:left w:w="60" w:type="dxa"/>
              <w:right w:w="60" w:type="dxa"/>
            </w:tcMar>
          </w:tcPr>
          <w:p>
            <w:pPr>
              <w:spacing w:after="0"/>
            </w:pPr>
            <w:r>
              <w:rPr>
                <w:sz w:val="17"/>
              </w:rPr>
              <w:t>Windows/Linux Nodes</w:t>
            </w:r>
          </w:p>
        </w:tc>
        <w:tc>
          <w:tcPr>
            <w:tcW w:type="dxa" w:w="576"/>
            <w:shd w:fill="F4F6F9"/>
            <w:tcMar>
              <w:top w:w="80" w:type="dxa"/>
              <w:bottom w:w="80" w:type="dxa"/>
              <w:left w:w="60" w:type="dxa"/>
              <w:right w:w="60" w:type="dxa"/>
            </w:tcMar>
          </w:tcPr>
          <w:p>
            <w:pPr>
              <w:spacing w:after="0"/>
            </w:pPr>
            <w:r>
              <w:rPr>
                <w:sz w:val="17"/>
              </w:rPr>
              <w:t>Low</w:t>
            </w:r>
          </w:p>
        </w:tc>
        <w:tc>
          <w:tcPr>
            <w:tcW w:type="dxa" w:w="576"/>
            <w:shd w:fill="F4F6F9"/>
            <w:tcMar>
              <w:top w:w="80" w:type="dxa"/>
              <w:bottom w:w="80" w:type="dxa"/>
              <w:left w:w="60" w:type="dxa"/>
              <w:right w:w="60" w:type="dxa"/>
            </w:tcMar>
          </w:tcPr>
          <w:p>
            <w:pPr>
              <w:spacing w:after="0"/>
            </w:pPr>
            <w:r>
              <w:rPr>
                <w:sz w:val="17"/>
              </w:rPr>
              <w:t>Critical</w:t>
            </w:r>
          </w:p>
        </w:tc>
        <w:tc>
          <w:tcPr>
            <w:tcW w:type="dxa" w:w="1296"/>
            <w:shd w:fill="F4F6F9"/>
            <w:tcMar>
              <w:top w:w="80" w:type="dxa"/>
              <w:bottom w:w="80" w:type="dxa"/>
              <w:left w:w="60" w:type="dxa"/>
              <w:right w:w="60" w:type="dxa"/>
            </w:tcMar>
          </w:tcPr>
          <w:p>
            <w:pPr>
              <w:spacing w:after="0"/>
            </w:pPr>
            <w:r>
              <w:rPr>
                <w:sz w:val="17"/>
              </w:rPr>
              <w:t>Network Sec Team</w:t>
            </w:r>
          </w:p>
        </w:tc>
        <w:tc>
          <w:tcPr>
            <w:tcW w:type="dxa" w:w="1872"/>
            <w:shd w:fill="F4F6F9"/>
            <w:tcMar>
              <w:top w:w="80" w:type="dxa"/>
              <w:bottom w:w="80" w:type="dxa"/>
              <w:left w:w="60" w:type="dxa"/>
              <w:right w:w="60" w:type="dxa"/>
            </w:tcMar>
          </w:tcPr>
          <w:p>
            <w:pPr>
              <w:spacing w:after="0"/>
            </w:pPr>
            <w:r>
              <w:rPr>
                <w:sz w:val="17"/>
              </w:rPr>
              <w:t>Lock firewall settings via GPO; trigger instant alert.</w:t>
            </w:r>
          </w:p>
        </w:tc>
        <w:tc>
          <w:tcPr>
            <w:tcW w:type="dxa" w:w="864"/>
            <w:shd w:fill="F4F6F9"/>
            <w:tcMar>
              <w:top w:w="80" w:type="dxa"/>
              <w:bottom w:w="80" w:type="dxa"/>
              <w:left w:w="60" w:type="dxa"/>
              <w:right w:w="60" w:type="dxa"/>
            </w:tcMar>
          </w:tcPr>
          <w:p>
            <w:pPr>
              <w:spacing w:after="0"/>
            </w:pPr>
            <w:r>
              <w:rPr>
                <w:sz w:val="17"/>
              </w:rPr>
              <w:t>T1562.004</w:t>
            </w:r>
          </w:p>
        </w:tc>
        <w:tc>
          <w:tcPr>
            <w:tcW w:type="dxa" w:w="1008"/>
            <w:shd w:fill="F4F6F9"/>
            <w:tcMar>
              <w:top w:w="80" w:type="dxa"/>
              <w:bottom w:w="80" w:type="dxa"/>
              <w:left w:w="60" w:type="dxa"/>
              <w:right w:w="60" w:type="dxa"/>
            </w:tcMar>
          </w:tcPr>
          <w:p>
            <w:pPr>
              <w:spacing w:after="0"/>
            </w:pPr>
            <w:r>
              <w:rPr>
                <w:b/>
                <w:color w:val="008080"/>
                <w:sz w:val="17"/>
              </w:rPr>
              <w:t>R05</w:t>
            </w:r>
          </w:p>
        </w:tc>
      </w:tr>
      <w:tr>
        <w:tc>
          <w:tcPr>
            <w:tcW w:type="dxa" w:w="432"/>
            <w:shd w:fill="FFFFFF"/>
            <w:tcMar>
              <w:top w:w="80" w:type="dxa"/>
              <w:bottom w:w="80" w:type="dxa"/>
              <w:left w:w="60" w:type="dxa"/>
              <w:right w:w="60" w:type="dxa"/>
            </w:tcMar>
          </w:tcPr>
          <w:p>
            <w:pPr>
              <w:spacing w:after="0"/>
            </w:pPr>
            <w:r>
              <w:rPr>
                <w:sz w:val="17"/>
              </w:rPr>
              <w:t>6</w:t>
            </w:r>
          </w:p>
        </w:tc>
        <w:tc>
          <w:tcPr>
            <w:tcW w:type="dxa" w:w="2160"/>
            <w:shd w:fill="FFFFFF"/>
            <w:tcMar>
              <w:top w:w="80" w:type="dxa"/>
              <w:bottom w:w="80" w:type="dxa"/>
              <w:left w:w="60" w:type="dxa"/>
              <w:right w:w="60" w:type="dxa"/>
            </w:tcMar>
          </w:tcPr>
          <w:p>
            <w:pPr>
              <w:spacing w:after="0"/>
            </w:pPr>
            <w:r>
              <w:rPr>
                <w:sz w:val="17"/>
              </w:rPr>
              <w:t>Clearing Audit/Event Logs to Cover Tracks</w:t>
            </w:r>
          </w:p>
        </w:tc>
        <w:tc>
          <w:tcPr>
            <w:tcW w:type="dxa" w:w="1296"/>
            <w:shd w:fill="FFFFFF"/>
            <w:tcMar>
              <w:top w:w="80" w:type="dxa"/>
              <w:bottom w:w="80" w:type="dxa"/>
              <w:left w:w="60" w:type="dxa"/>
              <w:right w:w="60" w:type="dxa"/>
            </w:tcMar>
          </w:tcPr>
          <w:p>
            <w:pPr>
              <w:spacing w:after="0"/>
            </w:pPr>
            <w:r>
              <w:rPr>
                <w:sz w:val="17"/>
              </w:rPr>
              <w:t>Ubuntu SIEM / Endpoints</w:t>
            </w:r>
          </w:p>
        </w:tc>
        <w:tc>
          <w:tcPr>
            <w:tcW w:type="dxa" w:w="576"/>
            <w:shd w:fill="FFFFFF"/>
            <w:tcMar>
              <w:top w:w="80" w:type="dxa"/>
              <w:bottom w:w="80" w:type="dxa"/>
              <w:left w:w="60" w:type="dxa"/>
              <w:right w:w="60" w:type="dxa"/>
            </w:tcMar>
          </w:tcPr>
          <w:p>
            <w:pPr>
              <w:spacing w:after="0"/>
            </w:pPr>
            <w:r>
              <w:rPr>
                <w:sz w:val="17"/>
              </w:rPr>
              <w:t>Low</w:t>
            </w:r>
          </w:p>
        </w:tc>
        <w:tc>
          <w:tcPr>
            <w:tcW w:type="dxa" w:w="576"/>
            <w:shd w:fill="FFFFFF"/>
            <w:tcMar>
              <w:top w:w="80" w:type="dxa"/>
              <w:bottom w:w="80" w:type="dxa"/>
              <w:left w:w="60" w:type="dxa"/>
              <w:right w:w="60" w:type="dxa"/>
            </w:tcMar>
          </w:tcPr>
          <w:p>
            <w:pPr>
              <w:spacing w:after="0"/>
            </w:pPr>
            <w:r>
              <w:rPr>
                <w:sz w:val="17"/>
              </w:rPr>
              <w:t>Critical</w:t>
            </w:r>
          </w:p>
        </w:tc>
        <w:tc>
          <w:tcPr>
            <w:tcW w:type="dxa" w:w="1296"/>
            <w:shd w:fill="FFFFFF"/>
            <w:tcMar>
              <w:top w:w="80" w:type="dxa"/>
              <w:bottom w:w="80" w:type="dxa"/>
              <w:left w:w="60" w:type="dxa"/>
              <w:right w:w="60" w:type="dxa"/>
            </w:tcMar>
          </w:tcPr>
          <w:p>
            <w:pPr>
              <w:spacing w:after="0"/>
            </w:pPr>
            <w:r>
              <w:rPr>
                <w:sz w:val="17"/>
              </w:rPr>
              <w:t>SOC Lead</w:t>
            </w:r>
          </w:p>
        </w:tc>
        <w:tc>
          <w:tcPr>
            <w:tcW w:type="dxa" w:w="1872"/>
            <w:shd w:fill="FFFFFF"/>
            <w:tcMar>
              <w:top w:w="80" w:type="dxa"/>
              <w:bottom w:w="80" w:type="dxa"/>
              <w:left w:w="60" w:type="dxa"/>
              <w:right w:w="60" w:type="dxa"/>
            </w:tcMar>
          </w:tcPr>
          <w:p>
            <w:pPr>
              <w:spacing w:after="0"/>
            </w:pPr>
            <w:r>
              <w:rPr>
                <w:sz w:val="17"/>
              </w:rPr>
              <w:t>Restrict administrative log-clearing; remote syslog streaming.</w:t>
            </w:r>
          </w:p>
        </w:tc>
        <w:tc>
          <w:tcPr>
            <w:tcW w:type="dxa" w:w="864"/>
            <w:shd w:fill="FFFFFF"/>
            <w:tcMar>
              <w:top w:w="80" w:type="dxa"/>
              <w:bottom w:w="80" w:type="dxa"/>
              <w:left w:w="60" w:type="dxa"/>
              <w:right w:w="60" w:type="dxa"/>
            </w:tcMar>
          </w:tcPr>
          <w:p>
            <w:pPr>
              <w:spacing w:after="0"/>
            </w:pPr>
            <w:r>
              <w:rPr>
                <w:sz w:val="17"/>
              </w:rPr>
              <w:t>T1070</w:t>
            </w:r>
          </w:p>
        </w:tc>
        <w:tc>
          <w:tcPr>
            <w:tcW w:type="dxa" w:w="1008"/>
            <w:shd w:fill="FFFFFF"/>
            <w:tcMar>
              <w:top w:w="80" w:type="dxa"/>
              <w:bottom w:w="80" w:type="dxa"/>
              <w:left w:w="60" w:type="dxa"/>
              <w:right w:w="60" w:type="dxa"/>
            </w:tcMar>
          </w:tcPr>
          <w:p>
            <w:pPr>
              <w:spacing w:after="0"/>
            </w:pPr>
            <w:r>
              <w:rPr>
                <w:b/>
                <w:color w:val="008080"/>
                <w:sz w:val="17"/>
              </w:rPr>
              <w:t>R06</w:t>
            </w:r>
          </w:p>
        </w:tc>
      </w:tr>
      <w:tr>
        <w:tc>
          <w:tcPr>
            <w:tcW w:type="dxa" w:w="432"/>
            <w:shd w:fill="F4F6F9"/>
            <w:tcMar>
              <w:top w:w="80" w:type="dxa"/>
              <w:bottom w:w="80" w:type="dxa"/>
              <w:left w:w="60" w:type="dxa"/>
              <w:right w:w="60" w:type="dxa"/>
            </w:tcMar>
          </w:tcPr>
          <w:p>
            <w:pPr>
              <w:spacing w:after="0"/>
            </w:pPr>
            <w:r>
              <w:rPr>
                <w:sz w:val="17"/>
              </w:rPr>
              <w:t>7</w:t>
            </w:r>
          </w:p>
        </w:tc>
        <w:tc>
          <w:tcPr>
            <w:tcW w:type="dxa" w:w="2160"/>
            <w:shd w:fill="F4F6F9"/>
            <w:tcMar>
              <w:top w:w="80" w:type="dxa"/>
              <w:bottom w:w="80" w:type="dxa"/>
              <w:left w:w="60" w:type="dxa"/>
              <w:right w:w="60" w:type="dxa"/>
            </w:tcMar>
          </w:tcPr>
          <w:p>
            <w:pPr>
              <w:spacing w:after="0"/>
            </w:pPr>
            <w:r>
              <w:rPr>
                <w:sz w:val="17"/>
              </w:rPr>
              <w:t>Unauthorized Sudo Escalation on Linux</w:t>
            </w:r>
          </w:p>
        </w:tc>
        <w:tc>
          <w:tcPr>
            <w:tcW w:type="dxa" w:w="1296"/>
            <w:shd w:fill="F4F6F9"/>
            <w:tcMar>
              <w:top w:w="80" w:type="dxa"/>
              <w:bottom w:w="80" w:type="dxa"/>
              <w:left w:w="60" w:type="dxa"/>
              <w:right w:w="60" w:type="dxa"/>
            </w:tcMar>
          </w:tcPr>
          <w:p>
            <w:pPr>
              <w:spacing w:after="0"/>
            </w:pPr>
            <w:r>
              <w:rPr>
                <w:sz w:val="17"/>
              </w:rPr>
              <w:t>Linux Backend Server</w:t>
            </w:r>
          </w:p>
        </w:tc>
        <w:tc>
          <w:tcPr>
            <w:tcW w:type="dxa" w:w="576"/>
            <w:shd w:fill="F4F6F9"/>
            <w:tcMar>
              <w:top w:w="80" w:type="dxa"/>
              <w:bottom w:w="80" w:type="dxa"/>
              <w:left w:w="60" w:type="dxa"/>
              <w:right w:w="60" w:type="dxa"/>
            </w:tcMar>
          </w:tcPr>
          <w:p>
            <w:pPr>
              <w:spacing w:after="0"/>
            </w:pPr>
            <w:r>
              <w:rPr>
                <w:sz w:val="17"/>
              </w:rPr>
              <w:t>Medium</w:t>
            </w:r>
          </w:p>
        </w:tc>
        <w:tc>
          <w:tcPr>
            <w:tcW w:type="dxa" w:w="576"/>
            <w:shd w:fill="F4F6F9"/>
            <w:tcMar>
              <w:top w:w="80" w:type="dxa"/>
              <w:bottom w:w="80" w:type="dxa"/>
              <w:left w:w="60" w:type="dxa"/>
              <w:right w:w="60" w:type="dxa"/>
            </w:tcMar>
          </w:tcPr>
          <w:p>
            <w:pPr>
              <w:spacing w:after="0"/>
            </w:pPr>
            <w:r>
              <w:rPr>
                <w:sz w:val="17"/>
              </w:rPr>
              <w:t>High</w:t>
            </w:r>
          </w:p>
        </w:tc>
        <w:tc>
          <w:tcPr>
            <w:tcW w:type="dxa" w:w="1296"/>
            <w:shd w:fill="F4F6F9"/>
            <w:tcMar>
              <w:top w:w="80" w:type="dxa"/>
              <w:bottom w:w="80" w:type="dxa"/>
              <w:left w:w="60" w:type="dxa"/>
              <w:right w:w="60" w:type="dxa"/>
            </w:tcMar>
          </w:tcPr>
          <w:p>
            <w:pPr>
              <w:spacing w:after="0"/>
            </w:pPr>
            <w:r>
              <w:rPr>
                <w:sz w:val="17"/>
              </w:rPr>
              <w:t>Linux Admin Team</w:t>
            </w:r>
          </w:p>
        </w:tc>
        <w:tc>
          <w:tcPr>
            <w:tcW w:type="dxa" w:w="1872"/>
            <w:shd w:fill="F4F6F9"/>
            <w:tcMar>
              <w:top w:w="80" w:type="dxa"/>
              <w:bottom w:w="80" w:type="dxa"/>
              <w:left w:w="60" w:type="dxa"/>
              <w:right w:w="60" w:type="dxa"/>
            </w:tcMar>
          </w:tcPr>
          <w:p>
            <w:pPr>
              <w:spacing w:after="0"/>
            </w:pPr>
            <w:r>
              <w:rPr>
                <w:sz w:val="17"/>
              </w:rPr>
              <w:t>Harden /etc/sudoers file; alert on privilege elevation.</w:t>
            </w:r>
          </w:p>
        </w:tc>
        <w:tc>
          <w:tcPr>
            <w:tcW w:type="dxa" w:w="864"/>
            <w:shd w:fill="F4F6F9"/>
            <w:tcMar>
              <w:top w:w="80" w:type="dxa"/>
              <w:bottom w:w="80" w:type="dxa"/>
              <w:left w:w="60" w:type="dxa"/>
              <w:right w:w="60" w:type="dxa"/>
            </w:tcMar>
          </w:tcPr>
          <w:p>
            <w:pPr>
              <w:spacing w:after="0"/>
            </w:pPr>
            <w:r>
              <w:rPr>
                <w:sz w:val="17"/>
              </w:rPr>
              <w:t>T1548.003</w:t>
            </w:r>
          </w:p>
        </w:tc>
        <w:tc>
          <w:tcPr>
            <w:tcW w:type="dxa" w:w="1008"/>
            <w:shd w:fill="F4F6F9"/>
            <w:tcMar>
              <w:top w:w="80" w:type="dxa"/>
              <w:bottom w:w="80" w:type="dxa"/>
              <w:left w:w="60" w:type="dxa"/>
              <w:right w:w="60" w:type="dxa"/>
            </w:tcMar>
          </w:tcPr>
          <w:p>
            <w:pPr>
              <w:spacing w:after="0"/>
            </w:pPr>
            <w:r>
              <w:rPr>
                <w:b/>
                <w:color w:val="008080"/>
                <w:sz w:val="17"/>
              </w:rPr>
              <w:t>R07</w:t>
            </w:r>
          </w:p>
        </w:tc>
      </w:tr>
      <w:tr>
        <w:tc>
          <w:tcPr>
            <w:tcW w:type="dxa" w:w="432"/>
            <w:shd w:fill="FFFFFF"/>
            <w:tcMar>
              <w:top w:w="80" w:type="dxa"/>
              <w:bottom w:w="80" w:type="dxa"/>
              <w:left w:w="60" w:type="dxa"/>
              <w:right w:w="60" w:type="dxa"/>
            </w:tcMar>
          </w:tcPr>
          <w:p>
            <w:pPr>
              <w:spacing w:after="0"/>
            </w:pPr>
            <w:r>
              <w:rPr>
                <w:sz w:val="17"/>
              </w:rPr>
              <w:t>8</w:t>
            </w:r>
          </w:p>
        </w:tc>
        <w:tc>
          <w:tcPr>
            <w:tcW w:type="dxa" w:w="2160"/>
            <w:shd w:fill="FFFFFF"/>
            <w:tcMar>
              <w:top w:w="80" w:type="dxa"/>
              <w:bottom w:w="80" w:type="dxa"/>
              <w:left w:w="60" w:type="dxa"/>
              <w:right w:w="60" w:type="dxa"/>
            </w:tcMar>
          </w:tcPr>
          <w:p>
            <w:pPr>
              <w:spacing w:after="0"/>
            </w:pPr>
            <w:r>
              <w:rPr>
                <w:sz w:val="17"/>
              </w:rPr>
              <w:t>Local Account Creation for Persistence</w:t>
            </w:r>
          </w:p>
        </w:tc>
        <w:tc>
          <w:tcPr>
            <w:tcW w:type="dxa" w:w="1296"/>
            <w:shd w:fill="FFFFFF"/>
            <w:tcMar>
              <w:top w:w="80" w:type="dxa"/>
              <w:bottom w:w="80" w:type="dxa"/>
              <w:left w:w="60" w:type="dxa"/>
              <w:right w:w="60" w:type="dxa"/>
            </w:tcMar>
          </w:tcPr>
          <w:p>
            <w:pPr>
              <w:spacing w:after="0"/>
            </w:pPr>
            <w:r>
              <w:rPr>
                <w:sz w:val="17"/>
              </w:rPr>
              <w:t>Linux Backend Server</w:t>
            </w:r>
          </w:p>
        </w:tc>
        <w:tc>
          <w:tcPr>
            <w:tcW w:type="dxa" w:w="576"/>
            <w:shd w:fill="FFFFFF"/>
            <w:tcMar>
              <w:top w:w="80" w:type="dxa"/>
              <w:bottom w:w="80" w:type="dxa"/>
              <w:left w:w="60" w:type="dxa"/>
              <w:right w:w="60" w:type="dxa"/>
            </w:tcMar>
          </w:tcPr>
          <w:p>
            <w:pPr>
              <w:spacing w:after="0"/>
            </w:pPr>
            <w:r>
              <w:rPr>
                <w:sz w:val="17"/>
              </w:rPr>
              <w:t>Medium</w:t>
            </w:r>
          </w:p>
        </w:tc>
        <w:tc>
          <w:tcPr>
            <w:tcW w:type="dxa" w:w="576"/>
            <w:shd w:fill="FFFFFF"/>
            <w:tcMar>
              <w:top w:w="80" w:type="dxa"/>
              <w:bottom w:w="80" w:type="dxa"/>
              <w:left w:w="60" w:type="dxa"/>
              <w:right w:w="60" w:type="dxa"/>
            </w:tcMar>
          </w:tcPr>
          <w:p>
            <w:pPr>
              <w:spacing w:after="0"/>
            </w:pPr>
            <w:r>
              <w:rPr>
                <w:sz w:val="17"/>
              </w:rPr>
              <w:t>High</w:t>
            </w:r>
          </w:p>
        </w:tc>
        <w:tc>
          <w:tcPr>
            <w:tcW w:type="dxa" w:w="1296"/>
            <w:shd w:fill="FFFFFF"/>
            <w:tcMar>
              <w:top w:w="80" w:type="dxa"/>
              <w:bottom w:w="80" w:type="dxa"/>
              <w:left w:w="60" w:type="dxa"/>
              <w:right w:w="60" w:type="dxa"/>
            </w:tcMar>
          </w:tcPr>
          <w:p>
            <w:pPr>
              <w:spacing w:after="0"/>
            </w:pPr>
            <w:r>
              <w:rPr>
                <w:sz w:val="17"/>
              </w:rPr>
              <w:t>Identity Team</w:t>
            </w:r>
          </w:p>
        </w:tc>
        <w:tc>
          <w:tcPr>
            <w:tcW w:type="dxa" w:w="1872"/>
            <w:shd w:fill="FFFFFF"/>
            <w:tcMar>
              <w:top w:w="80" w:type="dxa"/>
              <w:bottom w:w="80" w:type="dxa"/>
              <w:left w:w="60" w:type="dxa"/>
              <w:right w:w="60" w:type="dxa"/>
            </w:tcMar>
          </w:tcPr>
          <w:p>
            <w:pPr>
              <w:spacing w:after="0"/>
            </w:pPr>
            <w:r>
              <w:rPr>
                <w:sz w:val="17"/>
              </w:rPr>
              <w:t>Monitor /etc/passwd; alert on user addition commands.</w:t>
            </w:r>
          </w:p>
        </w:tc>
        <w:tc>
          <w:tcPr>
            <w:tcW w:type="dxa" w:w="864"/>
            <w:shd w:fill="FFFFFF"/>
            <w:tcMar>
              <w:top w:w="80" w:type="dxa"/>
              <w:bottom w:w="80" w:type="dxa"/>
              <w:left w:w="60" w:type="dxa"/>
              <w:right w:w="60" w:type="dxa"/>
            </w:tcMar>
          </w:tcPr>
          <w:p>
            <w:pPr>
              <w:spacing w:after="0"/>
            </w:pPr>
            <w:r>
              <w:rPr>
                <w:sz w:val="17"/>
              </w:rPr>
              <w:t>T1136.001</w:t>
            </w:r>
          </w:p>
        </w:tc>
        <w:tc>
          <w:tcPr>
            <w:tcW w:type="dxa" w:w="1008"/>
            <w:shd w:fill="FFFFFF"/>
            <w:tcMar>
              <w:top w:w="80" w:type="dxa"/>
              <w:bottom w:w="80" w:type="dxa"/>
              <w:left w:w="60" w:type="dxa"/>
              <w:right w:w="60" w:type="dxa"/>
            </w:tcMar>
          </w:tcPr>
          <w:p>
            <w:pPr>
              <w:spacing w:after="0"/>
            </w:pPr>
            <w:r>
              <w:rPr>
                <w:b/>
                <w:color w:val="008080"/>
                <w:sz w:val="17"/>
              </w:rPr>
              <w:t>R09</w:t>
            </w:r>
          </w:p>
        </w:tc>
      </w:tr>
      <w:tr>
        <w:tc>
          <w:tcPr>
            <w:tcW w:type="dxa" w:w="432"/>
            <w:shd w:fill="F4F6F9"/>
            <w:tcMar>
              <w:top w:w="80" w:type="dxa"/>
              <w:bottom w:w="80" w:type="dxa"/>
              <w:left w:w="60" w:type="dxa"/>
              <w:right w:w="60" w:type="dxa"/>
            </w:tcMar>
          </w:tcPr>
          <w:p>
            <w:pPr>
              <w:spacing w:after="0"/>
            </w:pPr>
            <w:r>
              <w:rPr>
                <w:sz w:val="17"/>
              </w:rPr>
              <w:t>9</w:t>
            </w:r>
          </w:p>
        </w:tc>
        <w:tc>
          <w:tcPr>
            <w:tcW w:type="dxa" w:w="2160"/>
            <w:shd w:fill="F4F6F9"/>
            <w:tcMar>
              <w:top w:w="80" w:type="dxa"/>
              <w:bottom w:w="80" w:type="dxa"/>
              <w:left w:w="60" w:type="dxa"/>
              <w:right w:w="60" w:type="dxa"/>
            </w:tcMar>
          </w:tcPr>
          <w:p>
            <w:pPr>
              <w:spacing w:after="0"/>
            </w:pPr>
            <w:r>
              <w:rPr>
                <w:sz w:val="17"/>
              </w:rPr>
              <w:t>Ransomware Mass File Encryption Attack</w:t>
            </w:r>
          </w:p>
        </w:tc>
        <w:tc>
          <w:tcPr>
            <w:tcW w:type="dxa" w:w="1296"/>
            <w:shd w:fill="F4F6F9"/>
            <w:tcMar>
              <w:top w:w="80" w:type="dxa"/>
              <w:bottom w:w="80" w:type="dxa"/>
              <w:left w:w="60" w:type="dxa"/>
              <w:right w:w="60" w:type="dxa"/>
            </w:tcMar>
          </w:tcPr>
          <w:p>
            <w:pPr>
              <w:spacing w:after="0"/>
            </w:pPr>
            <w:r>
              <w:rPr>
                <w:sz w:val="17"/>
              </w:rPr>
              <w:t>File Share / Workstations</w:t>
            </w:r>
          </w:p>
        </w:tc>
        <w:tc>
          <w:tcPr>
            <w:tcW w:type="dxa" w:w="576"/>
            <w:shd w:fill="F4F6F9"/>
            <w:tcMar>
              <w:top w:w="80" w:type="dxa"/>
              <w:bottom w:w="80" w:type="dxa"/>
              <w:left w:w="60" w:type="dxa"/>
              <w:right w:w="60" w:type="dxa"/>
            </w:tcMar>
          </w:tcPr>
          <w:p>
            <w:pPr>
              <w:spacing w:after="0"/>
            </w:pPr>
            <w:r>
              <w:rPr>
                <w:sz w:val="17"/>
              </w:rPr>
              <w:t>High</w:t>
            </w:r>
          </w:p>
        </w:tc>
        <w:tc>
          <w:tcPr>
            <w:tcW w:type="dxa" w:w="576"/>
            <w:shd w:fill="F4F6F9"/>
            <w:tcMar>
              <w:top w:w="80" w:type="dxa"/>
              <w:bottom w:w="80" w:type="dxa"/>
              <w:left w:w="60" w:type="dxa"/>
              <w:right w:w="60" w:type="dxa"/>
            </w:tcMar>
          </w:tcPr>
          <w:p>
            <w:pPr>
              <w:spacing w:after="0"/>
            </w:pPr>
            <w:r>
              <w:rPr>
                <w:sz w:val="17"/>
              </w:rPr>
              <w:t>Critical</w:t>
            </w:r>
          </w:p>
        </w:tc>
        <w:tc>
          <w:tcPr>
            <w:tcW w:type="dxa" w:w="1296"/>
            <w:shd w:fill="F4F6F9"/>
            <w:tcMar>
              <w:top w:w="80" w:type="dxa"/>
              <w:bottom w:w="80" w:type="dxa"/>
              <w:left w:w="60" w:type="dxa"/>
              <w:right w:w="60" w:type="dxa"/>
            </w:tcMar>
          </w:tcPr>
          <w:p>
            <w:pPr>
              <w:spacing w:after="0"/>
            </w:pPr>
            <w:r>
              <w:rPr>
                <w:sz w:val="17"/>
              </w:rPr>
              <w:t>IR Team</w:t>
            </w:r>
          </w:p>
        </w:tc>
        <w:tc>
          <w:tcPr>
            <w:tcW w:type="dxa" w:w="1872"/>
            <w:shd w:fill="F4F6F9"/>
            <w:tcMar>
              <w:top w:w="80" w:type="dxa"/>
              <w:bottom w:w="80" w:type="dxa"/>
              <w:left w:w="60" w:type="dxa"/>
              <w:right w:w="60" w:type="dxa"/>
            </w:tcMar>
          </w:tcPr>
          <w:p>
            <w:pPr>
              <w:spacing w:after="0"/>
            </w:pPr>
            <w:r>
              <w:rPr>
                <w:sz w:val="17"/>
              </w:rPr>
              <w:t>Maintain offline immutable backups; monitor mass edits.</w:t>
            </w:r>
          </w:p>
        </w:tc>
        <w:tc>
          <w:tcPr>
            <w:tcW w:type="dxa" w:w="864"/>
            <w:shd w:fill="F4F6F9"/>
            <w:tcMar>
              <w:top w:w="80" w:type="dxa"/>
              <w:bottom w:w="80" w:type="dxa"/>
              <w:left w:w="60" w:type="dxa"/>
              <w:right w:w="60" w:type="dxa"/>
            </w:tcMar>
          </w:tcPr>
          <w:p>
            <w:pPr>
              <w:spacing w:after="0"/>
            </w:pPr>
            <w:r>
              <w:rPr>
                <w:sz w:val="17"/>
              </w:rPr>
              <w:t>T1486</w:t>
            </w:r>
          </w:p>
        </w:tc>
        <w:tc>
          <w:tcPr>
            <w:tcW w:type="dxa" w:w="1008"/>
            <w:shd w:fill="F4F6F9"/>
            <w:tcMar>
              <w:top w:w="80" w:type="dxa"/>
              <w:bottom w:w="80" w:type="dxa"/>
              <w:left w:w="60" w:type="dxa"/>
              <w:right w:w="60" w:type="dxa"/>
            </w:tcMar>
          </w:tcPr>
          <w:p>
            <w:pPr>
              <w:spacing w:after="0"/>
            </w:pPr>
            <w:r>
              <w:rPr>
                <w:i/>
                <w:color w:val="B43232"/>
                <w:sz w:val="17"/>
              </w:rPr>
              <w:t>No Coverage</w:t>
            </w:r>
          </w:p>
        </w:tc>
      </w:tr>
      <w:tr>
        <w:tc>
          <w:tcPr>
            <w:tcW w:type="dxa" w:w="432"/>
            <w:shd w:fill="FFFFFF"/>
            <w:tcMar>
              <w:top w:w="80" w:type="dxa"/>
              <w:bottom w:w="80" w:type="dxa"/>
              <w:left w:w="60" w:type="dxa"/>
              <w:right w:w="60" w:type="dxa"/>
            </w:tcMar>
          </w:tcPr>
          <w:p>
            <w:pPr>
              <w:spacing w:after="0"/>
            </w:pPr>
            <w:r>
              <w:rPr>
                <w:sz w:val="17"/>
              </w:rPr>
              <w:t>10</w:t>
            </w:r>
          </w:p>
        </w:tc>
        <w:tc>
          <w:tcPr>
            <w:tcW w:type="dxa" w:w="2160"/>
            <w:shd w:fill="FFFFFF"/>
            <w:tcMar>
              <w:top w:w="80" w:type="dxa"/>
              <w:bottom w:w="80" w:type="dxa"/>
              <w:left w:w="60" w:type="dxa"/>
              <w:right w:w="60" w:type="dxa"/>
            </w:tcMar>
          </w:tcPr>
          <w:p>
            <w:pPr>
              <w:spacing w:after="0"/>
            </w:pPr>
            <w:r>
              <w:rPr>
                <w:sz w:val="17"/>
              </w:rPr>
              <w:t>Unauthorized Remote Access Tool Deployment</w:t>
            </w:r>
          </w:p>
        </w:tc>
        <w:tc>
          <w:tcPr>
            <w:tcW w:type="dxa" w:w="1296"/>
            <w:shd w:fill="FFFFFF"/>
            <w:tcMar>
              <w:top w:w="80" w:type="dxa"/>
              <w:bottom w:w="80" w:type="dxa"/>
              <w:left w:w="60" w:type="dxa"/>
              <w:right w:w="60" w:type="dxa"/>
            </w:tcMar>
          </w:tcPr>
          <w:p>
            <w:pPr>
              <w:spacing w:after="0"/>
            </w:pPr>
            <w:r>
              <w:rPr>
                <w:sz w:val="17"/>
              </w:rPr>
              <w:t>Internal Workstations</w:t>
            </w:r>
          </w:p>
        </w:tc>
        <w:tc>
          <w:tcPr>
            <w:tcW w:type="dxa" w:w="576"/>
            <w:shd w:fill="FFFFFF"/>
            <w:tcMar>
              <w:top w:w="80" w:type="dxa"/>
              <w:bottom w:w="80" w:type="dxa"/>
              <w:left w:w="60" w:type="dxa"/>
              <w:right w:w="60" w:type="dxa"/>
            </w:tcMar>
          </w:tcPr>
          <w:p>
            <w:pPr>
              <w:spacing w:after="0"/>
            </w:pPr>
            <w:r>
              <w:rPr>
                <w:sz w:val="17"/>
              </w:rPr>
              <w:t>Medium</w:t>
            </w:r>
          </w:p>
        </w:tc>
        <w:tc>
          <w:tcPr>
            <w:tcW w:type="dxa" w:w="576"/>
            <w:shd w:fill="FFFFFF"/>
            <w:tcMar>
              <w:top w:w="80" w:type="dxa"/>
              <w:bottom w:w="80" w:type="dxa"/>
              <w:left w:w="60" w:type="dxa"/>
              <w:right w:w="60" w:type="dxa"/>
            </w:tcMar>
          </w:tcPr>
          <w:p>
            <w:pPr>
              <w:spacing w:after="0"/>
            </w:pPr>
            <w:r>
              <w:rPr>
                <w:sz w:val="17"/>
              </w:rPr>
              <w:t>High</w:t>
            </w:r>
          </w:p>
        </w:tc>
        <w:tc>
          <w:tcPr>
            <w:tcW w:type="dxa" w:w="1296"/>
            <w:shd w:fill="FFFFFF"/>
            <w:tcMar>
              <w:top w:w="80" w:type="dxa"/>
              <w:bottom w:w="80" w:type="dxa"/>
              <w:left w:w="60" w:type="dxa"/>
              <w:right w:w="60" w:type="dxa"/>
            </w:tcMar>
          </w:tcPr>
          <w:p>
            <w:pPr>
              <w:spacing w:after="0"/>
            </w:pPr>
            <w:r>
              <w:rPr>
                <w:sz w:val="17"/>
              </w:rPr>
              <w:t>SOC Team</w:t>
            </w:r>
          </w:p>
        </w:tc>
        <w:tc>
          <w:tcPr>
            <w:tcW w:type="dxa" w:w="1872"/>
            <w:shd w:fill="FFFFFF"/>
            <w:tcMar>
              <w:top w:w="80" w:type="dxa"/>
              <w:bottom w:w="80" w:type="dxa"/>
              <w:left w:w="60" w:type="dxa"/>
              <w:right w:w="60" w:type="dxa"/>
            </w:tcMar>
          </w:tcPr>
          <w:p>
            <w:pPr>
              <w:spacing w:after="0"/>
            </w:pPr>
            <w:r>
              <w:rPr>
                <w:sz w:val="17"/>
              </w:rPr>
              <w:t>Application whitelisting; restrict egress traffic.</w:t>
            </w:r>
          </w:p>
        </w:tc>
        <w:tc>
          <w:tcPr>
            <w:tcW w:type="dxa" w:w="864"/>
            <w:shd w:fill="FFFFFF"/>
            <w:tcMar>
              <w:top w:w="80" w:type="dxa"/>
              <w:bottom w:w="80" w:type="dxa"/>
              <w:left w:w="60" w:type="dxa"/>
              <w:right w:w="60" w:type="dxa"/>
            </w:tcMar>
          </w:tcPr>
          <w:p>
            <w:pPr>
              <w:spacing w:after="0"/>
            </w:pPr>
            <w:r>
              <w:rPr>
                <w:sz w:val="17"/>
              </w:rPr>
              <w:t>T1219</w:t>
            </w:r>
          </w:p>
        </w:tc>
        <w:tc>
          <w:tcPr>
            <w:tcW w:type="dxa" w:w="1008"/>
            <w:shd w:fill="FFFFFF"/>
            <w:tcMar>
              <w:top w:w="80" w:type="dxa"/>
              <w:bottom w:w="80" w:type="dxa"/>
              <w:left w:w="60" w:type="dxa"/>
              <w:right w:w="60" w:type="dxa"/>
            </w:tcMar>
          </w:tcPr>
          <w:p>
            <w:pPr>
              <w:spacing w:after="0"/>
            </w:pPr>
            <w:r>
              <w:rPr>
                <w:i/>
                <w:color w:val="B43232"/>
                <w:sz w:val="17"/>
              </w:rPr>
              <w:t>No Coverage</w:t>
            </w:r>
          </w:p>
        </w:tc>
      </w:tr>
    </w:tbl>
    <w:p>
      <w:pPr>
        <w:spacing w:after="160"/>
      </w:pPr>
    </w:p>
    <w:p>
      <w:pPr>
        <w:spacing w:before="320" w:after="120"/>
      </w:pPr>
      <w:r>
        <w:rPr>
          <w:b/>
          <w:color w:val="1B365D"/>
          <w:sz w:val="32"/>
        </w:rPr>
        <w:t>3. Top 3 Risk Scenarios (Detailed Breakdown)</w:t>
      </w:r>
    </w:p>
    <w:p>
      <w:pPr>
        <w:spacing w:before="160" w:after="40"/>
      </w:pPr>
      <w:r>
        <w:rPr>
          <w:b/>
          <w:color w:val="008080"/>
          <w:sz w:val="24"/>
        </w:rPr>
        <w:t>Top Risk 1: Malicious PowerShell Execution via Phishing (Risk #2 / Rule R02)</w:t>
      </w:r>
    </w:p>
    <w:p>
      <w:pPr>
        <w:spacing w:after="160" w:line="276" w:lineRule="auto"/>
      </w:pPr>
      <w:r>
        <w:rPr>
          <w:sz w:val="21"/>
        </w:rPr>
        <w:t>Attackers frequently utilize obfuscated or Base64-encoded PowerShell scripts delivered via phishing emails to bypass basic antivirus signatures. In Al Amal Hospital, if a nurse or administrative staff member opens a malicious attachment, the encoded command runs silently in the background. This enables the attacker to establish command-and-control (C2) communication, dump credentials, and move laterally toward the core EHR database. Rule R02 detects this specific behavioral pattern by flagging PowerShell process creations containing encoded command arguments (-e or -EncodedCommand).</w:t>
      </w:r>
    </w:p>
    <w:p>
      <w:pPr>
        <w:spacing w:before="160" w:after="40"/>
      </w:pPr>
      <w:r>
        <w:rPr>
          <w:b/>
          <w:color w:val="008080"/>
          <w:sz w:val="24"/>
        </w:rPr>
        <w:t>Top Risk 2: Disabling Host Firewall to Bypass Security Controls (Risk #5 / Rule R05)</w:t>
      </w:r>
    </w:p>
    <w:p>
      <w:pPr>
        <w:spacing w:after="160" w:line="276" w:lineRule="auto"/>
      </w:pPr>
      <w:r>
        <w:rPr>
          <w:sz w:val="21"/>
        </w:rPr>
        <w:t>Once an adversary gains access to a hospital endpoint, their immediate goal is to establish persistent remote connections and exfiltrate sensitive data without detection. Disabling the host firewall (e.g., via netsh advfirewall or Linux iptables) removes crucial network filtering barriers. This allows unauthorized data exfiltration of patient records and unmonitored internal scanning. Rule R05 triggers immediately whenever host firewall configuration changes or deletion commands are executed on endpoints.</w:t>
      </w:r>
    </w:p>
    <w:p>
      <w:pPr>
        <w:spacing w:before="160" w:after="40"/>
      </w:pPr>
      <w:r>
        <w:rPr>
          <w:b/>
          <w:color w:val="008080"/>
          <w:sz w:val="24"/>
        </w:rPr>
        <w:t>Top Risk 3: Clearing Audit &amp; Event Logs to Cover Tracks (Risk #6 / Rule R06)</w:t>
      </w:r>
    </w:p>
    <w:p>
      <w:pPr>
        <w:spacing w:after="160" w:line="276" w:lineRule="auto"/>
      </w:pPr>
      <w:r>
        <w:rPr>
          <w:sz w:val="21"/>
        </w:rPr>
        <w:t>Sophisticated threat actors clear event logs (such as Windows Event Log via wevtutil or Linux audit logs) to blind SOC analysts and erase evidence of their actions. In a healthcare environment, log tampering prevents security teams from determining the exact extent of a data breach, identifying compromised patient records, or conducting forensic investigation. Rule R06 monitors critical log-clearing events and alerts the SOC instantly to guarantee forensic visibility.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