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B365D"/>
          <w:sz w:val="48"/>
        </w:rPr>
        <w:t>Part 2: Incident Readiness Pack</w:t>
      </w:r>
    </w:p>
    <w:p>
      <w:pPr>
        <w:spacing w:after="360"/>
      </w:pPr>
      <w:r>
        <w:rPr>
          <w:i/>
          <w:color w:val="008080"/>
          <w:sz w:val="26"/>
        </w:rPr>
        <w:t>Task 2.3 — Incident Escalation Tree &amp; External Reporting Plan | Al Amal Hospital</w:t>
      </w:r>
    </w:p>
    <w:p>
      <w:pPr>
        <w:spacing w:before="280" w:after="120"/>
      </w:pPr>
      <w:r>
        <w:rPr>
          <w:b/>
          <w:color w:val="1B365D"/>
          <w:sz w:val="32"/>
        </w:rPr>
        <w:t>1. Internal Incident Escalation Tree (In-Hours vs. Out-of-Hours)</w:t>
      </w:r>
    </w:p>
    <w:p>
      <w:pPr>
        <w:spacing w:after="200" w:line="276" w:lineRule="auto"/>
      </w:pPr>
      <w:r>
        <w:t>To ensure zero response lag for critical alerts (e.g., Rules R02 Encoded PowerShell, R05 Firewall Tampering, R06 Log Clearing), Al Amal Hospital maintains explicit operational escalation pathways for both regular business hours (08:00 - 17:00) and out-of-hours coverage. Strict SLA timeouts govern when an unanswered incident automatically escalates to the next tier.</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84"/>
        <w:gridCol w:w="2484"/>
        <w:gridCol w:w="2484"/>
        <w:gridCol w:w="2484"/>
      </w:tblGrid>
      <w:tr>
        <w:tc>
          <w:tcPr>
            <w:tcW w:type="dxa" w:w="2592"/>
            <w:shd w:fill="1B365D"/>
            <w:tcMar>
              <w:top w:w="100" w:type="dxa"/>
              <w:bottom w:w="100" w:type="dxa"/>
              <w:left w:w="60" w:type="dxa"/>
              <w:right w:w="60" w:type="dxa"/>
            </w:tcMar>
          </w:tcPr>
          <w:p>
            <w:pPr>
              <w:spacing w:after="0"/>
            </w:pPr>
            <w:r>
              <w:rPr>
                <w:b/>
                <w:color w:val="FFFFFF"/>
                <w:sz w:val="17"/>
              </w:rPr>
              <w:t>Escalation Tier &amp; Role</w:t>
            </w:r>
          </w:p>
        </w:tc>
        <w:tc>
          <w:tcPr>
            <w:tcW w:type="dxa" w:w="3312"/>
            <w:shd w:fill="1B365D"/>
            <w:tcMar>
              <w:top w:w="100" w:type="dxa"/>
              <w:bottom w:w="100" w:type="dxa"/>
              <w:left w:w="60" w:type="dxa"/>
              <w:right w:w="60" w:type="dxa"/>
            </w:tcMar>
          </w:tcPr>
          <w:p>
            <w:pPr>
              <w:spacing w:after="0"/>
            </w:pPr>
            <w:r>
              <w:rPr>
                <w:b/>
                <w:color w:val="FFFFFF"/>
                <w:sz w:val="17"/>
              </w:rPr>
              <w:t>Operational Responsibilities</w:t>
            </w:r>
          </w:p>
        </w:tc>
        <w:tc>
          <w:tcPr>
            <w:tcW w:type="dxa" w:w="1584"/>
            <w:shd w:fill="1B365D"/>
            <w:tcMar>
              <w:top w:w="100" w:type="dxa"/>
              <w:bottom w:w="100" w:type="dxa"/>
              <w:left w:w="60" w:type="dxa"/>
              <w:right w:w="60" w:type="dxa"/>
            </w:tcMar>
          </w:tcPr>
          <w:p>
            <w:pPr>
              <w:spacing w:after="0"/>
            </w:pPr>
            <w:r>
              <w:rPr>
                <w:b/>
                <w:color w:val="FFFFFF"/>
                <w:sz w:val="17"/>
              </w:rPr>
              <w:t>SLA Timeout</w:t>
            </w:r>
          </w:p>
        </w:tc>
        <w:tc>
          <w:tcPr>
            <w:tcW w:type="dxa" w:w="2592"/>
            <w:shd w:fill="1B365D"/>
            <w:tcMar>
              <w:top w:w="100" w:type="dxa"/>
              <w:bottom w:w="100" w:type="dxa"/>
              <w:left w:w="60" w:type="dxa"/>
              <w:right w:w="60" w:type="dxa"/>
            </w:tcMar>
          </w:tcPr>
          <w:p>
            <w:pPr>
              <w:spacing w:after="0"/>
            </w:pPr>
            <w:r>
              <w:rPr>
                <w:b/>
                <w:color w:val="FFFFFF"/>
                <w:sz w:val="17"/>
              </w:rPr>
              <w:t>Timeout &amp; Backup Escalation Action</w:t>
            </w:r>
          </w:p>
        </w:tc>
      </w:tr>
      <w:tr>
        <w:tc>
          <w:tcPr>
            <w:tcW w:type="dxa" w:w="2592"/>
            <w:shd w:fill="F4F6F9"/>
            <w:tcMar>
              <w:top w:w="80" w:type="dxa"/>
              <w:bottom w:w="80" w:type="dxa"/>
              <w:left w:w="60" w:type="dxa"/>
              <w:right w:w="60" w:type="dxa"/>
            </w:tcMar>
          </w:tcPr>
          <w:p>
            <w:pPr>
              <w:spacing w:after="0"/>
            </w:pPr>
            <w:r>
              <w:rPr>
                <w:b/>
                <w:color w:val="1B365D"/>
                <w:sz w:val="17"/>
              </w:rPr>
              <w:t>Tier 1: L1 SOC Analyst (On-Duty)</w:t>
            </w:r>
          </w:p>
        </w:tc>
        <w:tc>
          <w:tcPr>
            <w:tcW w:type="dxa" w:w="3312"/>
            <w:shd w:fill="F4F6F9"/>
            <w:tcMar>
              <w:top w:w="80" w:type="dxa"/>
              <w:bottom w:w="80" w:type="dxa"/>
              <w:left w:w="60" w:type="dxa"/>
              <w:right w:w="60" w:type="dxa"/>
            </w:tcMar>
          </w:tcPr>
          <w:p>
            <w:pPr>
              <w:spacing w:after="0"/>
            </w:pPr>
            <w:r>
              <w:rPr>
                <w:sz w:val="17"/>
              </w:rPr>
              <w:t>Initial alert triage, initial rule verification, true/false positive determination.</w:t>
            </w:r>
          </w:p>
        </w:tc>
        <w:tc>
          <w:tcPr>
            <w:tcW w:type="dxa" w:w="1584"/>
            <w:shd w:fill="F4F6F9"/>
            <w:tcMar>
              <w:top w:w="80" w:type="dxa"/>
              <w:bottom w:w="80" w:type="dxa"/>
              <w:left w:w="60" w:type="dxa"/>
              <w:right w:w="60" w:type="dxa"/>
            </w:tcMar>
          </w:tcPr>
          <w:p>
            <w:pPr>
              <w:spacing w:after="0"/>
            </w:pPr>
            <w:r>
              <w:rPr>
                <w:b/>
                <w:color w:val="008080"/>
                <w:sz w:val="17"/>
              </w:rPr>
              <w:t>15 Minutes</w:t>
            </w:r>
          </w:p>
        </w:tc>
        <w:tc>
          <w:tcPr>
            <w:tcW w:type="dxa" w:w="2592"/>
            <w:shd w:fill="F4F6F9"/>
            <w:tcMar>
              <w:top w:w="80" w:type="dxa"/>
              <w:bottom w:w="80" w:type="dxa"/>
              <w:left w:w="60" w:type="dxa"/>
              <w:right w:w="60" w:type="dxa"/>
            </w:tcMar>
          </w:tcPr>
          <w:p>
            <w:pPr>
              <w:spacing w:after="0"/>
            </w:pPr>
            <w:r>
              <w:rPr>
                <w:sz w:val="17"/>
              </w:rPr>
              <w:t>If unacknowledged in 15 mins -&gt; Escalates automatically to Tier 2 Lead Analyst.</w:t>
            </w:r>
          </w:p>
        </w:tc>
      </w:tr>
      <w:tr>
        <w:tc>
          <w:tcPr>
            <w:tcW w:type="dxa" w:w="2592"/>
            <w:shd w:fill="FFFFFF"/>
            <w:tcMar>
              <w:top w:w="80" w:type="dxa"/>
              <w:bottom w:w="80" w:type="dxa"/>
              <w:left w:w="60" w:type="dxa"/>
              <w:right w:w="60" w:type="dxa"/>
            </w:tcMar>
          </w:tcPr>
          <w:p>
            <w:pPr>
              <w:spacing w:after="0"/>
            </w:pPr>
            <w:r>
              <w:rPr>
                <w:b/>
                <w:color w:val="1B365D"/>
                <w:sz w:val="17"/>
              </w:rPr>
              <w:t>Tier 2: SOC Lead / Senior Security Engineer</w:t>
            </w:r>
          </w:p>
        </w:tc>
        <w:tc>
          <w:tcPr>
            <w:tcW w:type="dxa" w:w="3312"/>
            <w:shd w:fill="FFFFFF"/>
            <w:tcMar>
              <w:top w:w="80" w:type="dxa"/>
              <w:bottom w:w="80" w:type="dxa"/>
              <w:left w:w="60" w:type="dxa"/>
              <w:right w:w="60" w:type="dxa"/>
            </w:tcMar>
          </w:tcPr>
          <w:p>
            <w:pPr>
              <w:spacing w:after="0"/>
            </w:pPr>
            <w:r>
              <w:rPr>
                <w:sz w:val="17"/>
              </w:rPr>
              <w:t>Threat containment authorization, endpoint isolation, volatile memory dump approval, P1/P2 declaration.</w:t>
            </w:r>
          </w:p>
        </w:tc>
        <w:tc>
          <w:tcPr>
            <w:tcW w:type="dxa" w:w="1584"/>
            <w:shd w:fill="FFFFFF"/>
            <w:tcMar>
              <w:top w:w="80" w:type="dxa"/>
              <w:bottom w:w="80" w:type="dxa"/>
              <w:left w:w="60" w:type="dxa"/>
              <w:right w:w="60" w:type="dxa"/>
            </w:tcMar>
          </w:tcPr>
          <w:p>
            <w:pPr>
              <w:spacing w:after="0"/>
            </w:pPr>
            <w:r>
              <w:rPr>
                <w:b/>
                <w:color w:val="008080"/>
                <w:sz w:val="17"/>
              </w:rPr>
              <w:t>15 Minutes (P1) / 30 Minutes (P2)</w:t>
            </w:r>
          </w:p>
        </w:tc>
        <w:tc>
          <w:tcPr>
            <w:tcW w:type="dxa" w:w="2592"/>
            <w:shd w:fill="FFFFFF"/>
            <w:tcMar>
              <w:top w:w="80" w:type="dxa"/>
              <w:bottom w:w="80" w:type="dxa"/>
              <w:left w:w="60" w:type="dxa"/>
              <w:right w:w="60" w:type="dxa"/>
            </w:tcMar>
          </w:tcPr>
          <w:p>
            <w:pPr>
              <w:spacing w:after="0"/>
            </w:pPr>
            <w:r>
              <w:rPr>
                <w:sz w:val="17"/>
              </w:rPr>
              <w:t>If unacknowledged -&gt; Trigger automated phone call &amp; escalate to Tier 3 CISO.</w:t>
            </w:r>
          </w:p>
        </w:tc>
      </w:tr>
      <w:tr>
        <w:tc>
          <w:tcPr>
            <w:tcW w:type="dxa" w:w="2592"/>
            <w:shd w:fill="F4F6F9"/>
            <w:tcMar>
              <w:top w:w="80" w:type="dxa"/>
              <w:bottom w:w="80" w:type="dxa"/>
              <w:left w:w="60" w:type="dxa"/>
              <w:right w:w="60" w:type="dxa"/>
            </w:tcMar>
          </w:tcPr>
          <w:p>
            <w:pPr>
              <w:spacing w:after="0"/>
            </w:pPr>
            <w:r>
              <w:rPr>
                <w:b/>
                <w:color w:val="1B365D"/>
                <w:sz w:val="17"/>
              </w:rPr>
              <w:t>Tier 3: CISO &amp; IT Operations Director</w:t>
            </w:r>
          </w:p>
        </w:tc>
        <w:tc>
          <w:tcPr>
            <w:tcW w:type="dxa" w:w="3312"/>
            <w:shd w:fill="F4F6F9"/>
            <w:tcMar>
              <w:top w:w="80" w:type="dxa"/>
              <w:bottom w:w="80" w:type="dxa"/>
              <w:left w:w="60" w:type="dxa"/>
              <w:right w:w="60" w:type="dxa"/>
            </w:tcMar>
          </w:tcPr>
          <w:p>
            <w:pPr>
              <w:spacing w:after="0"/>
            </w:pPr>
            <w:r>
              <w:rPr>
                <w:sz w:val="17"/>
              </w:rPr>
              <w:t>Executive incident management, technical resource allocation, crisis management team activation.</w:t>
            </w:r>
          </w:p>
        </w:tc>
        <w:tc>
          <w:tcPr>
            <w:tcW w:type="dxa" w:w="1584"/>
            <w:shd w:fill="F4F6F9"/>
            <w:tcMar>
              <w:top w:w="80" w:type="dxa"/>
              <w:bottom w:w="80" w:type="dxa"/>
              <w:left w:w="60" w:type="dxa"/>
              <w:right w:w="60" w:type="dxa"/>
            </w:tcMar>
          </w:tcPr>
          <w:p>
            <w:pPr>
              <w:spacing w:after="0"/>
            </w:pPr>
            <w:r>
              <w:rPr>
                <w:b/>
                <w:color w:val="008080"/>
                <w:sz w:val="17"/>
              </w:rPr>
              <w:t>15 Minutes</w:t>
            </w:r>
          </w:p>
        </w:tc>
        <w:tc>
          <w:tcPr>
            <w:tcW w:type="dxa" w:w="2592"/>
            <w:shd w:fill="F4F6F9"/>
            <w:tcMar>
              <w:top w:w="80" w:type="dxa"/>
              <w:bottom w:w="80" w:type="dxa"/>
              <w:left w:w="60" w:type="dxa"/>
              <w:right w:w="60" w:type="dxa"/>
            </w:tcMar>
          </w:tcPr>
          <w:p>
            <w:pPr>
              <w:spacing w:after="0"/>
            </w:pPr>
            <w:r>
              <w:rPr>
                <w:sz w:val="17"/>
              </w:rPr>
              <w:t>If unacknowledged -&gt; Escalate to Hospital Executive Director &amp; Legal Counsel.</w:t>
            </w:r>
          </w:p>
        </w:tc>
      </w:tr>
      <w:tr>
        <w:tc>
          <w:tcPr>
            <w:tcW w:type="dxa" w:w="2592"/>
            <w:shd w:fill="FFFFFF"/>
            <w:tcMar>
              <w:top w:w="80" w:type="dxa"/>
              <w:bottom w:w="80" w:type="dxa"/>
              <w:left w:w="60" w:type="dxa"/>
              <w:right w:w="60" w:type="dxa"/>
            </w:tcMar>
          </w:tcPr>
          <w:p>
            <w:pPr>
              <w:spacing w:after="0"/>
            </w:pPr>
            <w:r>
              <w:rPr>
                <w:b/>
                <w:color w:val="1B365D"/>
                <w:sz w:val="17"/>
              </w:rPr>
              <w:t>Tier 4: Crisis Management Team (CISO, Legal, PR, Med Director)</w:t>
            </w:r>
          </w:p>
        </w:tc>
        <w:tc>
          <w:tcPr>
            <w:tcW w:type="dxa" w:w="3312"/>
            <w:shd w:fill="FFFFFF"/>
            <w:tcMar>
              <w:top w:w="80" w:type="dxa"/>
              <w:bottom w:w="80" w:type="dxa"/>
              <w:left w:w="60" w:type="dxa"/>
              <w:right w:w="60" w:type="dxa"/>
            </w:tcMar>
          </w:tcPr>
          <w:p>
            <w:pPr>
              <w:spacing w:after="0"/>
            </w:pPr>
            <w:r>
              <w:rPr>
                <w:sz w:val="17"/>
              </w:rPr>
              <w:t>Executive decision making, hospital-wide operations isolation, external notification decisions.</w:t>
            </w:r>
          </w:p>
        </w:tc>
        <w:tc>
          <w:tcPr>
            <w:tcW w:type="dxa" w:w="1584"/>
            <w:shd w:fill="FFFFFF"/>
            <w:tcMar>
              <w:top w:w="80" w:type="dxa"/>
              <w:bottom w:w="80" w:type="dxa"/>
              <w:left w:w="60" w:type="dxa"/>
              <w:right w:w="60" w:type="dxa"/>
            </w:tcMar>
          </w:tcPr>
          <w:p>
            <w:pPr>
              <w:spacing w:after="0"/>
            </w:pPr>
            <w:r>
              <w:rPr>
                <w:b/>
                <w:color w:val="008080"/>
                <w:sz w:val="17"/>
              </w:rPr>
              <w:t>Immediate (P1 Crisis)</w:t>
            </w:r>
          </w:p>
        </w:tc>
        <w:tc>
          <w:tcPr>
            <w:tcW w:type="dxa" w:w="2592"/>
            <w:shd w:fill="FFFFFF"/>
            <w:tcMar>
              <w:top w:w="80" w:type="dxa"/>
              <w:bottom w:w="80" w:type="dxa"/>
              <w:left w:w="60" w:type="dxa"/>
              <w:right w:w="60" w:type="dxa"/>
            </w:tcMar>
          </w:tcPr>
          <w:p>
            <w:pPr>
              <w:spacing w:after="0"/>
            </w:pPr>
            <w:r>
              <w:rPr>
                <w:sz w:val="17"/>
              </w:rPr>
              <w:t>Full operational leadership during active ransomware or patient-impacting breach.</w:t>
            </w:r>
          </w:p>
        </w:tc>
      </w:tr>
    </w:tbl>
    <w:p>
      <w:pPr>
        <w:spacing w:after="200"/>
      </w:pPr>
    </w:p>
    <w:p>
      <w:pPr>
        <w:spacing w:before="280" w:after="120"/>
      </w:pPr>
      <w:r>
        <w:rPr>
          <w:b/>
          <w:color w:val="1B365D"/>
          <w:sz w:val="28"/>
        </w:rPr>
        <w:t>2. Out-of-Hours (OOH) Operational Protocol</w:t>
      </w:r>
    </w:p>
    <w:p>
      <w:pPr>
        <w:spacing w:after="160" w:line="276" w:lineRule="auto"/>
      </w:pPr>
      <w:r>
        <w:t>Outside normal working hours (17:00 - 08:00 &amp; Weekends), P1 and P2 alerts trigger direct automated SMS and phone call alerts via the On-Call Management System (OpsGenie/PagerDuty). If the primary on-call engineer does not acknowledge within 10 minutes, the call automatically rolls over to the Secondary On-Call Lead. If unanswered after 20 minutes, the escalation path overrides directly to the CISO.</w:t>
      </w:r>
    </w:p>
    <w:p>
      <w:pPr>
        <w:spacing w:before="320" w:after="120"/>
      </w:pPr>
      <w:r>
        <w:rPr>
          <w:b/>
          <w:color w:val="1B365D"/>
          <w:sz w:val="32"/>
        </w:rPr>
        <w:t>3. External Parties &amp; National Reporting Matrix</w:t>
      </w:r>
    </w:p>
    <w:p>
      <w:pPr>
        <w:spacing w:after="200" w:line="276" w:lineRule="auto"/>
      </w:pPr>
      <w:r>
        <w:t>In the event of a critical security breach (e.g., patient data compromise or ransomware impacting clinical operations), mandatory notifications must be made to regulatory authorities, legal bodies, vendors, and national cyber security centers within strict legal timelines.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84"/>
        <w:gridCol w:w="2484"/>
        <w:gridCol w:w="2484"/>
        <w:gridCol w:w="2484"/>
      </w:tblGrid>
      <w:tr>
        <w:tc>
          <w:tcPr>
            <w:tcW w:type="dxa" w:w="2592"/>
            <w:shd w:fill="1B365D"/>
            <w:tcMar>
              <w:top w:w="100" w:type="dxa"/>
              <w:bottom w:w="100" w:type="dxa"/>
              <w:left w:w="60" w:type="dxa"/>
              <w:right w:w="60" w:type="dxa"/>
            </w:tcMar>
          </w:tcPr>
          <w:p>
            <w:pPr>
              <w:spacing w:after="0"/>
            </w:pPr>
            <w:r>
              <w:rPr>
                <w:b/>
                <w:color w:val="FFFFFF"/>
                <w:sz w:val="17"/>
              </w:rPr>
              <w:t>External Organization / Body</w:t>
            </w:r>
          </w:p>
        </w:tc>
        <w:tc>
          <w:tcPr>
            <w:tcW w:type="dxa" w:w="3456"/>
            <w:shd w:fill="1B365D"/>
            <w:tcMar>
              <w:top w:w="100" w:type="dxa"/>
              <w:bottom w:w="100" w:type="dxa"/>
              <w:left w:w="60" w:type="dxa"/>
              <w:right w:w="60" w:type="dxa"/>
            </w:tcMar>
          </w:tcPr>
          <w:p>
            <w:pPr>
              <w:spacing w:after="0"/>
            </w:pPr>
            <w:r>
              <w:rPr>
                <w:b/>
                <w:color w:val="FFFFFF"/>
                <w:sz w:val="17"/>
              </w:rPr>
              <w:t>Reporting Trigger &amp; Requirement</w:t>
            </w:r>
          </w:p>
        </w:tc>
        <w:tc>
          <w:tcPr>
            <w:tcW w:type="dxa" w:w="1872"/>
            <w:shd w:fill="1B365D"/>
            <w:tcMar>
              <w:top w:w="100" w:type="dxa"/>
              <w:bottom w:w="100" w:type="dxa"/>
              <w:left w:w="60" w:type="dxa"/>
              <w:right w:w="60" w:type="dxa"/>
            </w:tcMar>
          </w:tcPr>
          <w:p>
            <w:pPr>
              <w:spacing w:after="0"/>
            </w:pPr>
            <w:r>
              <w:rPr>
                <w:b/>
                <w:color w:val="FFFFFF"/>
                <w:sz w:val="17"/>
              </w:rPr>
              <w:t>Mandatory Reporting Window</w:t>
            </w:r>
          </w:p>
        </w:tc>
        <w:tc>
          <w:tcPr>
            <w:tcW w:type="dxa" w:w="2160"/>
            <w:shd w:fill="1B365D"/>
            <w:tcMar>
              <w:top w:w="100" w:type="dxa"/>
              <w:bottom w:w="100" w:type="dxa"/>
              <w:left w:w="60" w:type="dxa"/>
              <w:right w:w="60" w:type="dxa"/>
            </w:tcMar>
          </w:tcPr>
          <w:p>
            <w:pPr>
              <w:spacing w:after="0"/>
            </w:pPr>
            <w:r>
              <w:rPr>
                <w:b/>
                <w:color w:val="FFFFFF"/>
                <w:sz w:val="17"/>
              </w:rPr>
              <w:t>Designated Contact Owner</w:t>
            </w:r>
          </w:p>
        </w:tc>
      </w:tr>
      <w:tr>
        <w:tc>
          <w:tcPr>
            <w:tcW w:type="dxa" w:w="2592"/>
            <w:shd w:fill="F4F6F9"/>
            <w:tcMar>
              <w:top w:w="80" w:type="dxa"/>
              <w:bottom w:w="80" w:type="dxa"/>
              <w:left w:w="60" w:type="dxa"/>
              <w:right w:w="60" w:type="dxa"/>
            </w:tcMar>
          </w:tcPr>
          <w:p>
            <w:pPr>
              <w:spacing w:after="0"/>
            </w:pPr>
            <w:r>
              <w:rPr>
                <w:b/>
                <w:color w:val="1B365D"/>
                <w:sz w:val="17"/>
              </w:rPr>
              <w:t>National Cyber Security Center (NCSC / JO-CERT)</w:t>
            </w:r>
          </w:p>
        </w:tc>
        <w:tc>
          <w:tcPr>
            <w:tcW w:type="dxa" w:w="3456"/>
            <w:shd w:fill="F4F6F9"/>
            <w:tcMar>
              <w:top w:w="80" w:type="dxa"/>
              <w:bottom w:w="80" w:type="dxa"/>
              <w:left w:w="60" w:type="dxa"/>
              <w:right w:w="60" w:type="dxa"/>
            </w:tcMar>
          </w:tcPr>
          <w:p>
            <w:pPr>
              <w:spacing w:after="0"/>
            </w:pPr>
            <w:r>
              <w:rPr>
                <w:sz w:val="17"/>
              </w:rPr>
              <w:t>National CERT reporting for severe ransomware, systemic cyber threats, or critical infrastructure incidents.</w:t>
            </w:r>
          </w:p>
        </w:tc>
        <w:tc>
          <w:tcPr>
            <w:tcW w:type="dxa" w:w="1872"/>
            <w:shd w:fill="F4F6F9"/>
            <w:tcMar>
              <w:top w:w="80" w:type="dxa"/>
              <w:bottom w:w="80" w:type="dxa"/>
              <w:left w:w="60" w:type="dxa"/>
              <w:right w:w="60" w:type="dxa"/>
            </w:tcMar>
          </w:tcPr>
          <w:p>
            <w:pPr>
              <w:spacing w:after="0"/>
            </w:pPr>
            <w:r>
              <w:rPr>
                <w:b/>
                <w:color w:val="008080"/>
                <w:sz w:val="17"/>
              </w:rPr>
              <w:t>Within 24 Hours of P1 Declaration</w:t>
            </w:r>
          </w:p>
        </w:tc>
        <w:tc>
          <w:tcPr>
            <w:tcW w:type="dxa" w:w="2160"/>
            <w:shd w:fill="F4F6F9"/>
            <w:tcMar>
              <w:top w:w="80" w:type="dxa"/>
              <w:bottom w:w="80" w:type="dxa"/>
              <w:left w:w="60" w:type="dxa"/>
              <w:right w:w="60" w:type="dxa"/>
            </w:tcMar>
          </w:tcPr>
          <w:p>
            <w:pPr>
              <w:spacing w:after="0"/>
            </w:pPr>
            <w:r>
              <w:rPr>
                <w:sz w:val="17"/>
              </w:rPr>
              <w:t>CISO / Head of Information Security</w:t>
            </w:r>
          </w:p>
        </w:tc>
      </w:tr>
      <w:tr>
        <w:tc>
          <w:tcPr>
            <w:tcW w:type="dxa" w:w="2592"/>
            <w:shd w:fill="FFFFFF"/>
            <w:tcMar>
              <w:top w:w="80" w:type="dxa"/>
              <w:bottom w:w="80" w:type="dxa"/>
              <w:left w:w="60" w:type="dxa"/>
              <w:right w:w="60" w:type="dxa"/>
            </w:tcMar>
          </w:tcPr>
          <w:p>
            <w:pPr>
              <w:spacing w:after="0"/>
            </w:pPr>
            <w:r>
              <w:rPr>
                <w:b/>
                <w:color w:val="1B365D"/>
                <w:sz w:val="17"/>
              </w:rPr>
              <w:t>Ministry of Health / Health Regulatory Authority</w:t>
            </w:r>
          </w:p>
        </w:tc>
        <w:tc>
          <w:tcPr>
            <w:tcW w:type="dxa" w:w="3456"/>
            <w:shd w:fill="FFFFFF"/>
            <w:tcMar>
              <w:top w:w="80" w:type="dxa"/>
              <w:bottom w:w="80" w:type="dxa"/>
              <w:left w:w="60" w:type="dxa"/>
              <w:right w:w="60" w:type="dxa"/>
            </w:tcMar>
          </w:tcPr>
          <w:p>
            <w:pPr>
              <w:spacing w:after="0"/>
            </w:pPr>
            <w:r>
              <w:rPr>
                <w:sz w:val="17"/>
              </w:rPr>
              <w:t>Regulatory compliance notification for operational downtime affecting healthcare services or patient safety.</w:t>
            </w:r>
          </w:p>
        </w:tc>
        <w:tc>
          <w:tcPr>
            <w:tcW w:type="dxa" w:w="1872"/>
            <w:shd w:fill="FFFFFF"/>
            <w:tcMar>
              <w:top w:w="80" w:type="dxa"/>
              <w:bottom w:w="80" w:type="dxa"/>
              <w:left w:w="60" w:type="dxa"/>
              <w:right w:w="60" w:type="dxa"/>
            </w:tcMar>
          </w:tcPr>
          <w:p>
            <w:pPr>
              <w:spacing w:after="0"/>
            </w:pPr>
            <w:r>
              <w:rPr>
                <w:b/>
                <w:color w:val="008080"/>
                <w:sz w:val="17"/>
              </w:rPr>
              <w:t>Within 12 Hours</w:t>
            </w:r>
          </w:p>
        </w:tc>
        <w:tc>
          <w:tcPr>
            <w:tcW w:type="dxa" w:w="2160"/>
            <w:shd w:fill="FFFFFF"/>
            <w:tcMar>
              <w:top w:w="80" w:type="dxa"/>
              <w:bottom w:w="80" w:type="dxa"/>
              <w:left w:w="60" w:type="dxa"/>
              <w:right w:w="60" w:type="dxa"/>
            </w:tcMar>
          </w:tcPr>
          <w:p>
            <w:pPr>
              <w:spacing w:after="0"/>
            </w:pPr>
            <w:r>
              <w:rPr>
                <w:sz w:val="17"/>
              </w:rPr>
              <w:t>Hospital Executive Director / Legal Counsel</w:t>
            </w:r>
          </w:p>
        </w:tc>
      </w:tr>
      <w:tr>
        <w:tc>
          <w:tcPr>
            <w:tcW w:type="dxa" w:w="2592"/>
            <w:shd w:fill="F4F6F9"/>
            <w:tcMar>
              <w:top w:w="80" w:type="dxa"/>
              <w:bottom w:w="80" w:type="dxa"/>
              <w:left w:w="60" w:type="dxa"/>
              <w:right w:w="60" w:type="dxa"/>
            </w:tcMar>
          </w:tcPr>
          <w:p>
            <w:pPr>
              <w:spacing w:after="0"/>
            </w:pPr>
            <w:r>
              <w:rPr>
                <w:b/>
                <w:color w:val="1B365D"/>
                <w:sz w:val="17"/>
              </w:rPr>
              <w:t>Data Protection &amp; Privacy Regulator</w:t>
            </w:r>
          </w:p>
        </w:tc>
        <w:tc>
          <w:tcPr>
            <w:tcW w:type="dxa" w:w="3456"/>
            <w:shd w:fill="F4F6F9"/>
            <w:tcMar>
              <w:top w:w="80" w:type="dxa"/>
              <w:bottom w:w="80" w:type="dxa"/>
              <w:left w:w="60" w:type="dxa"/>
              <w:right w:w="60" w:type="dxa"/>
            </w:tcMar>
          </w:tcPr>
          <w:p>
            <w:pPr>
              <w:spacing w:after="0"/>
            </w:pPr>
            <w:r>
              <w:rPr>
                <w:sz w:val="17"/>
              </w:rPr>
              <w:t>Mandatory notification under data privacy laws in case of unauthorized access or exfiltration of patient records.</w:t>
            </w:r>
          </w:p>
        </w:tc>
        <w:tc>
          <w:tcPr>
            <w:tcW w:type="dxa" w:w="1872"/>
            <w:shd w:fill="F4F6F9"/>
            <w:tcMar>
              <w:top w:w="80" w:type="dxa"/>
              <w:bottom w:w="80" w:type="dxa"/>
              <w:left w:w="60" w:type="dxa"/>
              <w:right w:w="60" w:type="dxa"/>
            </w:tcMar>
          </w:tcPr>
          <w:p>
            <w:pPr>
              <w:spacing w:after="0"/>
            </w:pPr>
            <w:r>
              <w:rPr>
                <w:b/>
                <w:color w:val="008080"/>
                <w:sz w:val="17"/>
              </w:rPr>
              <w:t>Within 72 Hours of Incident Confirmation</w:t>
            </w:r>
          </w:p>
        </w:tc>
        <w:tc>
          <w:tcPr>
            <w:tcW w:type="dxa" w:w="2160"/>
            <w:shd w:fill="F4F6F9"/>
            <w:tcMar>
              <w:top w:w="80" w:type="dxa"/>
              <w:bottom w:w="80" w:type="dxa"/>
              <w:left w:w="60" w:type="dxa"/>
              <w:right w:w="60" w:type="dxa"/>
            </w:tcMar>
          </w:tcPr>
          <w:p>
            <w:pPr>
              <w:spacing w:after="0"/>
            </w:pPr>
            <w:r>
              <w:rPr>
                <w:sz w:val="17"/>
              </w:rPr>
              <w:t>Data Protection Officer (DPO) / Legal Team</w:t>
            </w:r>
          </w:p>
        </w:tc>
      </w:tr>
      <w:tr>
        <w:tc>
          <w:tcPr>
            <w:tcW w:type="dxa" w:w="2592"/>
            <w:shd w:fill="FFFFFF"/>
            <w:tcMar>
              <w:top w:w="80" w:type="dxa"/>
              <w:bottom w:w="80" w:type="dxa"/>
              <w:left w:w="60" w:type="dxa"/>
              <w:right w:w="60" w:type="dxa"/>
            </w:tcMar>
          </w:tcPr>
          <w:p>
            <w:pPr>
              <w:spacing w:after="0"/>
            </w:pPr>
            <w:r>
              <w:rPr>
                <w:b/>
                <w:color w:val="1B365D"/>
                <w:sz w:val="17"/>
              </w:rPr>
              <w:t>Third-Party Incident Response &amp; Forensics Vendor</w:t>
            </w:r>
          </w:p>
        </w:tc>
        <w:tc>
          <w:tcPr>
            <w:tcW w:type="dxa" w:w="3456"/>
            <w:shd w:fill="FFFFFF"/>
            <w:tcMar>
              <w:top w:w="80" w:type="dxa"/>
              <w:bottom w:w="80" w:type="dxa"/>
              <w:left w:w="60" w:type="dxa"/>
              <w:right w:w="60" w:type="dxa"/>
            </w:tcMar>
          </w:tcPr>
          <w:p>
            <w:pPr>
              <w:spacing w:after="0"/>
            </w:pPr>
            <w:r>
              <w:rPr>
                <w:sz w:val="17"/>
              </w:rPr>
              <w:t>Retained external DFIR vendor engagement for deep forensic analysis, malware reverse engineering, and breach remediation.</w:t>
            </w:r>
          </w:p>
        </w:tc>
        <w:tc>
          <w:tcPr>
            <w:tcW w:type="dxa" w:w="1872"/>
            <w:shd w:fill="FFFFFF"/>
            <w:tcMar>
              <w:top w:w="80" w:type="dxa"/>
              <w:bottom w:w="80" w:type="dxa"/>
              <w:left w:w="60" w:type="dxa"/>
              <w:right w:w="60" w:type="dxa"/>
            </w:tcMar>
          </w:tcPr>
          <w:p>
            <w:pPr>
              <w:spacing w:after="0"/>
            </w:pPr>
            <w:r>
              <w:rPr>
                <w:b/>
                <w:color w:val="008080"/>
                <w:sz w:val="17"/>
              </w:rPr>
              <w:t>Within 2 Hours (P1 Crisis)</w:t>
            </w:r>
          </w:p>
        </w:tc>
        <w:tc>
          <w:tcPr>
            <w:tcW w:type="dxa" w:w="2160"/>
            <w:shd w:fill="FFFFFF"/>
            <w:tcMar>
              <w:top w:w="80" w:type="dxa"/>
              <w:bottom w:w="80" w:type="dxa"/>
              <w:left w:w="60" w:type="dxa"/>
              <w:right w:w="60" w:type="dxa"/>
            </w:tcMar>
          </w:tcPr>
          <w:p>
            <w:pPr>
              <w:spacing w:after="0"/>
            </w:pPr>
            <w:r>
              <w:rPr>
                <w:sz w:val="17"/>
              </w:rPr>
              <w:t>CISO / Incident Commander</w:t>
            </w:r>
          </w:p>
        </w:tc>
      </w:tr>
      <w:tr>
        <w:tc>
          <w:tcPr>
            <w:tcW w:type="dxa" w:w="2592"/>
            <w:shd w:fill="F4F6F9"/>
            <w:tcMar>
              <w:top w:w="80" w:type="dxa"/>
              <w:bottom w:w="80" w:type="dxa"/>
              <w:left w:w="60" w:type="dxa"/>
              <w:right w:w="60" w:type="dxa"/>
            </w:tcMar>
          </w:tcPr>
          <w:p>
            <w:pPr>
              <w:spacing w:after="0"/>
            </w:pPr>
            <w:r>
              <w:rPr>
                <w:b/>
                <w:color w:val="1B365D"/>
                <w:sz w:val="17"/>
              </w:rPr>
              <w:t>Law Enforcement / Cybercrime Unit</w:t>
            </w:r>
          </w:p>
        </w:tc>
        <w:tc>
          <w:tcPr>
            <w:tcW w:type="dxa" w:w="3456"/>
            <w:shd w:fill="F4F6F9"/>
            <w:tcMar>
              <w:top w:w="80" w:type="dxa"/>
              <w:bottom w:w="80" w:type="dxa"/>
              <w:left w:w="60" w:type="dxa"/>
              <w:right w:w="60" w:type="dxa"/>
            </w:tcMar>
          </w:tcPr>
          <w:p>
            <w:pPr>
              <w:spacing w:after="0"/>
            </w:pPr>
            <w:r>
              <w:rPr>
                <w:sz w:val="17"/>
              </w:rPr>
              <w:t>Formal criminal complaint filing in cases of extortion, severe cyber theft, or insider threat.</w:t>
            </w:r>
          </w:p>
        </w:tc>
        <w:tc>
          <w:tcPr>
            <w:tcW w:type="dxa" w:w="1872"/>
            <w:shd w:fill="F4F6F9"/>
            <w:tcMar>
              <w:top w:w="80" w:type="dxa"/>
              <w:bottom w:w="80" w:type="dxa"/>
              <w:left w:w="60" w:type="dxa"/>
              <w:right w:w="60" w:type="dxa"/>
            </w:tcMar>
          </w:tcPr>
          <w:p>
            <w:pPr>
              <w:spacing w:after="0"/>
            </w:pPr>
            <w:r>
              <w:rPr>
                <w:b/>
                <w:color w:val="008080"/>
                <w:sz w:val="17"/>
              </w:rPr>
              <w:t>As advised by Legal Counsel</w:t>
            </w:r>
          </w:p>
        </w:tc>
        <w:tc>
          <w:tcPr>
            <w:tcW w:type="dxa" w:w="2160"/>
            <w:shd w:fill="F4F6F9"/>
            <w:tcMar>
              <w:top w:w="80" w:type="dxa"/>
              <w:bottom w:w="80" w:type="dxa"/>
              <w:left w:w="60" w:type="dxa"/>
              <w:right w:w="60" w:type="dxa"/>
            </w:tcMar>
          </w:tcPr>
          <w:p>
            <w:pPr>
              <w:spacing w:after="0"/>
            </w:pPr>
            <w:r>
              <w:rPr>
                <w:sz w:val="17"/>
              </w:rPr>
              <w:t>Hospital Legal Counsel</w:t>
            </w:r>
          </w:p>
        </w:tc>
      </w:tr>
    </w:tbl>
    <w:p>
      <w:pPr>
        <w:spacing w:after="16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