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B365D"/>
          <w:sz w:val="44"/>
        </w:rPr>
        <w:t>Part 2: Incident Readiness Pack</w:t>
      </w:r>
    </w:p>
    <w:p>
      <w:pPr>
        <w:spacing w:after="320"/>
      </w:pPr>
      <w:r>
        <w:rPr>
          <w:i/>
          <w:color w:val="008080"/>
          <w:sz w:val="24"/>
        </w:rPr>
        <w:t>Task 2.6 — Stakeholder Communication Plan &amp; P1 Message Templates | Al Amal Hospital</w:t>
      </w:r>
    </w:p>
    <w:p>
      <w:r>
        <w:rPr>
          <w:b/>
          <w:color w:val="1B365D"/>
          <w:sz w:val="28"/>
        </w:rPr>
        <w:t>1. Incident Communication Governance &amp; Spokesperson Matrix</w:t>
      </w:r>
    </w:p>
    <w:p>
      <w:r>
        <w:t>To prevent unauthorized leakage, panic, or regulatory non-compliance during a P1 security crisis at Al Amal Hospital, all communications are restricted to designated authorized spokespersons following CISO and Legal approval.</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84"/>
        <w:gridCol w:w="2484"/>
        <w:gridCol w:w="2484"/>
        <w:gridCol w:w="2484"/>
      </w:tblGrid>
      <w:tr>
        <w:tc>
          <w:tcPr>
            <w:tcW w:type="dxa" w:w="2592"/>
            <w:shd w:fill="1B365D"/>
            <w:tcMar>
              <w:top w:w="80" w:type="dxa"/>
              <w:bottom w:w="80" w:type="dxa"/>
              <w:left w:w="60" w:type="dxa"/>
              <w:right w:w="60" w:type="dxa"/>
            </w:tcMar>
          </w:tcPr>
          <w:p>
            <w:pPr>
              <w:spacing w:after="0"/>
            </w:pPr>
            <w:r>
              <w:rPr>
                <w:b/>
                <w:color w:val="FFFFFF"/>
                <w:sz w:val="17"/>
              </w:rPr>
              <w:t>Target Audience</w:t>
            </w:r>
          </w:p>
        </w:tc>
        <w:tc>
          <w:tcPr>
            <w:tcW w:type="dxa" w:w="2592"/>
            <w:shd w:fill="1B365D"/>
            <w:tcMar>
              <w:top w:w="80" w:type="dxa"/>
              <w:bottom w:w="80" w:type="dxa"/>
              <w:left w:w="60" w:type="dxa"/>
              <w:right w:w="60" w:type="dxa"/>
            </w:tcMar>
          </w:tcPr>
          <w:p>
            <w:pPr>
              <w:spacing w:after="0"/>
            </w:pPr>
            <w:r>
              <w:rPr>
                <w:b/>
                <w:color w:val="FFFFFF"/>
                <w:sz w:val="17"/>
              </w:rPr>
              <w:t>Authorized Channel</w:t>
            </w:r>
          </w:p>
        </w:tc>
        <w:tc>
          <w:tcPr>
            <w:tcW w:type="dxa" w:w="2592"/>
            <w:shd w:fill="1B365D"/>
            <w:tcMar>
              <w:top w:w="80" w:type="dxa"/>
              <w:bottom w:w="80" w:type="dxa"/>
              <w:left w:w="60" w:type="dxa"/>
              <w:right w:w="60" w:type="dxa"/>
            </w:tcMar>
          </w:tcPr>
          <w:p>
            <w:pPr>
              <w:spacing w:after="0"/>
            </w:pPr>
            <w:r>
              <w:rPr>
                <w:b/>
                <w:color w:val="FFFFFF"/>
                <w:sz w:val="17"/>
              </w:rPr>
              <w:t>Designated Spokesperson</w:t>
            </w:r>
          </w:p>
        </w:tc>
        <w:tc>
          <w:tcPr>
            <w:tcW w:type="dxa" w:w="2016"/>
            <w:shd w:fill="1B365D"/>
            <w:tcMar>
              <w:top w:w="80" w:type="dxa"/>
              <w:bottom w:w="80" w:type="dxa"/>
              <w:left w:w="60" w:type="dxa"/>
              <w:right w:w="60" w:type="dxa"/>
            </w:tcMar>
          </w:tcPr>
          <w:p>
            <w:pPr>
              <w:spacing w:after="0"/>
            </w:pPr>
            <w:r>
              <w:rPr>
                <w:b/>
                <w:color w:val="FFFFFF"/>
                <w:sz w:val="17"/>
              </w:rPr>
              <w:t>Approval Authority Required</w:t>
            </w:r>
          </w:p>
        </w:tc>
      </w:tr>
      <w:tr>
        <w:tc>
          <w:tcPr>
            <w:tcW w:type="dxa" w:w="2592"/>
            <w:shd w:fill="F4F6F9"/>
            <w:tcMar>
              <w:top w:w="60" w:type="dxa"/>
              <w:bottom w:w="60" w:type="dxa"/>
              <w:left w:w="60" w:type="dxa"/>
              <w:right w:w="60" w:type="dxa"/>
            </w:tcMar>
          </w:tcPr>
          <w:p>
            <w:pPr>
              <w:spacing w:after="0"/>
            </w:pPr>
            <w:r>
              <w:rPr>
                <w:b/>
                <w:color w:val="1B365D"/>
                <w:sz w:val="17"/>
              </w:rPr>
              <w:t>Hospital Staff &amp; Medical Personnel</w:t>
            </w:r>
          </w:p>
        </w:tc>
        <w:tc>
          <w:tcPr>
            <w:tcW w:type="dxa" w:w="2592"/>
            <w:shd w:fill="F4F6F9"/>
            <w:tcMar>
              <w:top w:w="60" w:type="dxa"/>
              <w:bottom w:w="60" w:type="dxa"/>
              <w:left w:w="60" w:type="dxa"/>
              <w:right w:w="60" w:type="dxa"/>
            </w:tcMar>
          </w:tcPr>
          <w:p>
            <w:pPr>
              <w:spacing w:after="0"/>
            </w:pPr>
            <w:r>
              <w:rPr>
                <w:sz w:val="17"/>
              </w:rPr>
              <w:t>Internal All-Hands Broadcast / Intranet Alert</w:t>
            </w:r>
          </w:p>
        </w:tc>
        <w:tc>
          <w:tcPr>
            <w:tcW w:type="dxa" w:w="2592"/>
            <w:shd w:fill="F4F6F9"/>
            <w:tcMar>
              <w:top w:w="60" w:type="dxa"/>
              <w:bottom w:w="60" w:type="dxa"/>
              <w:left w:w="60" w:type="dxa"/>
              <w:right w:w="60" w:type="dxa"/>
            </w:tcMar>
          </w:tcPr>
          <w:p>
            <w:pPr>
              <w:spacing w:after="0"/>
            </w:pPr>
            <w:r>
              <w:rPr>
                <w:sz w:val="17"/>
              </w:rPr>
              <w:t>Chief Medical Officer (CMO) / HR Director</w:t>
            </w:r>
          </w:p>
        </w:tc>
        <w:tc>
          <w:tcPr>
            <w:tcW w:type="dxa" w:w="2016"/>
            <w:shd w:fill="F4F6F9"/>
            <w:tcMar>
              <w:top w:w="60" w:type="dxa"/>
              <w:bottom w:w="60" w:type="dxa"/>
              <w:left w:w="60" w:type="dxa"/>
              <w:right w:w="60" w:type="dxa"/>
            </w:tcMar>
          </w:tcPr>
          <w:p>
            <w:pPr>
              <w:spacing w:after="0"/>
            </w:pPr>
            <w:r>
              <w:rPr>
                <w:sz w:val="17"/>
              </w:rPr>
              <w:t>CISO &amp; Legal Counsel</w:t>
            </w:r>
          </w:p>
        </w:tc>
      </w:tr>
      <w:tr>
        <w:tc>
          <w:tcPr>
            <w:tcW w:type="dxa" w:w="2592"/>
            <w:shd w:fill="FFFFFF"/>
            <w:tcMar>
              <w:top w:w="60" w:type="dxa"/>
              <w:bottom w:w="60" w:type="dxa"/>
              <w:left w:w="60" w:type="dxa"/>
              <w:right w:w="60" w:type="dxa"/>
            </w:tcMar>
          </w:tcPr>
          <w:p>
            <w:pPr>
              <w:spacing w:after="0"/>
            </w:pPr>
            <w:r>
              <w:rPr>
                <w:b/>
                <w:color w:val="1B365D"/>
                <w:sz w:val="17"/>
              </w:rPr>
              <w:t>Hospital Patients &amp; General Public</w:t>
            </w:r>
          </w:p>
        </w:tc>
        <w:tc>
          <w:tcPr>
            <w:tcW w:type="dxa" w:w="2592"/>
            <w:shd w:fill="FFFFFF"/>
            <w:tcMar>
              <w:top w:w="60" w:type="dxa"/>
              <w:bottom w:w="60" w:type="dxa"/>
              <w:left w:w="60" w:type="dxa"/>
              <w:right w:w="60" w:type="dxa"/>
            </w:tcMar>
          </w:tcPr>
          <w:p>
            <w:pPr>
              <w:spacing w:after="0"/>
            </w:pPr>
            <w:r>
              <w:rPr>
                <w:sz w:val="17"/>
              </w:rPr>
              <w:t>Press Release / Official Website Notice</w:t>
            </w:r>
          </w:p>
        </w:tc>
        <w:tc>
          <w:tcPr>
            <w:tcW w:type="dxa" w:w="2592"/>
            <w:shd w:fill="FFFFFF"/>
            <w:tcMar>
              <w:top w:w="60" w:type="dxa"/>
              <w:bottom w:w="60" w:type="dxa"/>
              <w:left w:w="60" w:type="dxa"/>
              <w:right w:w="60" w:type="dxa"/>
            </w:tcMar>
          </w:tcPr>
          <w:p>
            <w:pPr>
              <w:spacing w:after="0"/>
            </w:pPr>
            <w:r>
              <w:rPr>
                <w:sz w:val="17"/>
              </w:rPr>
              <w:t>Public Relations (PR) Director / Press Officer</w:t>
            </w:r>
          </w:p>
        </w:tc>
        <w:tc>
          <w:tcPr>
            <w:tcW w:type="dxa" w:w="2016"/>
            <w:shd w:fill="FFFFFF"/>
            <w:tcMar>
              <w:top w:w="60" w:type="dxa"/>
              <w:bottom w:w="60" w:type="dxa"/>
              <w:left w:w="60" w:type="dxa"/>
              <w:right w:w="60" w:type="dxa"/>
            </w:tcMar>
          </w:tcPr>
          <w:p>
            <w:pPr>
              <w:spacing w:after="0"/>
            </w:pPr>
            <w:r>
              <w:rPr>
                <w:sz w:val="17"/>
              </w:rPr>
              <w:t>Hospital Executive Director &amp; CISO</w:t>
            </w:r>
          </w:p>
        </w:tc>
      </w:tr>
      <w:tr>
        <w:tc>
          <w:tcPr>
            <w:tcW w:type="dxa" w:w="2592"/>
            <w:shd w:fill="F4F6F9"/>
            <w:tcMar>
              <w:top w:w="60" w:type="dxa"/>
              <w:bottom w:w="60" w:type="dxa"/>
              <w:left w:w="60" w:type="dxa"/>
              <w:right w:w="60" w:type="dxa"/>
            </w:tcMar>
          </w:tcPr>
          <w:p>
            <w:pPr>
              <w:spacing w:after="0"/>
            </w:pPr>
            <w:r>
              <w:rPr>
                <w:b/>
                <w:color w:val="1B365D"/>
                <w:sz w:val="17"/>
              </w:rPr>
              <w:t>Regulatory Authorities (NCSC / Health Ministry)</w:t>
            </w:r>
          </w:p>
        </w:tc>
        <w:tc>
          <w:tcPr>
            <w:tcW w:type="dxa" w:w="2592"/>
            <w:shd w:fill="F4F6F9"/>
            <w:tcMar>
              <w:top w:w="60" w:type="dxa"/>
              <w:bottom w:w="60" w:type="dxa"/>
              <w:left w:w="60" w:type="dxa"/>
              <w:right w:w="60" w:type="dxa"/>
            </w:tcMar>
          </w:tcPr>
          <w:p>
            <w:pPr>
              <w:spacing w:after="0"/>
            </w:pPr>
            <w:r>
              <w:rPr>
                <w:sz w:val="17"/>
              </w:rPr>
              <w:t>Secure Encrypted Email / Regulatory Portal</w:t>
            </w:r>
          </w:p>
        </w:tc>
        <w:tc>
          <w:tcPr>
            <w:tcW w:type="dxa" w:w="2592"/>
            <w:shd w:fill="F4F6F9"/>
            <w:tcMar>
              <w:top w:w="60" w:type="dxa"/>
              <w:bottom w:w="60" w:type="dxa"/>
              <w:left w:w="60" w:type="dxa"/>
              <w:right w:w="60" w:type="dxa"/>
            </w:tcMar>
          </w:tcPr>
          <w:p>
            <w:pPr>
              <w:spacing w:after="0"/>
            </w:pPr>
            <w:r>
              <w:rPr>
                <w:sz w:val="17"/>
              </w:rPr>
              <w:t>Chief Information Security Officer (CISO)</w:t>
            </w:r>
          </w:p>
        </w:tc>
        <w:tc>
          <w:tcPr>
            <w:tcW w:type="dxa" w:w="2016"/>
            <w:shd w:fill="F4F6F9"/>
            <w:tcMar>
              <w:top w:w="60" w:type="dxa"/>
              <w:bottom w:w="60" w:type="dxa"/>
              <w:left w:w="60" w:type="dxa"/>
              <w:right w:w="60" w:type="dxa"/>
            </w:tcMar>
          </w:tcPr>
          <w:p>
            <w:pPr>
              <w:spacing w:after="0"/>
            </w:pPr>
            <w:r>
              <w:rPr>
                <w:sz w:val="17"/>
              </w:rPr>
              <w:t>Legal Counsel</w:t>
            </w:r>
          </w:p>
        </w:tc>
      </w:tr>
      <w:tr>
        <w:tc>
          <w:tcPr>
            <w:tcW w:type="dxa" w:w="2592"/>
            <w:shd w:fill="FFFFFF"/>
            <w:tcMar>
              <w:top w:w="60" w:type="dxa"/>
              <w:bottom w:w="60" w:type="dxa"/>
              <w:left w:w="60" w:type="dxa"/>
              <w:right w:w="60" w:type="dxa"/>
            </w:tcMar>
          </w:tcPr>
          <w:p>
            <w:pPr>
              <w:spacing w:after="0"/>
            </w:pPr>
            <w:r>
              <w:rPr>
                <w:b/>
                <w:color w:val="1B365D"/>
                <w:sz w:val="17"/>
              </w:rPr>
              <w:t>Media &amp; External Journalists</w:t>
            </w:r>
          </w:p>
        </w:tc>
        <w:tc>
          <w:tcPr>
            <w:tcW w:type="dxa" w:w="2592"/>
            <w:shd w:fill="FFFFFF"/>
            <w:tcMar>
              <w:top w:w="60" w:type="dxa"/>
              <w:bottom w:w="60" w:type="dxa"/>
              <w:left w:w="60" w:type="dxa"/>
              <w:right w:w="60" w:type="dxa"/>
            </w:tcMar>
          </w:tcPr>
          <w:p>
            <w:pPr>
              <w:spacing w:after="0"/>
            </w:pPr>
            <w:r>
              <w:rPr>
                <w:sz w:val="17"/>
              </w:rPr>
              <w:t>Press Conference / Media Statement</w:t>
            </w:r>
          </w:p>
        </w:tc>
        <w:tc>
          <w:tcPr>
            <w:tcW w:type="dxa" w:w="2592"/>
            <w:shd w:fill="FFFFFF"/>
            <w:tcMar>
              <w:top w:w="60" w:type="dxa"/>
              <w:bottom w:w="60" w:type="dxa"/>
              <w:left w:w="60" w:type="dxa"/>
              <w:right w:w="60" w:type="dxa"/>
            </w:tcMar>
          </w:tcPr>
          <w:p>
            <w:pPr>
              <w:spacing w:after="0"/>
            </w:pPr>
            <w:r>
              <w:rPr>
                <w:sz w:val="17"/>
              </w:rPr>
              <w:t>Designated Hospital Public Information Officer</w:t>
            </w:r>
          </w:p>
        </w:tc>
        <w:tc>
          <w:tcPr>
            <w:tcW w:type="dxa" w:w="2016"/>
            <w:shd w:fill="FFFFFF"/>
            <w:tcMar>
              <w:top w:w="60" w:type="dxa"/>
              <w:bottom w:w="60" w:type="dxa"/>
              <w:left w:w="60" w:type="dxa"/>
              <w:right w:w="60" w:type="dxa"/>
            </w:tcMar>
          </w:tcPr>
          <w:p>
            <w:pPr>
              <w:spacing w:after="0"/>
            </w:pPr>
            <w:r>
              <w:rPr>
                <w:sz w:val="17"/>
              </w:rPr>
              <w:t>Executive Board &amp; PR Lead</w:t>
            </w:r>
          </w:p>
        </w:tc>
      </w:tr>
    </w:tbl>
    <w:p>
      <w:pPr>
        <w:spacing w:after="200"/>
      </w:pPr>
    </w:p>
    <w:p>
      <w:r>
        <w:rPr>
          <w:b/>
          <w:color w:val="1B365D"/>
          <w:sz w:val="28"/>
        </w:rPr>
        <w:t>2. Pre-Approved P1 Critical Incident Message Templates</w:t>
      </w:r>
    </w:p>
    <w:p>
      <w:pPr>
        <w:spacing w:before="160" w:after="40"/>
      </w:pPr>
      <w:r>
        <w:rPr>
          <w:b/>
          <w:color w:val="008080"/>
          <w:sz w:val="22"/>
        </w:rPr>
        <w:t>Template A: Hospital Internal Staff (Owner: HR &amp; CMO)</w:t>
      </w:r>
    </w:p>
    <w:p>
      <w:pPr>
        <w:spacing w:after="160" w:line="276" w:lineRule="auto"/>
      </w:pPr>
      <w:r>
        <w:rPr>
          <w:i/>
          <w:sz w:val="19"/>
        </w:rPr>
        <w:t>SUBJECT: [URGENT] IT Service Interruption &amp; Emergency Operational Protocol</w:t>
        <w:br/>
        <w:br/>
        <w:t>Dear Al Amal Hospital Staff,</w:t>
        <w:br/>
        <w:br/>
        <w:t>Our Cyber Security Operations Center is currently responding to a technical security incident affecting select clinical IT systems. As a precautionary measure, electronic health record (EHR) workstations in affected units have been temporarily isolated.</w:t>
        <w:br/>
        <w:br/>
        <w:t>ACTION REQUIRED: Please immediately transition to manual paper chart protocols for patient triage and medication administration. Do not attempt to reboot or log into workstation terminals until further notice. Further status updates will be delivered every 30 minutes via internal broadcast.</w:t>
      </w:r>
    </w:p>
    <w:p>
      <w:pPr>
        <w:spacing w:before="160" w:after="40"/>
      </w:pPr>
      <w:r>
        <w:rPr>
          <w:b/>
          <w:color w:val="008080"/>
          <w:sz w:val="22"/>
        </w:rPr>
        <w:t>Template B: Regulatory Authorities (NCSC / JO-CERT &amp; Ministry of Health) (Owner: CISO)</w:t>
      </w:r>
    </w:p>
    <w:p>
      <w:pPr>
        <w:spacing w:after="160" w:line="276" w:lineRule="auto"/>
      </w:pPr>
      <w:r>
        <w:rPr>
          <w:i/>
          <w:sz w:val="19"/>
        </w:rPr>
        <w:t>SUBJECT: Formal Incident Notification — Al Amal Hospital (Severity P1)</w:t>
        <w:br/>
        <w:br/>
        <w:t>Dear Regulatory Operations Team,</w:t>
        <w:br/>
        <w:br/>
        <w:t>In accordance with mandatory reporting requirements, Al Amal Hospital hereby notifies you of a Severity P1 cybersecurity incident identified on October 26, 2026 at 09:15 AM.</w:t>
        <w:br/>
        <w:br/>
        <w:t>Summary: Suspicious privilege escalation and potential file tampering were detected on internal endpoint infrastructure. Technical containment measures, host network isolation, and volatile memory preservation are actively underway. There is currently no verified evidence of patient data exfiltration. Detailed technical indicators (IOCs) will be submitted within 24 hours.</w:t>
      </w:r>
    </w:p>
    <w:p>
      <w:pPr>
        <w:spacing w:before="160" w:after="40"/>
      </w:pPr>
      <w:r>
        <w:rPr>
          <w:b/>
          <w:color w:val="008080"/>
          <w:sz w:val="22"/>
        </w:rPr>
        <w:t>Template C: Media &amp; Public Statement (Owner: PR Lead)</w:t>
      </w:r>
    </w:p>
    <w:p>
      <w:pPr>
        <w:spacing w:after="160" w:line="276" w:lineRule="auto"/>
      </w:pPr>
      <w:r>
        <w:rPr>
          <w:i/>
          <w:sz w:val="19"/>
        </w:rPr>
        <w:t>OFFICIAL STATEMENT — AL AMAL HOSPITAL SECURITY RESPONSE</w:t>
        <w:br/>
        <w:br/>
        <w:t>AMMAN, JORDAN — October 26, 2026 — Al Amal Hospital today identified an isolated IT security anomaly impacting non-critical network segments. Out of an abundance of caution and commitment to patient safety, cybersecurity defenses immediately contained the affected nodes.</w:t>
        <w:br/>
        <w:br/>
        <w:t>All emergency rooms, surgeries, and critical patient care units remain fully operational. Our specialized incident response team, alongside independent digital forensics experts, is actively securing the environment. We will share further public updates as verified information becomes available.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