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Part 2: Incident Readiness Pack</w:t>
      </w:r>
    </w:p>
    <w:p>
      <w:pPr>
        <w:spacing w:after="320"/>
      </w:pPr>
      <w:r>
        <w:rPr>
          <w:i/>
          <w:color w:val="008080"/>
          <w:sz w:val="24"/>
        </w:rPr>
        <w:t>Task 2.7 — 45-Minute Tabletop Exercise (TTX) Master Scenario Inject List | Al Amal Hospital</w:t>
      </w:r>
    </w:p>
    <w:p>
      <w:r>
        <w:rPr>
          <w:b/>
          <w:color w:val="1B365D"/>
          <w:sz w:val="28"/>
        </w:rPr>
        <w:t>1. Executive Summary &amp; TTX Environment</w:t>
      </w:r>
    </w:p>
    <w:p>
      <w:r>
        <w:t>This 45-minute simulation evaluates Al Amal Hospital's incident response team, escalation paths, and decision-making under high-pressure security crisis conditions. An independent observer recorded decisions, SLA adherence, and procedural gaps.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Inject ID &amp; Time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Scenario Development / Inject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Technical &amp; Operational Impact</w:t>
            </w:r>
          </w:p>
        </w:tc>
        <w:tc>
          <w:tcPr>
            <w:tcW w:type="dxa" w:w="288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Team Decision &amp; Observed Action</w:t>
            </w:r>
          </w:p>
        </w:tc>
      </w:tr>
      <w:tr>
        <w:tc>
          <w:tcPr>
            <w:tcW w:type="dxa" w:w="172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Inject 1 (T+00m)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Initial Anomaly Alert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Splunk R02 fires for Encoded PowerShell script execution on ER workstation terminal.</w:t>
            </w:r>
          </w:p>
        </w:tc>
        <w:tc>
          <w:tcPr>
            <w:tcW w:type="dxa" w:w="288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SOC Analyst triages alert within 5 mins; identifies Base64 string; initiates initial endpoint check.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Inject 2 (T+08m)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Defense Evasion &amp; Tampering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Splunk R05 &amp; R06 fire simultaneously on adjacent server node (Firewall disabled &amp; audit log cleared).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Escalated to P2 - High; SOC Lead orders endpoint network isolation and volatile memory dump.</w:t>
            </w:r>
          </w:p>
        </w:tc>
      </w:tr>
      <w:tr>
        <w:tc>
          <w:tcPr>
            <w:tcW w:type="dxa" w:w="172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Inject 3 (T+18m)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Operational Escalation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Attacker initiates lateral movement toward core EHR database server; Active Directory Admin account locked.</w:t>
            </w:r>
          </w:p>
        </w:tc>
        <w:tc>
          <w:tcPr>
            <w:tcW w:type="dxa" w:w="288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P1 Critical declared; CISO and Crisis Management Team activated; manual paper workflow invoked.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Inject 4 (T+27m) [PRESSURE INJECT]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Extortion &amp; Ransom Note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Ransom note dropped on shared drive demanding 15 BTC; threat of patient record leak.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Legal Counsel &amp; CISO refuse ransom payment; initiate immutable backup verification; notify NCSC.</w:t>
            </w:r>
          </w:p>
        </w:tc>
      </w:tr>
      <w:tr>
        <w:tc>
          <w:tcPr>
            <w:tcW w:type="dxa" w:w="1728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Inject 5 (T+35m) [PRESSURE INJECT]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Media &amp; Public Pressure</w:t>
            </w:r>
          </w:p>
        </w:tc>
        <w:tc>
          <w:tcPr>
            <w:tcW w:type="dxa" w:w="2592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Local investigative journalist calls hospital switchboard claiming patient records are listed on dark web.</w:t>
            </w:r>
          </w:p>
        </w:tc>
        <w:tc>
          <w:tcPr>
            <w:tcW w:type="dxa" w:w="2880"/>
            <w:shd w:fill="F4F6F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PR Officer issues pre-approved Template C statement; directs inquiries to official press channel.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Inject 6 (T+42m)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Containment &amp; System Recovery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Malicious C2 IPs blocked at perimeter firewall; volatile memory saved; clean restoration verified.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sz w:val="17"/>
              </w:rPr>
              <w:t>Incident Commander orders controlled restoration of EHR terminals; transitions out of crisis mode.</w:t>
            </w:r>
          </w:p>
        </w:tc>
      </w:tr>
    </w:tbl>
    <w:p>
      <w:pPr>
        <w:spacing w:after="200"/>
      </w:pPr>
    </w:p>
    <w:p>
      <w:r>
        <w:rPr>
          <w:b/>
          <w:color w:val="1B365D"/>
          <w:sz w:val="28"/>
        </w:rPr>
        <w:t>2. Observer Audit Log &amp; Post-Exercise Document Updates</w:t>
      </w:r>
    </w:p>
    <w:p>
      <w:pPr>
        <w:spacing w:after="80"/>
      </w:pPr>
      <w:r>
        <w:rPr>
          <w:b/>
          <w:color w:val="008080"/>
        </w:rPr>
        <w:t xml:space="preserve">• Identified Gap 1: </w:t>
      </w:r>
      <w:r>
        <w:t xml:space="preserve">Delay in media response approval during Inject 5 due to absent PR officer. — </w:t>
      </w:r>
      <w:r>
        <w:rPr>
          <w:b/>
        </w:rPr>
        <w:t>Fix Applied: Updated Escalation Tree (Task 2.3) to designate Deputy PR Officer as automated backup.</w:t>
      </w:r>
    </w:p>
    <w:p>
      <w:pPr>
        <w:spacing w:after="80"/>
      </w:pPr>
      <w:r>
        <w:rPr>
          <w:b/>
          <w:color w:val="008080"/>
        </w:rPr>
        <w:t xml:space="preserve">• Identified Gap 2: </w:t>
      </w:r>
      <w:r>
        <w:t xml:space="preserve">Manual paper chart transition took 14 mins instead of target 10 mins. — </w:t>
      </w:r>
      <w:r>
        <w:rPr>
          <w:b/>
        </w:rPr>
        <w:t>Fix Applied: Updated EHR Playbook (Task 2.4) to mandate pre-printed emergency downtime charts at nursing stations.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