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Part 2: Incident Readiness Pack</w:t>
      </w:r>
    </w:p>
    <w:p>
      <w:pPr>
        <w:spacing w:after="320"/>
      </w:pPr>
      <w:r>
        <w:rPr>
          <w:i/>
          <w:color w:val="008080"/>
          <w:sz w:val="24"/>
        </w:rPr>
        <w:t>Task 2.8 — Executive Briefing &amp; Business Case | Al Amal Hospital</w:t>
      </w:r>
    </w:p>
    <w:p>
      <w:r>
        <w:rPr>
          <w:b/>
          <w:color w:val="1B365D"/>
          <w:sz w:val="28"/>
        </w:rPr>
        <w:t>1. Executive Summary — Al Amal Hospital Incident Readiness</w:t>
      </w:r>
    </w:p>
    <w:p>
      <w:r>
        <w:t>Al Amal Hospital has successfully designed and deployed a centralized Security Operations Center (SOC) telemetry architecture powered by Splunk SIEM, Sysmon, and Linux Auditd. This project establishes an operational Incident Readiness Pack containing 10 risk scenarios, 4-tier severity SLAs, multi-channel escalation pathways, and tested response playbooks tailored to patient care continuity.</w:t>
      </w:r>
    </w:p>
    <w:p>
      <w:r>
        <w:rPr>
          <w:b/>
          <w:color w:val="1B365D"/>
          <w:sz w:val="28"/>
        </w:rPr>
        <w:t>2. Strategic Value &amp; Technical Capabilities Developed</w:t>
      </w:r>
    </w:p>
    <w:p>
      <w:pPr>
        <w:spacing w:after="80"/>
      </w:pPr>
      <w:r>
        <w:rPr>
          <w:b/>
          <w:color w:val="008080"/>
        </w:rPr>
        <w:t xml:space="preserve">• SIEM Telemetry &amp; Detection Engine: </w:t>
      </w:r>
      <w:r>
        <w:t>Centralized ingestion of Windows Sysmon operational logs and Linux audit logs into Splunk Core (192.168.43.128:9997), enabling real-time detection across 9 custom MITRE ATT&amp;CK rules.</w:t>
      </w:r>
    </w:p>
    <w:p>
      <w:pPr>
        <w:spacing w:after="80"/>
      </w:pPr>
      <w:r>
        <w:rPr>
          <w:b/>
          <w:color w:val="008080"/>
        </w:rPr>
        <w:t xml:space="preserve">• Operational Incident Readiness: </w:t>
      </w:r>
      <w:r>
        <w:t>Establishment of concrete response SLAs (&lt; 15 mins for P1 Critical events), automated out-of-hours call trees, and pre-approved multi-stakeholder communication templates.</w:t>
      </w:r>
    </w:p>
    <w:p>
      <w:pPr>
        <w:spacing w:after="80"/>
      </w:pPr>
      <w:r>
        <w:rPr>
          <w:b/>
          <w:color w:val="008080"/>
        </w:rPr>
        <w:t xml:space="preserve">• Validated Response Playbooks: </w:t>
      </w:r>
      <w:r>
        <w:t>Validated incident playbooks covering script execution (R02), host firewall tampering (R05), and log clearing (R06), verified via timed cold-testing and a 45-minute tabletop exercise.</w:t>
      </w:r>
    </w:p>
    <w:p>
      <w:pPr>
        <w:spacing w:after="160"/>
      </w:pPr>
    </w:p>
    <w:p>
      <w:r>
        <w:rPr>
          <w:b/>
          <w:color w:val="1B365D"/>
          <w:sz w:val="28"/>
        </w:rPr>
        <w:t>3. Business Case: Cost of Doing Nothing vs. Defensive Readiness</w:t>
      </w:r>
    </w:p>
    <w:p>
      <w:r>
        <w:t>A comparative financial and operational analysis highlighting the critical necessity of maintaining the deployed SOC telemetry and readiness pack at Al Amal Hospital: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Risk Dimension</w:t>
            </w:r>
          </w:p>
        </w:tc>
        <w:tc>
          <w:tcPr>
            <w:tcW w:type="dxa" w:w="3744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Cost / Consequence of Doing Nothing</w:t>
            </w:r>
          </w:p>
        </w:tc>
        <w:tc>
          <w:tcPr>
            <w:tcW w:type="dxa" w:w="388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Value Delivered by SOC Project Readiness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Financial Impact</w:t>
            </w:r>
          </w:p>
        </w:tc>
        <w:tc>
          <w:tcPr>
            <w:tcW w:type="dxa" w:w="3744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B40000"/>
                <w:sz w:val="17"/>
              </w:rPr>
              <w:t>Estimated healthcare ransomware breach cost averaging $10.93M (IBM Cost of Data Breach Report), including regulatory fines and extortion.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008080"/>
                <w:sz w:val="17"/>
              </w:rPr>
              <w:t>One-time lab/infrastructure implementation + routine SOC operational monitoring cost.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Operational Continuity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B40000"/>
                <w:sz w:val="17"/>
              </w:rPr>
              <w:t>Complete shutdown of Electronic Health Record (EHR) databases, leading to cancelled surgeries and emergency triage diversion.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008080"/>
                <w:sz w:val="17"/>
              </w:rPr>
              <w:t>Guaranteed Maximum Tolerable Downtime (MTD) under 1 hour via rapid containment playbooks.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Patient Safety Risk</w:t>
            </w:r>
          </w:p>
        </w:tc>
        <w:tc>
          <w:tcPr>
            <w:tcW w:type="dxa" w:w="3744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B40000"/>
                <w:sz w:val="17"/>
              </w:rPr>
              <w:t>High risk of medical errors, delayed drug administration, and compromised diagnostic imaging access.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008080"/>
                <w:sz w:val="17"/>
              </w:rPr>
              <w:t>Zero patient safety incidents attributable to cybersecurity downtime via isolated containment.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Regulatory &amp; Legal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B40000"/>
                <w:sz w:val="17"/>
              </w:rPr>
              <w:t>Severe regulatory non-compliance penalties, lawsuits, and loss of healthcare operating license.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008080"/>
                <w:sz w:val="17"/>
              </w:rPr>
              <w:t>Full compliance with mandatory NCSC / JO-CERT 24-hour reporting and privacy regulations.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