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5F" w:rsidRPr="008A25D0" w:rsidRDefault="0002195F" w:rsidP="0002195F">
      <w:pPr>
        <w:spacing w:after="135" w:line="240" w:lineRule="auto"/>
        <w:outlineLvl w:val="0"/>
        <w:rPr>
          <w:rFonts w:ascii="inherit" w:eastAsia="Times New Roman" w:hAnsi="inherit" w:cs="Times New Roman"/>
          <w:color w:val="303A46"/>
          <w:kern w:val="36"/>
          <w:sz w:val="50"/>
          <w:szCs w:val="50"/>
          <w:lang/>
        </w:rPr>
      </w:pPr>
      <w:r w:rsidRPr="008A25D0">
        <w:rPr>
          <w:rFonts w:ascii="inherit" w:eastAsia="Times New Roman" w:hAnsi="inherit" w:cs="Times New Roman"/>
          <w:color w:val="303A46"/>
          <w:kern w:val="36"/>
          <w:sz w:val="50"/>
          <w:szCs w:val="50"/>
          <w:lang/>
        </w:rPr>
        <w:t>OA 3.0: Troubleshooting errors received for API calls</w:t>
      </w:r>
    </w:p>
    <w:p w:rsidR="0002195F" w:rsidRPr="008A25D0" w:rsidRDefault="0002195F" w:rsidP="0002195F">
      <w:pPr>
        <w:spacing w:after="0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5" o:title=""/>
          </v:shape>
          <w:control r:id="rId6" w:name="DefaultOcxName" w:shapeid="_x0000_i1048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7" type="#_x0000_t75" style="width:1in;height:18pt" o:ole="">
            <v:imagedata r:id="rId7" o:title=""/>
          </v:shape>
          <w:control r:id="rId8" w:name="DefaultOcxName1" w:shapeid="_x0000_i1047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6" type="#_x0000_t75" style="width:1in;height:18pt" o:ole="">
            <v:imagedata r:id="rId5" o:title=""/>
          </v:shape>
          <w:control r:id="rId9" w:name="DefaultOcxName2" w:shapeid="_x0000_i1046"/>
        </w:object>
      </w:r>
    </w:p>
    <w:p w:rsidR="0002195F" w:rsidRPr="008A25D0" w:rsidRDefault="0002195F" w:rsidP="0002195F">
      <w:pPr>
        <w:spacing w:after="0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5" type="#_x0000_t75" style="width:20.25pt;height:17.25pt" o:ole="">
            <v:imagedata r:id="rId10" o:title=""/>
          </v:shape>
          <w:control r:id="rId11" w:name="DefaultOcxName3" w:shapeid="_x0000_i1045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4" type="#_x0000_t75" style="width:20.25pt;height:17.25pt" o:ole="">
            <v:imagedata r:id="rId10" o:title=""/>
          </v:shape>
          <w:control r:id="rId12" w:name="DefaultOcxName4" w:shapeid="_x0000_i1044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3" type="#_x0000_t75" style="width:20.25pt;height:17.25pt" o:ole="">
            <v:imagedata r:id="rId10" o:title=""/>
          </v:shape>
          <w:control r:id="rId13" w:name="DefaultOcxName5" w:shapeid="_x0000_i1043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2" type="#_x0000_t75" style="width:20.25pt;height:17.25pt" o:ole="">
            <v:imagedata r:id="rId10" o:title=""/>
          </v:shape>
          <w:control r:id="rId14" w:name="DefaultOcxName6" w:shapeid="_x0000_i1042"/>
        </w:object>
      </w: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object w:dxaOrig="225" w:dyaOrig="225">
          <v:shape id="_x0000_i1041" type="#_x0000_t75" style="width:20.25pt;height:17.25pt" o:ole="">
            <v:imagedata r:id="rId10" o:title=""/>
          </v:shape>
          <w:control r:id="rId15" w:name="DefaultOcxName7" w:shapeid="_x0000_i1041"/>
        </w:object>
      </w:r>
    </w:p>
    <w:p w:rsidR="0002195F" w:rsidRPr="008A25D0" w:rsidRDefault="0002195F" w:rsidP="0002195F">
      <w:pPr>
        <w:spacing w:after="0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t>48 views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2E2E2E"/>
          <w:sz w:val="20"/>
          <w:szCs w:val="20"/>
          <w:u w:val="single"/>
          <w:lang/>
        </w:rPr>
        <w:t>Description</w:t>
      </w: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: Errors received while submitting the Orders/Fulfillments/Returns/CBR/PBRs through API calls.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 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 </w:t>
      </w:r>
      <w:r w:rsidRPr="008A25D0">
        <w:rPr>
          <w:rFonts w:ascii="Tahoma" w:eastAsia="Times New Roman" w:hAnsi="Tahoma" w:cs="Tahoma"/>
          <w:b/>
          <w:bCs/>
          <w:color w:val="2E2E2E"/>
          <w:sz w:val="20"/>
          <w:szCs w:val="20"/>
          <w:u w:val="single"/>
          <w:lang/>
        </w:rPr>
        <w:t>Symptom</w:t>
      </w:r>
      <w:r w:rsidRPr="008A25D0">
        <w:rPr>
          <w:rFonts w:ascii="Tahoma" w:eastAsia="Times New Roman" w:hAnsi="Tahoma" w:cs="Tahoma"/>
          <w:b/>
          <w:bCs/>
          <w:color w:val="2E2E2E"/>
          <w:sz w:val="20"/>
          <w:szCs w:val="20"/>
          <w:lang/>
        </w:rPr>
        <w:t xml:space="preserve">: </w:t>
      </w: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Transactions will not be uploaded into the system and user will get error responses. Below are the details of the API call response codes.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Troubleshoot the errors according to the response code received for an API call.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2E2E2E"/>
          <w:sz w:val="20"/>
          <w:szCs w:val="20"/>
          <w:lang/>
        </w:rPr>
        <w:t> 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2E2E2E"/>
          <w:sz w:val="20"/>
          <w:szCs w:val="20"/>
          <w:u w:val="single"/>
          <w:lang/>
        </w:rPr>
        <w:t>Codes</w:t>
      </w: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 </w:t>
      </w:r>
    </w:p>
    <w:tbl>
      <w:tblPr>
        <w:tblW w:w="9352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8"/>
        <w:gridCol w:w="2060"/>
        <w:gridCol w:w="6304"/>
      </w:tblGrid>
      <w:tr w:rsidR="0002195F" w:rsidRPr="008A25D0" w:rsidTr="00765848">
        <w:trPr>
          <w:trHeight w:val="300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A25D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HttpCode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6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Message Description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OK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It indicates that the REST API successfully carried out whatever action the client requested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400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BadRequest</w:t>
            </w:r>
            <w:proofErr w:type="spellEnd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Invalid request message parameters, or deceptive request routing etc.</w:t>
            </w:r>
          </w:p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The client SHOULD NOT repeat the request without modifications.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Unauthorized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It may have provided the wrong credentials or none at all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403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Forbidden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The user does not have the necessary permissions for the resource. A 403 response is not a case of insufficient client credentials; that would be 401 (“Unauthorized”).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NotFound</w:t>
            </w:r>
            <w:proofErr w:type="spellEnd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The requested resource could not be found but may be available in the future. Subsequent requests by the client are permissible.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InternalServerError</w:t>
            </w:r>
            <w:proofErr w:type="spellEnd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 REST API error response. Most web frameworks automatically respond with this response status code whenever they execute some request handler code that raises an exception.</w:t>
            </w:r>
          </w:p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 500 error is never the client’s fault and therefore it is reasonable for the client to retry the exact same request that triggered this response and hope to get a different response.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502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BadGateway</w:t>
            </w:r>
            <w:proofErr w:type="spellEnd"/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The server was acting as a </w:t>
            </w:r>
            <w:hyperlink r:id="rId16" w:tooltip="Gateway (telecommunications)" w:history="1">
              <w:r w:rsidRPr="008A25D0">
                <w:rPr>
                  <w:rFonts w:ascii="Tahoma" w:eastAsia="Times New Roman" w:hAnsi="Tahoma" w:cs="Tahoma"/>
                  <w:color w:val="000000"/>
                  <w:sz w:val="20"/>
                  <w:szCs w:val="20"/>
                </w:rPr>
                <w:t>gateway</w:t>
              </w:r>
            </w:hyperlink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or proxy and received an invalid response from the upstream server.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503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Service Unavailable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The server cannot handle the request (because it is overloaded or down for maintenance).</w:t>
            </w:r>
          </w:p>
        </w:tc>
      </w:tr>
      <w:tr w:rsidR="0002195F" w:rsidRPr="008A25D0" w:rsidTr="00765848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jc w:val="center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504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b/>
                <w:bCs/>
                <w:color w:val="222222"/>
                <w:sz w:val="20"/>
                <w:szCs w:val="20"/>
                <w:shd w:val="clear" w:color="auto" w:fill="FFFFFF"/>
              </w:rPr>
              <w:t>Gateway Timeout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195F" w:rsidRPr="008A25D0" w:rsidRDefault="0002195F" w:rsidP="00765848">
            <w:pPr>
              <w:spacing w:after="0" w:line="240" w:lineRule="auto"/>
              <w:textAlignment w:val="baseline"/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8A25D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The server was acting as a gateway or proxy and did not receive a timely response from the upstream server.</w:t>
            </w:r>
          </w:p>
        </w:tc>
      </w:tr>
    </w:tbl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 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000000"/>
          <w:sz w:val="20"/>
          <w:szCs w:val="20"/>
          <w:lang/>
        </w:rPr>
        <w:t>Note</w:t>
      </w: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: User Accounts/Roles, Certificates, Services status and uploaded files details needed to investigate.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 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 xml:space="preserve">Sometimes user will receive old fulfillment data in </w:t>
      </w:r>
      <w:proofErr w:type="spellStart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GetFulfillmentInfo</w:t>
      </w:r>
      <w:proofErr w:type="spellEnd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 xml:space="preserve"> response and these may be the orders which business raised </w:t>
      </w:r>
      <w:proofErr w:type="spellStart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refulfill</w:t>
      </w:r>
      <w:proofErr w:type="spellEnd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 xml:space="preserve"> flag and did not fulfill by OEM and when orders are cancelled those </w:t>
      </w:r>
      <w:proofErr w:type="spellStart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wont</w:t>
      </w:r>
      <w:proofErr w:type="spellEnd"/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 xml:space="preserve"> show up in response</w:t>
      </w:r>
    </w:p>
    <w:p w:rsidR="0002195F" w:rsidRPr="008A25D0" w:rsidRDefault="0002195F" w:rsidP="0002195F">
      <w:pPr>
        <w:shd w:val="clear" w:color="auto" w:fill="FFFFFF"/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lastRenderedPageBreak/>
        <w:t>Below are the sample XML files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135" w:line="240" w:lineRule="auto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</w:t>
      </w:r>
    </w:p>
    <w:p w:rsidR="0002195F" w:rsidRPr="008A25D0" w:rsidRDefault="0002195F" w:rsidP="0002195F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Calibri" w:eastAsia="Times New Roman" w:hAnsi="Calibri" w:cs="Calibri"/>
          <w:color w:val="3078BB"/>
          <w:sz w:val="28"/>
          <w:szCs w:val="28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Standard Order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&lt;OrderRequestxmlns="http://schemas.ms.it.oem/digitaldistribution/2010/10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&gt;Z3GO&lt;/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APITest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OEMPODate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&gt;2015-09-09T00:00:00&lt;/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OEMPODate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AgreementNumber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 5000041219 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AgreementNumber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&gt;0000122836&lt;/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&gt;0000122836&lt;/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OrderLineItems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OrderLineItem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OEMPOLineNumber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&gt;10&lt;/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OEMPOLineNumber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&gt;7WT-00070&lt;/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&gt;EMBDTEST&lt;/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   &lt;Quantity&gt;1&lt;/Quantity&gt;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   &lt;RequestedDeliveryDate&gt;2015-09-09T00:00:00&lt;/RequestedDeliveryDate&gt;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  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OrderLineItem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 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OrderLineItems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OrderRequest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&gt;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lang/>
        </w:rPr>
        <w:t> Note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: -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must be unique and update the current test </w:t>
      </w:r>
      <w:proofErr w:type="gram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Agreement ,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Soldto</w:t>
      </w:r>
      <w:proofErr w:type="spellEnd"/>
      <w:proofErr w:type="gram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shipto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details ,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  and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RequestedDeliveryDate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 </w:t>
      </w:r>
    </w:p>
    <w:p w:rsidR="0002195F" w:rsidRPr="008A25D0" w:rsidRDefault="0002195F" w:rsidP="0002195F">
      <w:pPr>
        <w:numPr>
          <w:ilvl w:val="0"/>
          <w:numId w:val="2"/>
        </w:numPr>
        <w:spacing w:before="100" w:beforeAutospacing="1" w:after="100" w:afterAutospacing="1" w:line="240" w:lineRule="auto"/>
        <w:ind w:left="765"/>
        <w:rPr>
          <w:rFonts w:ascii="SourceSansPro" w:eastAsia="Times New Roman" w:hAnsi="SourceSansPro" w:cs="Times New Roman"/>
          <w:color w:val="3078BB"/>
          <w:sz w:val="28"/>
          <w:szCs w:val="28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Blanket Order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OrderRequest</w:t>
      </w:r>
      <w:r w:rsidRPr="008A25D0">
        <w:rPr>
          <w:rFonts w:ascii="Tahoma" w:eastAsia="Times New Roman" w:hAnsi="Tahoma" w:cs="Tahoma"/>
          <w:color w:val="CD2026"/>
          <w:sz w:val="20"/>
          <w:szCs w:val="20"/>
          <w:lang/>
        </w:rPr>
        <w:t>xmlns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=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http://schemas.ms.it.oem/digitaldistribution/2010/10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Z3GB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b2012-03-07T--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2012-03-06T00:00:00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AgreementNumber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5166990062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AgreementNumber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0000074287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0000074287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OrderExpiryDate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2012-07-11T00:00:00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OrderExpiryDate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10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OEMPOLineNumber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WN7-00616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ABC123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Quantity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1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Quantity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OrderRequest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lang/>
        </w:rPr>
        <w:t>Note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: -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OEMPONumber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must be unique and update the current test </w:t>
      </w:r>
      <w:proofErr w:type="gram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Agreement ,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Soldto</w:t>
      </w:r>
      <w:proofErr w:type="spellEnd"/>
      <w:proofErr w:type="gram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/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shipto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details ,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  and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OrderExpiryDate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.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lastRenderedPageBreak/>
        <w:t> </w:t>
      </w:r>
    </w:p>
    <w:p w:rsidR="0002195F" w:rsidRPr="008A25D0" w:rsidRDefault="0002195F" w:rsidP="0002195F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ascii="SourceSansPro" w:eastAsia="Times New Roman" w:hAnsi="SourceSansPro" w:cs="Times New Roman"/>
          <w:color w:val="3078BB"/>
          <w:sz w:val="28"/>
          <w:szCs w:val="28"/>
          <w:lang/>
        </w:rPr>
      </w:pPr>
      <w:proofErr w:type="spellStart"/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CallOff</w:t>
      </w:r>
      <w:proofErr w:type="spellEnd"/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 xml:space="preserve"> Order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 Blanket order must be created before Call off order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CallOffRequest</w:t>
      </w:r>
      <w:r w:rsidRPr="008A25D0">
        <w:rPr>
          <w:rFonts w:ascii="Tahoma" w:eastAsia="Times New Roman" w:hAnsi="Tahoma" w:cs="Tahoma"/>
          <w:color w:val="CD2026"/>
          <w:sz w:val="20"/>
          <w:szCs w:val="20"/>
          <w:lang/>
        </w:rPr>
        <w:t>xmlns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=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http://schemas.ms.it.oem/digitaldistribution/2010/10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MSOrderNumber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MSOrderNumber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000000"/>
          <w:sz w:val="20"/>
          <w:szCs w:val="20"/>
          <w:shd w:val="clear" w:color="auto" w:fill="FFFF00"/>
          <w:lang/>
        </w:rPr>
        <w:t>Z3GC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OrderTypeID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0000074287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0000074287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ShipToCustomerID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CallOffReferenceNumber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000000"/>
          <w:sz w:val="20"/>
          <w:szCs w:val="20"/>
          <w:shd w:val="clear" w:color="auto" w:fill="FFFF00"/>
          <w:lang/>
        </w:rPr>
        <w:t>c8c8e7ff43cb4b40a605f07011111111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CallOffReferenceNumber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10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WN7-00616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LicensablePartNumber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abc123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OEMPartNumber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Quantity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1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Quantity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RequestedDeliveryDate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2012-07-03T00:00:00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RequestedDeliveryDate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CallOffRequest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u w:val="single"/>
          <w:lang/>
        </w:rPr>
        <w:t>Note</w:t>
      </w:r>
      <w:proofErr w:type="gram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: </w:t>
      </w:r>
      <w:proofErr w:type="gram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- 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CallOffReferenceNumber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must be unique and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shoud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be the same length. 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Update the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RequestedDeliveryDate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.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The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MsOrderNumber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must be obtained from the Order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Ack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response. 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numPr>
          <w:ilvl w:val="0"/>
          <w:numId w:val="4"/>
        </w:numPr>
        <w:spacing w:before="100" w:beforeAutospacing="1" w:after="100" w:afterAutospacing="1" w:line="240" w:lineRule="auto"/>
        <w:ind w:left="765"/>
        <w:rPr>
          <w:rFonts w:ascii="SourceSansPro" w:eastAsia="Times New Roman" w:hAnsi="SourceSansPro" w:cs="Times New Roman"/>
          <w:color w:val="3078BB"/>
          <w:sz w:val="28"/>
          <w:szCs w:val="28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CBR (Computer Build Report)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CBR should be performed after getting the fulfillment of the order 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00"/>
          <w:sz w:val="20"/>
          <w:szCs w:val="20"/>
          <w:lang/>
        </w:rPr>
        <w:t>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ComputerBuildReportRequestxmlns="</w:t>
      </w:r>
      <w:hyperlink r:id="rId17" w:tgtFrame="_blank" w:history="1">
        <w:r w:rsidRPr="008A25D0">
          <w:rPr>
            <w:rFonts w:ascii="Tahoma" w:eastAsia="Times New Roman" w:hAnsi="Tahoma" w:cs="Tahoma"/>
            <w:color w:val="0563C1"/>
            <w:sz w:val="20"/>
            <w:szCs w:val="20"/>
            <w:lang/>
          </w:rPr>
          <w:t>http://schemas.ms.it.oem/digitaldistribution/2010/10</w:t>
        </w:r>
      </w:hyperlink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 xml:space="preserve"> "&gt;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CustomerReportUniqueID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CustomerReportUniqueID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ReceivedFromCustomerID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ReceivedFromCustomerID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TotalLineItems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2147483647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TotalLineItems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 &lt;Bindings&gt;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 &lt;Binding&gt;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000000"/>
          <w:sz w:val="20"/>
          <w:szCs w:val="20"/>
          <w:shd w:val="clear" w:color="auto" w:fill="FFFF00"/>
          <w:lang/>
        </w:rPr>
        <w:t>800000001336831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HardwareHash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000000"/>
          <w:sz w:val="20"/>
          <w:szCs w:val="20"/>
          <w:shd w:val="clear" w:color="auto" w:fill="FFFF00"/>
          <w:lang/>
        </w:rPr>
        <w:t xml:space="preserve"> JAAAAAAAAgAAAAAAAAAAAAAAAQABAAEAJJT0FRxNiIKMyf5b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HardwareHash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OEMOptionalInfoExtendedProperty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   &lt;Name&gt;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&lt;/Name&gt;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   &lt;Value&gt;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&lt;/Value&gt;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OEMOptionalInfoExtendedProperty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OEMOptionalInfoExtendedProperty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   &lt;Name&gt;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&lt;/Name&gt;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       &lt;Value&gt;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&lt;/Value&gt;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OEMOptionalInfoExtendedProperty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OEMOptionalInfo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lastRenderedPageBreak/>
        <w:t>     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OEMHardwareReport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&lt;FRM_FACTOR_CL1&gt;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&lt;/FRM_FACTOR_CL1&gt;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&lt;FRM_FACTOR_CL2&gt;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&lt;/FRM_FACTOR_CL2&gt;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&lt;TOUCH_SCREEN&gt;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&lt;/TOUCH_SCREEN&gt;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&lt;SCREEN_SIZE&gt;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&lt;/SCREEN_SIZE&gt;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   &lt;PC_MODEL_SKU&gt;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&lt;/PC_MODEL_SKU&gt;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  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OEMHardwareReport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  &lt;/Binding&gt;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   &lt;/Bindings&gt;&lt;/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ComputerBuildReportRequest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lang/>
        </w:rPr>
        <w:t>Note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: -</w:t>
      </w:r>
      <w:proofErr w:type="gram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 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ProdutKey</w:t>
      </w:r>
      <w:proofErr w:type="spellEnd"/>
      <w:proofErr w:type="gram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Id can be obtained from fulfillment response and Hard Ware Hash should be same  length as given in the above request.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numPr>
          <w:ilvl w:val="0"/>
          <w:numId w:val="5"/>
        </w:numPr>
        <w:spacing w:before="100" w:beforeAutospacing="1" w:after="100" w:afterAutospacing="1" w:line="240" w:lineRule="auto"/>
        <w:ind w:left="765"/>
        <w:rPr>
          <w:rFonts w:ascii="SourceSansPro" w:eastAsia="Times New Roman" w:hAnsi="SourceSansPro" w:cs="Times New Roman"/>
          <w:color w:val="3078BB"/>
          <w:sz w:val="28"/>
          <w:szCs w:val="28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Returns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ReturnRequest</w:t>
      </w:r>
      <w:r w:rsidRPr="008A25D0">
        <w:rPr>
          <w:rFonts w:ascii="Tahoma" w:eastAsia="Times New Roman" w:hAnsi="Tahoma" w:cs="Tahoma"/>
          <w:color w:val="CD2026"/>
          <w:sz w:val="20"/>
          <w:szCs w:val="20"/>
          <w:lang/>
        </w:rPr>
        <w:t>xmlns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=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http://schemas.ms.it.oem/digitaldistribution/2010/10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"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KT sample 3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2012-06-29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OEMRMADate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0000074287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ReturnNoCredit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true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ReturnNoCredit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b1234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OEMRMALineNumber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ZOA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ReturnTypeID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   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ProductKeyID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800000001336845</w:t>
      </w: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ProductKeyID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 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ReturnLineItem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  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ReturnLineItems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ReturnRequest</w:t>
      </w:r>
      <w:proofErr w:type="spellEnd"/>
      <w:r w:rsidRPr="008A25D0">
        <w:rPr>
          <w:rFonts w:ascii="Tahoma" w:eastAsia="Times New Roman" w:hAnsi="Tahoma" w:cs="Tahoma"/>
          <w:color w:val="0000FF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b/>
          <w:bCs/>
          <w:color w:val="303A46"/>
          <w:sz w:val="20"/>
          <w:szCs w:val="20"/>
          <w:lang/>
        </w:rPr>
        <w:t>Note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: -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OEMRMANumber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must be unique; </w:t>
      </w:r>
      <w:proofErr w:type="spellStart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>ProductKeyID</w:t>
      </w:r>
      <w:proofErr w:type="spellEnd"/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can be obtained from fulfillment response. </w:t>
      </w:r>
    </w:p>
    <w:p w:rsidR="0002195F" w:rsidRPr="0002195F" w:rsidRDefault="0002195F" w:rsidP="0002195F">
      <w:pPr>
        <w:numPr>
          <w:ilvl w:val="0"/>
          <w:numId w:val="6"/>
        </w:numPr>
        <w:spacing w:before="100" w:beforeAutospacing="1" w:after="100" w:afterAutospacing="1" w:line="240" w:lineRule="auto"/>
        <w:ind w:left="765"/>
        <w:rPr>
          <w:rFonts w:ascii="SourceSansPro" w:eastAsia="Times New Roman" w:hAnsi="SourceSansPro" w:cs="Times New Roman"/>
          <w:color w:val="3078BB"/>
          <w:sz w:val="28"/>
          <w:szCs w:val="28"/>
          <w:lang/>
        </w:rPr>
      </w:pPr>
      <w:r w:rsidRPr="008A25D0">
        <w:rPr>
          <w:rFonts w:ascii="Tahoma" w:eastAsia="Times New Roman" w:hAnsi="Tahoma" w:cs="Tahoma"/>
          <w:b/>
          <w:bCs/>
          <w:color w:val="3078BB"/>
          <w:sz w:val="20"/>
          <w:szCs w:val="20"/>
          <w:lang/>
        </w:rPr>
        <w:t>PBR (Product Binding Report)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proofErr w:type="gram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&lt;?xml</w:t>
      </w:r>
      <w:proofErr w:type="gram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 xml:space="preserve"> version="1.0" encoding="UTF-8"?&gt;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&lt;ProductBindingReportRequestxmlns="</w:t>
      </w:r>
      <w:r w:rsidRPr="008A25D0">
        <w:rPr>
          <w:rFonts w:ascii="Tahoma" w:eastAsia="Times New Roman" w:hAnsi="Tahoma" w:cs="Tahoma"/>
          <w:color w:val="0563C1"/>
          <w:sz w:val="20"/>
          <w:szCs w:val="20"/>
          <w:u w:val="single"/>
          <w:lang/>
        </w:rPr>
        <w:t>http://schemas.ms.it.oem/digitaldistribution/2010/10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"&gt;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CustomerBindingUniqueID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CustomerBindingUniqueID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SoldToCustomerID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ReceivedFromCustomerID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ReceivedFromCustomerID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TotalLineItems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TotalLineItems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ProductBindings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ProductBindings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WindowsProductKeyID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WindowsProductKeyID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ServiceProductKeyID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  <w:r w:rsidRPr="008A25D0">
        <w:rPr>
          <w:rFonts w:ascii="Tahoma" w:eastAsia="Times New Roman" w:hAnsi="Tahoma" w:cs="Tahoma"/>
          <w:color w:val="303A46"/>
          <w:sz w:val="20"/>
          <w:szCs w:val="20"/>
          <w:lang/>
        </w:rPr>
        <w:t xml:space="preserve"> String content</w:t>
      </w: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ServiceProductKeyID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 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ProductBindings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ProductBindings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&lt;/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ProductBindingReportRequest</w:t>
      </w:r>
      <w:proofErr w:type="spell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&gt;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SourceSansPro" w:eastAsia="Times New Roman" w:hAnsi="SourceSansPro" w:cs="Times New Roman"/>
          <w:color w:val="303A46"/>
          <w:sz w:val="20"/>
          <w:szCs w:val="20"/>
          <w:lang/>
        </w:rPr>
        <w:t>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proofErr w:type="gram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we</w:t>
      </w:r>
      <w:proofErr w:type="gram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 xml:space="preserve"> have PBR CSV format also to submit PBR through DOC </w:t>
      </w:r>
    </w:p>
    <w:p w:rsidR="0002195F" w:rsidRPr="008A25D0" w:rsidRDefault="0002195F" w:rsidP="0002195F">
      <w:pPr>
        <w:spacing w:after="0" w:line="240" w:lineRule="auto"/>
        <w:textAlignment w:val="baseline"/>
        <w:rPr>
          <w:rFonts w:ascii="SourceSansPro" w:eastAsia="Times New Roman" w:hAnsi="SourceSansPro" w:cs="Times New Roman"/>
          <w:color w:val="303A46"/>
          <w:sz w:val="20"/>
          <w:szCs w:val="20"/>
          <w:lang/>
        </w:rPr>
      </w:pPr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 xml:space="preserve">It contains windows </w:t>
      </w:r>
      <w:proofErr w:type="gram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key ,</w:t>
      </w:r>
      <w:proofErr w:type="spellStart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>storeproductkey,service</w:t>
      </w:r>
      <w:proofErr w:type="spellEnd"/>
      <w:proofErr w:type="gramEnd"/>
      <w:r w:rsidRPr="008A25D0">
        <w:rPr>
          <w:rFonts w:ascii="Tahoma" w:eastAsia="Times New Roman" w:hAnsi="Tahoma" w:cs="Tahoma"/>
          <w:color w:val="A31515"/>
          <w:sz w:val="20"/>
          <w:szCs w:val="20"/>
          <w:lang/>
        </w:rPr>
        <w:t xml:space="preserve"> product key columns</w:t>
      </w:r>
    </w:p>
    <w:p w:rsidR="0063091D" w:rsidRDefault="0063091D"/>
    <w:sectPr w:rsidR="0063091D" w:rsidSect="006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SansPro">
    <w:altName w:val="Calibr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35F9"/>
    <w:multiLevelType w:val="multilevel"/>
    <w:tmpl w:val="7D3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C3250"/>
    <w:multiLevelType w:val="multilevel"/>
    <w:tmpl w:val="EC8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E2152"/>
    <w:multiLevelType w:val="multilevel"/>
    <w:tmpl w:val="157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60FB9"/>
    <w:multiLevelType w:val="multilevel"/>
    <w:tmpl w:val="C14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24BA8"/>
    <w:multiLevelType w:val="multilevel"/>
    <w:tmpl w:val="4E2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A43B50"/>
    <w:multiLevelType w:val="multilevel"/>
    <w:tmpl w:val="36C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95F"/>
    <w:rsid w:val="0002195F"/>
    <w:rsid w:val="0063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hyperlink" Target="http://schemas.ms.it.oem/digitaldistribution/2010/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ateway_%28telecommunications%29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1</cp:revision>
  <dcterms:created xsi:type="dcterms:W3CDTF">2020-09-05T18:23:00Z</dcterms:created>
  <dcterms:modified xsi:type="dcterms:W3CDTF">2020-09-05T18:26:00Z</dcterms:modified>
</cp:coreProperties>
</file>