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对策建议</w:t>
      </w:r>
    </w:p>
    <w:p>
      <w:pPr>
        <w:pStyle w:val="Heading1"/>
      </w:pPr>
      <w:r>
        <w:t>对策建议</w:t>
      </w:r>
    </w:p>
    <w:p>
      <w:r>
        <w:t>本章形成政策建议与实施路径。</w:t>
      </w:r>
    </w:p>
    <w:p>
      <w:pPr>
        <w:pStyle w:val="Heading2"/>
      </w:pPr>
      <w:r>
        <w:t>制度建议</w:t>
      </w:r>
    </w:p>
    <w:p>
      <w:r>
        <w:t>完善跨部门协调机制。</w:t>
      </w:r>
    </w:p>
    <w:p>
      <w:pPr>
        <w:pStyle w:val="Heading2"/>
      </w:pPr>
      <w:r>
        <w:t>实践建议</w:t>
      </w:r>
    </w:p>
    <w:p>
      <w:r>
        <w:t>强化基层组织执行能力。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