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绪论</w:t>
      </w:r>
    </w:p>
    <w:p>
      <w:pPr>
        <w:pStyle w:val="Heading1"/>
      </w:pPr>
      <w:r>
        <w:t>绪论</w:t>
      </w:r>
    </w:p>
    <w:p>
      <w:r>
        <w:t>本章说明研究背景、问题提出与研究意义。</w:t>
      </w:r>
    </w:p>
    <w:p>
      <w:pPr>
        <w:pStyle w:val="Heading2"/>
      </w:pPr>
      <w:r>
        <w:t>研究背景</w:t>
      </w:r>
    </w:p>
    <w:p>
      <w:r>
        <w:t>基层治理数字化转型不断深化。</w:t>
      </w:r>
    </w:p>
    <w:p>
      <w:pPr>
        <w:pStyle w:val="Heading2"/>
      </w:pPr>
      <w:r>
        <w:t>研究意义</w:t>
      </w:r>
    </w:p>
    <w:p>
      <w:r>
        <w:t>有助于为政策与实践提供依据。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