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机制分析</w:t>
      </w:r>
    </w:p>
    <w:p>
      <w:pPr>
        <w:pStyle w:val="Heading1"/>
      </w:pPr>
      <w:r>
        <w:t>机制分析</w:t>
      </w:r>
    </w:p>
    <w:p>
      <w:r>
        <w:t>本章讨论治理机制、协同链条与执行结构。</w:t>
      </w:r>
    </w:p>
    <w:p>
      <w:pPr>
        <w:pStyle w:val="Heading2"/>
      </w:pPr>
      <w:r>
        <w:t>机制框架</w:t>
      </w:r>
    </w:p>
    <w:p>
      <w:r>
        <w:t>从制度、组织和技术三方面建立分析框架。</w:t>
      </w:r>
    </w:p>
    <w:p>
      <w:pPr>
        <w:pStyle w:val="Heading2"/>
      </w:pPr>
      <w:r>
        <w:t>执行路径</w:t>
      </w:r>
    </w:p>
    <w:p>
      <w:r>
        <w:t>形成跨主体协同的执行链条。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